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ust. § 2079 a násl. občanského zákoníku </w:t>
      </w:r>
    </w:p>
    <w:p w14:paraId="454E30FE" w14:textId="0BF413C7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  <w:r w:rsidR="002A196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14:paraId="7D794F3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E0E8B8" w14:textId="7E4F5F0E" w:rsidR="00483627" w:rsidRPr="00483627" w:rsidRDefault="006E4AF4" w:rsidP="007A18BC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MHM computer a.s.</w:t>
      </w:r>
    </w:p>
    <w:p w14:paraId="1C4C9883" w14:textId="5AA4A4F6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E4AF4" w:rsidRP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U Pekáren 1309/4, 102 00, Praha 10 - Hostiva</w:t>
      </w:r>
      <w:r w:rsid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ř</w:t>
      </w:r>
    </w:p>
    <w:p w14:paraId="41839FDF" w14:textId="0A165F15"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v obchodním rejstříku u Městského soudu v Praze, odd. B, vložka 13137</w:t>
      </w:r>
    </w:p>
    <w:p w14:paraId="71991662" w14:textId="7D92C74B"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721A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6E4AF4" w:rsidRP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, předsedou představenstva</w:t>
      </w:r>
    </w:p>
    <w:p w14:paraId="18FCAEC8" w14:textId="66B23013" w:rsidR="007A18BC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E4AF4" w:rsidRP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00539422</w:t>
      </w:r>
    </w:p>
    <w:p w14:paraId="30C9E7D4" w14:textId="568C7D5D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6E4AF4" w:rsidRP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00539422</w:t>
      </w:r>
    </w:p>
    <w:p w14:paraId="4CCF7A32" w14:textId="152C1F47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9qqe6id</w:t>
      </w:r>
    </w:p>
    <w:p w14:paraId="4E8FA342" w14:textId="0EB8E103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721A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777705AC" w14:textId="4D5D5429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721A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2C218A80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DCB2373" w14:textId="13C93B13" w:rsidR="00F872E5" w:rsidRPr="006E4AF4" w:rsidRDefault="00F872E5" w:rsidP="006E4AF4">
      <w:pPr>
        <w:pStyle w:val="Odstavecseseznamem"/>
        <w:numPr>
          <w:ilvl w:val="0"/>
          <w:numId w:val="10"/>
        </w:numPr>
        <w:ind w:left="47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4AF4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6E4A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21A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151BA92E" w14:textId="60592467" w:rsidR="00F872E5" w:rsidRPr="006E4AF4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721A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6135F83D" w14:textId="77777777"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134A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62A8BEE1" w14:textId="77777777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 1342</w:t>
      </w:r>
    </w:p>
    <w:p w14:paraId="7EAFAB6E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AF0F534" w14:textId="7A34B4BF" w:rsidR="00483627" w:rsidRPr="00321A8A" w:rsidRDefault="00F872E5" w:rsidP="0048362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21A0">
        <w:rPr>
          <w:rFonts w:ascii="Times New Roman" w:hAnsi="Times New Roman"/>
          <w:sz w:val="24"/>
          <w:szCs w:val="24"/>
        </w:rPr>
        <w:t>xxx</w:t>
      </w:r>
    </w:p>
    <w:p w14:paraId="28FB8B6E" w14:textId="4C672008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21A0">
        <w:rPr>
          <w:rFonts w:ascii="Times New Roman" w:hAnsi="Times New Roman"/>
          <w:sz w:val="24"/>
          <w:szCs w:val="24"/>
        </w:rPr>
        <w:t>xxx</w:t>
      </w:r>
    </w:p>
    <w:p w14:paraId="5520D5FF" w14:textId="77777777"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7BE8C13" w14:textId="77777777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č.: 973 204 090, fax: 973 204 092</w:t>
      </w:r>
    </w:p>
    <w:p w14:paraId="14109916" w14:textId="04DA8A9B" w:rsidR="00483627" w:rsidRPr="00C51E38" w:rsidRDefault="00483627" w:rsidP="005A6369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51E38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C51E3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54327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anchor distT="0" distB="0" distL="0" distR="0" simplePos="0" relativeHeight="251662848" behindDoc="0" locked="0" layoutInCell="1" allowOverlap="1" wp14:anchorId="5EF85D51" wp14:editId="7920DEC3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1A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5BCD8ED9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EDFAF6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7FC1B14A" w14:textId="77777777"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44BB62E3" w14:textId="77777777" w:rsidR="002B5499" w:rsidRPr="00483627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63CD73CE" w14:textId="77777777"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0A1C4" w14:textId="77777777" w:rsidR="00323590" w:rsidRPr="007B347A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14:paraId="53AAC6AD" w14:textId="07E2F88E" w:rsidR="00483627" w:rsidRPr="00645F18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</w:t>
      </w:r>
      <w:r w:rsidR="00E345F8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této kupní smlouvy je dodávka síťových prvků včetně instalace a implementace v sídle </w:t>
      </w:r>
      <w:r w:rsidR="00EC70FA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kupujícího </w:t>
      </w:r>
      <w:r w:rsidR="00E345F8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Zboží je přesně specifikováno v nedílné příloze č. 1 této smlouvy. </w:t>
      </w:r>
    </w:p>
    <w:p w14:paraId="39886E3D" w14:textId="78798FC0" w:rsidR="007A18BC" w:rsidRPr="00645F18" w:rsidRDefault="002B5499" w:rsidP="00EB4D8D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</w:t>
      </w:r>
      <w:r w:rsidR="007A18BC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sjednaných kupujícímu zboží 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naložení, dopravy a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instalace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místě sídla </w:t>
      </w:r>
      <w:r w:rsidR="00EC70FA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Instalace bude obsahovat výměnu stávajících síťových přepínačů za nově dodané, jejich montáž, zapojení, oživení a přenesení konfigurace. Instalace a fyzické přepojení proběhne v pracovní dny po 15. hodině. Předpokládaný časový rozsah instalace a implementace je </w:t>
      </w:r>
      <w:r w:rsidR="00E96901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 hodin (tj. 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2MD</w:t>
      </w:r>
      <w:r w:rsidR="00E96901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F9EED4" w14:textId="77777777" w:rsidR="00483627" w:rsidRPr="00645F18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</w:t>
      </w:r>
      <w:r w:rsidR="002B5499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2C4C1E99" w14:textId="1E04EF74" w:rsidR="00483627" w:rsidRPr="00645F18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zavazuje zboží převzít a zaplatit za něj sjednanou kupní cenu (</w:t>
      </w:r>
      <w:r w:rsidR="00E96901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specifikovanou v nedílné příloze č. 2 této smlouvy) 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14:paraId="7F3E966A" w14:textId="77777777" w:rsidR="00801B5E" w:rsidRDefault="00801B5E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9E3330" w14:textId="77777777" w:rsidR="00E345F8" w:rsidRPr="00801B5E" w:rsidRDefault="00E345F8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D619D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45367650" w14:textId="4009A4B6" w:rsidR="00C31232" w:rsidRDefault="00CD27ED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</w:t>
      </w:r>
      <w:r w:rsidR="00E96901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dodat a zajistit instalaci a implementaci zboží do sídla kupujícího na adrese</w:t>
      </w:r>
      <w:r w:rsidR="00C51E38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Podbabská 1589/1, 160 00 Praha 6 – Dejvice.</w:t>
      </w:r>
      <w:r w:rsidR="00C31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565B054" w14:textId="2AAE24CF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2A7B7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DCFE5EA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1BB41FBF" w14:textId="7EE27B20"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 </w:t>
      </w:r>
      <w:r w:rsidR="006E4AF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638 000,00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8329EC7" w14:textId="77777777"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9022190" w14:textId="3950960C"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6E4AF4">
        <w:rPr>
          <w:rFonts w:ascii="Times New Roman" w:eastAsia="Times New Roman" w:hAnsi="Times New Roman" w:cs="Times New Roman"/>
          <w:sz w:val="24"/>
          <w:szCs w:val="20"/>
          <w:lang w:eastAsia="cs-CZ"/>
        </w:rPr>
        <w:t>šestsettřicetosmtisíc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61CE9961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DF190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0FD8D3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3A1F2463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7C3C6A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Sb. v platném znění a dle § 435 občanského zákoníku a musí být vystaveny v souladu s ust.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CA8C299" w14:textId="77777777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616E655" w14:textId="77777777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objednatele uvedenou v odst. 7 tohoto článku smlouvy.  Smluvní strany se výslovně dohodly, že je možné i osobní předání faktury příslušnému technikovi, v tomto případě bude předání a převzetí faktury písemně stvrzeno. </w:t>
      </w:r>
    </w:p>
    <w:p w14:paraId="378F03E6" w14:textId="01765EF2" w:rsidR="00483627" w:rsidRPr="00126D72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9" w:history="1">
        <w:r w:rsidRPr="00126D7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126D72">
        <w:rPr>
          <w:rFonts w:ascii="Times New Roman" w:eastAsia="Times New Roman" w:hAnsi="Times New Roman" w:cs="Times New Roman"/>
          <w:sz w:val="24"/>
          <w:szCs w:val="24"/>
          <w:lang w:eastAsia="cs-CZ"/>
        </w:rPr>
        <w:t>, v případě listinného vyhotovení: Armádní Servisní, příspěvková organizace, Podbabská 158</w:t>
      </w:r>
      <w:r w:rsidR="00286822">
        <w:rPr>
          <w:rFonts w:ascii="Times New Roman" w:eastAsia="Times New Roman" w:hAnsi="Times New Roman" w:cs="Times New Roman"/>
          <w:sz w:val="24"/>
          <w:szCs w:val="24"/>
          <w:lang w:eastAsia="cs-CZ"/>
        </w:rPr>
        <w:t>9/1, 160 00, Praha 6 – Dejvice.</w:t>
      </w:r>
      <w:r w:rsidR="00483627" w:rsidRPr="00126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95712A" w14:textId="77777777"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4230D3B" w14:textId="77777777" w:rsidR="00483627" w:rsidRPr="00645F18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14:paraId="75962BD0" w14:textId="77777777" w:rsidR="00E96901" w:rsidRPr="00645F18" w:rsidRDefault="00E96901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BF7A61" w14:textId="14B4B8DF" w:rsidR="00483627" w:rsidRPr="00645F18" w:rsidRDefault="00E96901" w:rsidP="00E9690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dodat zboží a zajistit jeho insta</w:t>
      </w:r>
      <w:r w:rsidR="00645F1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laci a implementaci nejpozději 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 20 dnů ode dne nabytí účinnosti této smlouvy dle</w:t>
      </w:r>
      <w:r w:rsidR="00645F1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čl. I.</w:t>
      </w:r>
      <w:r w:rsidR="0048362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odst. </w:t>
      </w:r>
      <w:r w:rsidR="00AE164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8362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E72FB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EEDB1BF" w14:textId="77777777" w:rsidR="00E96901" w:rsidRPr="00645F18" w:rsidRDefault="00E96901" w:rsidP="00E9690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35E1CC6" w14:textId="77777777" w:rsidR="00E96901" w:rsidRPr="00645F18" w:rsidRDefault="00E96901" w:rsidP="00E9690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C828A95" w14:textId="77777777" w:rsidR="00E96901" w:rsidRPr="00645F18" w:rsidRDefault="00E96901" w:rsidP="00E9690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FC6D572" w14:textId="77777777" w:rsidR="005424D7" w:rsidRPr="00645F18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14A0E4A" w14:textId="77777777" w:rsidR="00483627" w:rsidRPr="00645F18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1130658" w14:textId="77777777" w:rsidR="00483627" w:rsidRPr="00645F18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  <w:r w:rsidR="000B3FE7"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14:paraId="01E75988" w14:textId="77777777" w:rsidR="00483627" w:rsidRPr="00645F18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 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236257C0" w14:textId="71874345" w:rsidR="00483627" w:rsidRPr="00645F18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dodat předmět plnění</w:t>
      </w:r>
      <w:r w:rsidR="00E9690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termínu dohodnutém dle čl. </w:t>
      </w:r>
      <w:r w:rsidR="00645F18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V.</w:t>
      </w:r>
      <w:r w:rsidR="00E9690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této smlouvy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pokutu ve výši </w:t>
      </w:r>
      <w:r w:rsidR="00E9690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700</w:t>
      </w:r>
      <w:r w:rsidRPr="00645F1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</w:t>
      </w:r>
      <w:r w:rsidR="00286822" w:rsidRPr="00645F1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každý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ECD3413" w14:textId="326366DC" w:rsidR="00482FDF" w:rsidRPr="00483627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hAnsi="Times New Roman" w:cs="Times New Roman"/>
          <w:sz w:val="24"/>
          <w:szCs w:val="18"/>
        </w:rPr>
        <w:t xml:space="preserve">V případě porušení povinnosti dle čl. VII. odst. 4 této smlouvy se prodávající zavazuje uhradit kupujícímu smluvní pokutu ve výši </w:t>
      </w:r>
      <w:r w:rsidR="00E96901" w:rsidRPr="00645F18">
        <w:rPr>
          <w:rFonts w:ascii="Times New Roman" w:hAnsi="Times New Roman" w:cs="Times New Roman"/>
          <w:sz w:val="24"/>
          <w:szCs w:val="18"/>
        </w:rPr>
        <w:t>500 Kč</w:t>
      </w:r>
      <w:r w:rsidRPr="00645F18">
        <w:rPr>
          <w:rFonts w:ascii="Times New Roman" w:hAnsi="Times New Roman" w:cs="Times New Roman"/>
          <w:sz w:val="24"/>
          <w:szCs w:val="18"/>
        </w:rPr>
        <w:t>, a to za každý zjištěný případ</w:t>
      </w:r>
      <w:r w:rsidRPr="00AD0500">
        <w:rPr>
          <w:rFonts w:ascii="Times New Roman" w:hAnsi="Times New Roman" w:cs="Times New Roman"/>
          <w:sz w:val="24"/>
          <w:szCs w:val="18"/>
        </w:rPr>
        <w:t xml:space="preserve"> porušení těchto povinností.</w:t>
      </w:r>
    </w:p>
    <w:p w14:paraId="2C66843E" w14:textId="77777777" w:rsidR="00483627" w:rsidRPr="007A18BC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73EC136A" w14:textId="77777777" w:rsidR="00C84676" w:rsidRPr="007A18BC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42B1C1FE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14:paraId="23CCB009" w14:textId="2163030B" w:rsidR="00483627" w:rsidRPr="000E2237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</w:t>
      </w:r>
      <w:r w:rsidR="00286822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jící se zavazuje, že zboží dodá a</w:t>
      </w:r>
      <w:r w:rsidR="007B6F6E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nainstaluje </w:t>
      </w:r>
      <w:r w:rsidR="00286822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</w:t>
      </w:r>
      <w:r w:rsidR="00E96901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sídle kupujícího d</w:t>
      </w:r>
      <w:r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le pokynů od</w:t>
      </w:r>
      <w:r w:rsidR="00CD27ED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povědného pracovníka kupujícího, kterým je pro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účely této smlouvy</w:t>
      </w:r>
      <w:r w:rsidR="007126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D27ED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osoba oprávněná jednat ve </w:t>
      </w:r>
      <w:r w:rsidR="00C95697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věcech technických</w:t>
      </w:r>
      <w:r w:rsidR="00712663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E9690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96901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Termín dodání a instalace bude oznámen zástupci ku</w:t>
      </w:r>
      <w:r w:rsidR="000E2237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pujícího ve věcech technických</w:t>
      </w:r>
      <w:r w:rsidR="00E96901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nejpozději</w:t>
      </w:r>
      <w:r w:rsidR="000E2237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48 hodin před termínem zahájení instalace emailem nebo telefonicky.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1484B1B" w14:textId="2937214D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cena nebude odpovídat cenám uvedeným v </w:t>
      </w:r>
      <w:r w:rsidR="007126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ceníku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který je nedílnou přílohou č. 2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</w:t>
      </w:r>
      <w:r w:rsidR="000F43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mít poškozený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EF1BAC9" w14:textId="77777777" w:rsidR="00482FDF" w:rsidRPr="00482FDF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5A977D85" w14:textId="77777777" w:rsidR="00482FDF" w:rsidRPr="00482FDF" w:rsidRDefault="00482FDF" w:rsidP="00256CD0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11835F13" w14:textId="77777777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77E30DCD" w14:textId="77777777" w:rsidR="00F029F1" w:rsidRDefault="00F029F1" w:rsidP="00F029F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57C20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14:paraId="6DC7C997" w14:textId="7823F39C" w:rsidR="00483627" w:rsidRPr="00645F18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72FB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a provedené instalace</w:t>
      </w:r>
      <w:r w:rsidR="009930E9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Prodávající poskytuje na dodané zboží záruku v délce </w:t>
      </w:r>
      <w:r w:rsidR="00712663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60</w:t>
      </w:r>
      <w:r w:rsidR="00C9569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počín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 běže</w:t>
      </w:r>
      <w:r w:rsidR="00CD27ED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</w:t>
      </w:r>
      <w:r w:rsidR="00E72FB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(včetně instalace) 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kupujícím.</w:t>
      </w:r>
    </w:p>
    <w:p w14:paraId="248D8A43" w14:textId="77777777" w:rsidR="00483627" w:rsidRPr="00645F18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64FDEF19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si vyhrazuje právo uplatnit do 7 dnů ode dne dodání zboží případnou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7CCA8C36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171F6AC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84676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Ukončení</w:t>
      </w:r>
      <w:r w:rsidR="00CD27ED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</w:t>
      </w:r>
    </w:p>
    <w:p w14:paraId="1D936BCD" w14:textId="77777777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jestliže prodávající nedodá řádně a včas předmět této smlouvy a  pokud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ze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0A8C75EE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 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B34BF1D" w14:textId="77777777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01BA89E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30208712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ACF6B0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3A8089B1" w14:textId="2B96705A" w:rsidR="00483627" w:rsidRPr="007B6F6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1 </w:t>
      </w:r>
      <w:r w:rsidR="00712663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Specifikace předmětu plnění</w:t>
      </w:r>
    </w:p>
    <w:p w14:paraId="702F1747" w14:textId="7168BAFD" w:rsidR="00F029F1" w:rsidRPr="00483627" w:rsidRDefault="00F02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</w:t>
      </w:r>
      <w:r w:rsidR="00712663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 w:rsidR="00D1179A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Ceník</w:t>
      </w:r>
    </w:p>
    <w:p w14:paraId="599CDFAD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6A5FFA9" w14:textId="363C6070"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D52A5">
        <w:rPr>
          <w:rFonts w:ascii="Times New Roman" w:eastAsia="Times New Roman" w:hAnsi="Times New Roman" w:cs="Times New Roman"/>
          <w:sz w:val="24"/>
          <w:szCs w:val="20"/>
          <w:lang w:eastAsia="cs-CZ"/>
        </w:rPr>
        <w:t>V </w:t>
      </w:r>
      <w:r w:rsidR="00321A8A" w:rsidRPr="00AD52A5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C25BDD7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F0E38D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56A190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810F91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0AA0B303" w:rsidR="000A3608" w:rsidRPr="00321A8A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21A8A" w:rsidRPr="00321A8A">
        <w:rPr>
          <w:rFonts w:ascii="Times New Roman" w:eastAsia="Times New Roman" w:hAnsi="Times New Roman" w:cs="Times New Roman"/>
          <w:sz w:val="24"/>
          <w:szCs w:val="20"/>
          <w:lang w:eastAsia="cs-CZ"/>
        </w:rPr>
        <w:t>MHM computer a.s.</w:t>
      </w:r>
    </w:p>
    <w:p w14:paraId="6EB3F7CB" w14:textId="6990C72E" w:rsidR="000A3608" w:rsidRPr="00321A8A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21A8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 w:rsidRPr="00321A8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721A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9362813" w14:textId="65FF9C13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21A8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 w:rsidRPr="00321A8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21A8A" w:rsidRPr="00321A8A">
        <w:rPr>
          <w:rFonts w:ascii="Times New Roman" w:eastAsia="Times New Roman" w:hAnsi="Times New Roman" w:cs="Times New Roman"/>
          <w:sz w:val="24"/>
          <w:szCs w:val="20"/>
          <w:lang w:eastAsia="cs-CZ"/>
        </w:rPr>
        <w:t>předseda představenstva</w:t>
      </w:r>
    </w:p>
    <w:p w14:paraId="7DAC2828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7CC4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28A941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F1D3C2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558A0F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9E5C09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93D7F0A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73F7E32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D91CA8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2D205D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3F66A1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250F5F9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6F90FE0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BE2C39D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577438F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67C9F2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7BB32A3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927C71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BCE419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878640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C35FFB1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9F1D38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30A0BE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938A17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C2571DD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8E1F7F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E5B40DA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D3AC74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8BE65C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1139F3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E91A02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A97ACCB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7CCE16E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F11233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54152D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4BD59B5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F273FFB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CE681C" w14:textId="77777777" w:rsidR="00E029D0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B7F6D08" w14:textId="0989D039" w:rsidR="00E029D0" w:rsidRDefault="00E029D0" w:rsidP="00E029D0">
      <w:pPr>
        <w:jc w:val="both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 xml:space="preserve">Příloha č. 1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28693D6" w14:textId="77777777" w:rsidR="00E029D0" w:rsidRPr="00E029D0" w:rsidRDefault="00E029D0" w:rsidP="00E029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260F8" w14:textId="77777777" w:rsidR="00E029D0" w:rsidRPr="00E029D0" w:rsidRDefault="00E029D0" w:rsidP="00E029D0">
      <w:pPr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Nabízené přepínače musí poskytovat následující funkce:</w:t>
      </w:r>
    </w:p>
    <w:p w14:paraId="7AAED6F8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 xml:space="preserve">Autentizaci do sítě pomocí protokolu 802.1x; </w:t>
      </w:r>
    </w:p>
    <w:p w14:paraId="2079CFDF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Jednoduchou konfiguraci přes Webové rozhraní a příkazový řádek;</w:t>
      </w:r>
    </w:p>
    <w:p w14:paraId="7C286783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Podporu pro automatizaci sítě přes REST API;</w:t>
      </w:r>
    </w:p>
    <w:p w14:paraId="35181410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Předefinování uživatelských rolí, které jsou pak na základě autentizace přiděleny jednotlivým zařízením v síti;</w:t>
      </w:r>
    </w:p>
    <w:p w14:paraId="77C66CDF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Podpora pro napojení na Cloud management;</w:t>
      </w:r>
    </w:p>
    <w:p w14:paraId="124B96A8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Možnost agregovat více fyzických linek dohromady;</w:t>
      </w:r>
    </w:p>
    <w:p w14:paraId="78DF7761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Centrální přepínače musí navíc podporovat zapojení do STACKu a link agregaci přes oba přepínače ve STACKu;</w:t>
      </w:r>
    </w:p>
    <w:p w14:paraId="2FF3C7F7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Propustnost přepínačů musí být dostatečná, aby nedocházelo k blokování provozu při plném vytížení přepínačů (line rate);</w:t>
      </w:r>
    </w:p>
    <w:p w14:paraId="364B0ECC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Po celou dobu životnosti přepínačů musí být přístup k upgradům firmwaru přepínačů.</w:t>
      </w:r>
    </w:p>
    <w:p w14:paraId="78836732" w14:textId="77777777" w:rsidR="00E029D0" w:rsidRPr="00E029D0" w:rsidRDefault="00E029D0" w:rsidP="00E029D0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1AE71E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Hardware musí být dodán zcela nový, plně funkční a kompletní (včetně příslušenství).</w:t>
      </w:r>
    </w:p>
    <w:p w14:paraId="772150C6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Dodávka musí obsahovat veškeré potřebné licence pro splnění požadovaných vlastností a parametrů.</w:t>
      </w:r>
    </w:p>
    <w:p w14:paraId="5424A4D4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Je požadována záruka na hardware s výměnou NBD v délce 60 měsíců. Tato záruka musí být garantovaná výrobcem zařízení.</w:t>
      </w:r>
    </w:p>
    <w:p w14:paraId="1CD43E3F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Jsou požadovány software aktualizace (nové verze programového vybavení) v minimální délce 60 měsíců.</w:t>
      </w:r>
    </w:p>
    <w:p w14:paraId="1564B993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Je požadovaná technická podpora výrobce po dobu 60 měsíců.</w:t>
      </w:r>
    </w:p>
    <w:p w14:paraId="54300934" w14:textId="77777777" w:rsidR="00E029D0" w:rsidRPr="00E029D0" w:rsidRDefault="00E029D0" w:rsidP="00E029D0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29D0">
        <w:rPr>
          <w:rFonts w:ascii="Times New Roman" w:hAnsi="Times New Roman" w:cs="Times New Roman"/>
          <w:sz w:val="24"/>
          <w:szCs w:val="24"/>
        </w:rPr>
        <w:t>Účastník je povinen s dodávkou doložit oficiální potvrzení lokálního zastoupení výrobce o všech dodávaných zařízeních (seznam sériových čísel dodávaných zařízení) pro český trh.</w:t>
      </w:r>
    </w:p>
    <w:p w14:paraId="51DDF0B2" w14:textId="77777777" w:rsidR="00E029D0" w:rsidRDefault="00E029D0" w:rsidP="00E029D0"/>
    <w:p w14:paraId="4A67D094" w14:textId="77777777" w:rsidR="00E029D0" w:rsidRDefault="00E029D0" w:rsidP="00E029D0">
      <w:pPr>
        <w:pStyle w:val="Odstavecseseznamem"/>
      </w:pPr>
    </w:p>
    <w:p w14:paraId="0C7CD18B" w14:textId="77777777" w:rsidR="00E029D0" w:rsidRPr="00483627" w:rsidRDefault="00E029D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GoBack"/>
      <w:bookmarkEnd w:id="0"/>
    </w:p>
    <w:sectPr w:rsidR="00E029D0" w:rsidRPr="00483627" w:rsidSect="007A18BC">
      <w:headerReference w:type="default" r:id="rId10"/>
      <w:footerReference w:type="even" r:id="rId11"/>
      <w:footerReference w:type="default" r:id="rId12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0017F" w14:textId="77777777" w:rsidR="000814D8" w:rsidRDefault="000814D8">
      <w:r>
        <w:separator/>
      </w:r>
    </w:p>
  </w:endnote>
  <w:endnote w:type="continuationSeparator" w:id="0">
    <w:p w14:paraId="36E647F9" w14:textId="77777777" w:rsidR="000814D8" w:rsidRDefault="000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E029D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E029D0">
      <w:rPr>
        <w:noProof/>
      </w:rPr>
      <w:t>1</w:t>
    </w:r>
    <w:r>
      <w:fldChar w:fldCharType="end"/>
    </w:r>
  </w:p>
  <w:p w14:paraId="04488D58" w14:textId="77777777" w:rsidR="00D81AC2" w:rsidRPr="00E51669" w:rsidRDefault="00E029D0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AC6E9" w14:textId="77777777" w:rsidR="000814D8" w:rsidRDefault="000814D8">
      <w:r>
        <w:separator/>
      </w:r>
    </w:p>
  </w:footnote>
  <w:footnote w:type="continuationSeparator" w:id="0">
    <w:p w14:paraId="6D35A1E6" w14:textId="77777777" w:rsidR="000814D8" w:rsidRDefault="00081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9383" w14:textId="6149A0B8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6E4AF4">
      <w:rPr>
        <w:b/>
        <w:sz w:val="24"/>
        <w:szCs w:val="24"/>
      </w:rPr>
      <w:t>R</w:t>
    </w:r>
    <w:r>
      <w:rPr>
        <w:b/>
        <w:sz w:val="24"/>
        <w:szCs w:val="24"/>
      </w:rPr>
      <w:t>-</w:t>
    </w:r>
    <w:r w:rsidR="006E4AF4" w:rsidRPr="006E4AF4">
      <w:rPr>
        <w:b/>
        <w:sz w:val="24"/>
        <w:szCs w:val="24"/>
      </w:rPr>
      <w:t>395</w:t>
    </w:r>
    <w:r w:rsidRPr="006E4AF4">
      <w:rPr>
        <w:b/>
        <w:sz w:val="24"/>
        <w:szCs w:val="24"/>
      </w:rPr>
      <w:t>-</w:t>
    </w:r>
    <w:r w:rsidRPr="00722094">
      <w:rPr>
        <w:b/>
        <w:sz w:val="24"/>
        <w:szCs w:val="24"/>
      </w:rPr>
      <w:t>00/</w:t>
    </w:r>
    <w:r w:rsidR="00C51E38">
      <w:rPr>
        <w:b/>
        <w:sz w:val="24"/>
        <w:szCs w:val="24"/>
      </w:rPr>
      <w:t>21</w:t>
    </w:r>
  </w:p>
  <w:p w14:paraId="62E7E08E" w14:textId="77777777" w:rsidR="00E9251C" w:rsidRPr="00FE087E" w:rsidRDefault="00E029D0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3C7336"/>
    <w:multiLevelType w:val="hybridMultilevel"/>
    <w:tmpl w:val="F07C83E4"/>
    <w:lvl w:ilvl="0" w:tplc="830A8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11"/>
  </w:num>
  <w:num w:numId="10">
    <w:abstractNumId w:val="17"/>
  </w:num>
  <w:num w:numId="11">
    <w:abstractNumId w:val="6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1D19"/>
    <w:rsid w:val="00035ACE"/>
    <w:rsid w:val="000814D8"/>
    <w:rsid w:val="00092BF0"/>
    <w:rsid w:val="000A3608"/>
    <w:rsid w:val="000B3FE7"/>
    <w:rsid w:val="000E2237"/>
    <w:rsid w:val="000F43B7"/>
    <w:rsid w:val="00106413"/>
    <w:rsid w:val="00125BB3"/>
    <w:rsid w:val="00126D72"/>
    <w:rsid w:val="00152F19"/>
    <w:rsid w:val="00167536"/>
    <w:rsid w:val="001D25AB"/>
    <w:rsid w:val="0022695F"/>
    <w:rsid w:val="00237EB4"/>
    <w:rsid w:val="00274EDE"/>
    <w:rsid w:val="00281C0F"/>
    <w:rsid w:val="00286822"/>
    <w:rsid w:val="002A196B"/>
    <w:rsid w:val="002B5499"/>
    <w:rsid w:val="00305E1C"/>
    <w:rsid w:val="00321A8A"/>
    <w:rsid w:val="00323590"/>
    <w:rsid w:val="003433B3"/>
    <w:rsid w:val="003D57C0"/>
    <w:rsid w:val="003F65B8"/>
    <w:rsid w:val="0044136C"/>
    <w:rsid w:val="00443EAA"/>
    <w:rsid w:val="00454327"/>
    <w:rsid w:val="00482FDF"/>
    <w:rsid w:val="00483627"/>
    <w:rsid w:val="004A7B94"/>
    <w:rsid w:val="004C10BC"/>
    <w:rsid w:val="004D7335"/>
    <w:rsid w:val="005424D7"/>
    <w:rsid w:val="00557E70"/>
    <w:rsid w:val="005644EB"/>
    <w:rsid w:val="005A6369"/>
    <w:rsid w:val="00641E94"/>
    <w:rsid w:val="00645F18"/>
    <w:rsid w:val="006D4597"/>
    <w:rsid w:val="006E4AF4"/>
    <w:rsid w:val="006F751D"/>
    <w:rsid w:val="0071141E"/>
    <w:rsid w:val="00712663"/>
    <w:rsid w:val="007A18BC"/>
    <w:rsid w:val="007A3CE7"/>
    <w:rsid w:val="007A42B5"/>
    <w:rsid w:val="007B347A"/>
    <w:rsid w:val="007B6F6E"/>
    <w:rsid w:val="007E2DE3"/>
    <w:rsid w:val="00801B5E"/>
    <w:rsid w:val="008A295C"/>
    <w:rsid w:val="008D0F67"/>
    <w:rsid w:val="008D3454"/>
    <w:rsid w:val="008E07E5"/>
    <w:rsid w:val="008F0E29"/>
    <w:rsid w:val="008F5AE0"/>
    <w:rsid w:val="00917A71"/>
    <w:rsid w:val="00967196"/>
    <w:rsid w:val="00987F77"/>
    <w:rsid w:val="009930E9"/>
    <w:rsid w:val="00995BE3"/>
    <w:rsid w:val="009D59F1"/>
    <w:rsid w:val="009E06D7"/>
    <w:rsid w:val="009E7DFD"/>
    <w:rsid w:val="00A13223"/>
    <w:rsid w:val="00A7225D"/>
    <w:rsid w:val="00A87C8C"/>
    <w:rsid w:val="00AD52A5"/>
    <w:rsid w:val="00AE1647"/>
    <w:rsid w:val="00AE7802"/>
    <w:rsid w:val="00B20FE9"/>
    <w:rsid w:val="00B85FC3"/>
    <w:rsid w:val="00BC4568"/>
    <w:rsid w:val="00BE0701"/>
    <w:rsid w:val="00BF72C7"/>
    <w:rsid w:val="00C31232"/>
    <w:rsid w:val="00C42842"/>
    <w:rsid w:val="00C51E38"/>
    <w:rsid w:val="00C721A0"/>
    <w:rsid w:val="00C84676"/>
    <w:rsid w:val="00C95697"/>
    <w:rsid w:val="00CD0496"/>
    <w:rsid w:val="00CD27ED"/>
    <w:rsid w:val="00D1179A"/>
    <w:rsid w:val="00D72786"/>
    <w:rsid w:val="00D8525F"/>
    <w:rsid w:val="00E029D0"/>
    <w:rsid w:val="00E345F8"/>
    <w:rsid w:val="00E70069"/>
    <w:rsid w:val="00E72FB8"/>
    <w:rsid w:val="00E74DCC"/>
    <w:rsid w:val="00E96901"/>
    <w:rsid w:val="00EB4D8D"/>
    <w:rsid w:val="00EC5907"/>
    <w:rsid w:val="00EC70FA"/>
    <w:rsid w:val="00ED3A9E"/>
    <w:rsid w:val="00F029F1"/>
    <w:rsid w:val="00F15AC8"/>
    <w:rsid w:val="00F872E5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as-po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2741-24DE-431C-80D5-E9167133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1846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BURDOVA Aneta</cp:lastModifiedBy>
  <cp:revision>29</cp:revision>
  <dcterms:created xsi:type="dcterms:W3CDTF">2020-01-29T14:46:00Z</dcterms:created>
  <dcterms:modified xsi:type="dcterms:W3CDTF">2021-11-18T12:26:00Z</dcterms:modified>
</cp:coreProperties>
</file>