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5B" w:rsidRDefault="00D126B7">
      <w:pPr>
        <w:spacing w:before="80" w:line="425" w:lineRule="exact"/>
        <w:ind w:left="1155" w:right="102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1190400050</w:t>
      </w:r>
    </w:p>
    <w:p w:rsidR="00313B5B" w:rsidRDefault="00D126B7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13B5B" w:rsidRDefault="00D126B7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13B5B" w:rsidRDefault="00313B5B">
      <w:pPr>
        <w:pStyle w:val="Zkladntext"/>
        <w:spacing w:before="11"/>
        <w:ind w:left="0"/>
        <w:jc w:val="left"/>
        <w:rPr>
          <w:sz w:val="59"/>
        </w:rPr>
      </w:pPr>
    </w:p>
    <w:p w:rsidR="00313B5B" w:rsidRDefault="00D126B7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13B5B" w:rsidRDefault="00D126B7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13B5B" w:rsidRDefault="00D126B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13B5B" w:rsidRDefault="00D126B7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313B5B" w:rsidRDefault="00D126B7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313B5B" w:rsidRDefault="00D126B7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13B5B" w:rsidRDefault="00D126B7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13B5B" w:rsidRDefault="00D126B7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13B5B" w:rsidRDefault="00D126B7">
      <w:pPr>
        <w:pStyle w:val="Nadpis2"/>
        <w:spacing w:before="5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Těrlicko</w:t>
      </w:r>
    </w:p>
    <w:p w:rsidR="00313B5B" w:rsidRDefault="00D126B7">
      <w:pPr>
        <w:pStyle w:val="Zkladntext"/>
        <w:tabs>
          <w:tab w:val="left" w:pos="3122"/>
        </w:tabs>
        <w:ind w:left="242" w:right="1917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Těrlicko,</w:t>
      </w:r>
      <w:r>
        <w:rPr>
          <w:spacing w:val="-3"/>
        </w:rPr>
        <w:t xml:space="preserve"> </w:t>
      </w:r>
      <w:r>
        <w:t>Májová</w:t>
      </w:r>
      <w:r>
        <w:rPr>
          <w:spacing w:val="-2"/>
        </w:rPr>
        <w:t xml:space="preserve"> </w:t>
      </w:r>
      <w:r>
        <w:t>474/16,</w:t>
      </w:r>
      <w:r>
        <w:rPr>
          <w:spacing w:val="-3"/>
        </w:rPr>
        <w:t xml:space="preserve"> </w:t>
      </w:r>
      <w:r>
        <w:t>735</w:t>
      </w:r>
      <w:r>
        <w:rPr>
          <w:spacing w:val="-2"/>
        </w:rPr>
        <w:t xml:space="preserve"> </w:t>
      </w:r>
      <w:r>
        <w:t>42</w:t>
      </w:r>
      <w:r>
        <w:rPr>
          <w:spacing w:val="50"/>
        </w:rPr>
        <w:t xml:space="preserve"> </w:t>
      </w:r>
      <w:r>
        <w:t>Těrlicko</w:t>
      </w:r>
      <w:r>
        <w:rPr>
          <w:spacing w:val="-51"/>
        </w:rPr>
        <w:t xml:space="preserve"> </w:t>
      </w:r>
      <w:r>
        <w:t>IČO:</w:t>
      </w:r>
      <w:r>
        <w:tab/>
        <w:t>00297666</w:t>
      </w:r>
    </w:p>
    <w:p w:rsidR="00313B5B" w:rsidRDefault="00D126B7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Martinem P</w:t>
      </w:r>
      <w:r>
        <w:rPr>
          <w:spacing w:val="-1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š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313B5B" w:rsidRDefault="00D126B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C7A1B" w:rsidRPr="005C7A1B">
        <w:rPr>
          <w:highlight w:val="yellow"/>
        </w:rPr>
        <w:t>xxxx</w:t>
      </w:r>
    </w:p>
    <w:p w:rsidR="00313B5B" w:rsidRDefault="00D126B7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5C7A1B" w:rsidRPr="005C7A1B">
        <w:rPr>
          <w:highlight w:val="yellow"/>
        </w:rPr>
        <w:t>xxxx</w:t>
      </w:r>
      <w:bookmarkStart w:id="0" w:name="_GoBack"/>
      <w:bookmarkEnd w:id="0"/>
    </w:p>
    <w:p w:rsidR="00313B5B" w:rsidRDefault="00D126B7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spacing w:before="12"/>
        <w:ind w:left="0"/>
        <w:jc w:val="left"/>
        <w:rPr>
          <w:sz w:val="33"/>
        </w:rPr>
      </w:pPr>
    </w:p>
    <w:p w:rsidR="00313B5B" w:rsidRDefault="00D126B7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  <w:spacing w:before="187"/>
        <w:ind w:right="1027"/>
      </w:pPr>
      <w:r>
        <w:t>I.</w:t>
      </w:r>
    </w:p>
    <w:p w:rsidR="00313B5B" w:rsidRDefault="00D126B7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13B5B" w:rsidRDefault="00313B5B">
      <w:pPr>
        <w:pStyle w:val="Zkladntext"/>
        <w:spacing w:before="12"/>
        <w:ind w:left="0"/>
        <w:jc w:val="left"/>
        <w:rPr>
          <w:b/>
          <w:sz w:val="19"/>
        </w:rPr>
      </w:pPr>
    </w:p>
    <w:p w:rsidR="00313B5B" w:rsidRDefault="00D126B7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13B5B" w:rsidRDefault="00D126B7">
      <w:pPr>
        <w:pStyle w:val="Zkladntext"/>
        <w:ind w:right="111"/>
      </w:pPr>
      <w:r>
        <w:t>„Smlouva“) se uzavírá na základě Rozhodnutí ministra životního prostředí č. 1190400050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313B5B" w:rsidRDefault="00D126B7">
      <w:pPr>
        <w:pStyle w:val="Zkladntext"/>
        <w:spacing w:before="3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13B5B" w:rsidRDefault="00D126B7">
      <w:pPr>
        <w:pStyle w:val="Odstavecseseznamem"/>
        <w:numPr>
          <w:ilvl w:val="0"/>
          <w:numId w:val="8"/>
        </w:numPr>
        <w:tabs>
          <w:tab w:val="left" w:pos="526"/>
        </w:tabs>
        <w:spacing w:before="117"/>
        <w:ind w:right="116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13B5B" w:rsidRDefault="00313B5B">
      <w:pPr>
        <w:jc w:val="both"/>
        <w:rPr>
          <w:sz w:val="20"/>
        </w:rPr>
        <w:sectPr w:rsidR="00313B5B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313B5B" w:rsidRDefault="00D126B7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13B5B" w:rsidRDefault="00D126B7">
      <w:pPr>
        <w:pStyle w:val="Nadpis2"/>
        <w:spacing w:before="120"/>
        <w:ind w:left="3000"/>
        <w:jc w:val="left"/>
      </w:pPr>
      <w:r>
        <w:t>„Výstavba</w:t>
      </w:r>
      <w:r>
        <w:rPr>
          <w:spacing w:val="-3"/>
        </w:rPr>
        <w:t xml:space="preserve"> </w:t>
      </w:r>
      <w:r>
        <w:t>kanalizace</w:t>
      </w:r>
      <w:r>
        <w:rPr>
          <w:spacing w:val="-3"/>
        </w:rPr>
        <w:t xml:space="preserve"> </w:t>
      </w:r>
      <w:r>
        <w:t>Těrlicko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Hradiště“</w:t>
      </w:r>
    </w:p>
    <w:p w:rsidR="00313B5B" w:rsidRDefault="00D126B7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2021–2023.</w:t>
      </w:r>
      <w:r>
        <w:rPr>
          <w:spacing w:val="-4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  <w:spacing w:before="187" w:line="265" w:lineRule="exact"/>
        <w:ind w:right="671"/>
      </w:pPr>
      <w:r>
        <w:t>II.</w:t>
      </w:r>
    </w:p>
    <w:p w:rsidR="00313B5B" w:rsidRDefault="00D126B7">
      <w:pPr>
        <w:pStyle w:val="Nadpis2"/>
        <w:spacing w:line="265" w:lineRule="exact"/>
        <w:ind w:right="67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13B5B" w:rsidRDefault="00313B5B">
      <w:pPr>
        <w:pStyle w:val="Zkladntext"/>
        <w:spacing w:before="1"/>
        <w:ind w:left="0"/>
        <w:jc w:val="left"/>
        <w:rPr>
          <w:b/>
        </w:rPr>
      </w:pP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w w:val="95"/>
          <w:sz w:val="20"/>
        </w:rPr>
        <w:t xml:space="preserve">Fond se zavazuje poskytnout příjemci podpory podporu formou dotace ve výši </w:t>
      </w:r>
      <w:r>
        <w:rPr>
          <w:b/>
          <w:w w:val="95"/>
          <w:sz w:val="20"/>
        </w:rPr>
        <w:t>101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396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 xml:space="preserve">578,81 Kč </w:t>
      </w:r>
      <w:r>
        <w:rPr>
          <w:w w:val="95"/>
          <w:sz w:val="20"/>
        </w:rPr>
        <w:t>(slovy: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sto jeden milionů tři sta devadesát šest tisíc pět set sedmdesát osm korun českých, osmdesát jeden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8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159</w:t>
      </w:r>
      <w:r>
        <w:rPr>
          <w:spacing w:val="1"/>
          <w:sz w:val="20"/>
        </w:rPr>
        <w:t xml:space="preserve"> </w:t>
      </w:r>
      <w:r>
        <w:rPr>
          <w:sz w:val="20"/>
        </w:rPr>
        <w:t>053</w:t>
      </w:r>
      <w:r>
        <w:rPr>
          <w:spacing w:val="1"/>
          <w:sz w:val="20"/>
        </w:rPr>
        <w:t xml:space="preserve"> </w:t>
      </w:r>
      <w:r>
        <w:rPr>
          <w:sz w:val="20"/>
        </w:rPr>
        <w:t>456,96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1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2014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313B5B" w:rsidRDefault="00D126B7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13B5B" w:rsidRDefault="00D126B7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  <w:spacing w:before="188"/>
        <w:ind w:right="1031"/>
      </w:pPr>
      <w:r>
        <w:t>III.</w:t>
      </w:r>
    </w:p>
    <w:p w:rsidR="00313B5B" w:rsidRDefault="00D126B7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13B5B" w:rsidRDefault="00313B5B">
      <w:pPr>
        <w:pStyle w:val="Zkladntext"/>
        <w:spacing w:before="12"/>
        <w:ind w:left="0"/>
        <w:jc w:val="left"/>
        <w:rPr>
          <w:b/>
          <w:sz w:val="19"/>
        </w:rPr>
      </w:pP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8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tupem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26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0"/>
          <w:sz w:val="20"/>
        </w:rPr>
        <w:t xml:space="preserve"> </w:t>
      </w:r>
      <w:r>
        <w:rPr>
          <w:sz w:val="20"/>
        </w:rPr>
        <w:t>tak,</w:t>
      </w:r>
      <w:r>
        <w:rPr>
          <w:spacing w:val="12"/>
          <w:sz w:val="20"/>
        </w:rPr>
        <w:t xml:space="preserve"> </w:t>
      </w:r>
      <w:r>
        <w:rPr>
          <w:sz w:val="20"/>
        </w:rPr>
        <w:t>aby</w:t>
      </w:r>
    </w:p>
    <w:p w:rsidR="00313B5B" w:rsidRDefault="00D126B7">
      <w:pPr>
        <w:pStyle w:val="Zkladntext"/>
        <w:spacing w:before="1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13B5B" w:rsidRDefault="00313B5B">
      <w:pPr>
        <w:pStyle w:val="Zkladntext"/>
        <w:spacing w:before="12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313B5B">
        <w:trPr>
          <w:trHeight w:val="386"/>
        </w:trPr>
        <w:tc>
          <w:tcPr>
            <w:tcW w:w="4779" w:type="dxa"/>
          </w:tcPr>
          <w:p w:rsidR="00313B5B" w:rsidRDefault="00D126B7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313B5B" w:rsidRDefault="00D126B7">
            <w:pPr>
              <w:pStyle w:val="TableParagraph"/>
              <w:spacing w:before="120" w:line="246" w:lineRule="exact"/>
              <w:ind w:left="1616" w:right="1615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13B5B">
        <w:trPr>
          <w:trHeight w:val="386"/>
        </w:trPr>
        <w:tc>
          <w:tcPr>
            <w:tcW w:w="4779" w:type="dxa"/>
          </w:tcPr>
          <w:p w:rsidR="00313B5B" w:rsidRDefault="00D126B7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313B5B" w:rsidRDefault="00D126B7">
            <w:pPr>
              <w:pStyle w:val="TableParagraph"/>
              <w:spacing w:before="120" w:line="246" w:lineRule="exact"/>
              <w:ind w:left="1665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661 810,89</w:t>
            </w:r>
          </w:p>
        </w:tc>
      </w:tr>
      <w:tr w:rsidR="00313B5B">
        <w:trPr>
          <w:trHeight w:val="385"/>
        </w:trPr>
        <w:tc>
          <w:tcPr>
            <w:tcW w:w="4779" w:type="dxa"/>
          </w:tcPr>
          <w:p w:rsidR="00313B5B" w:rsidRDefault="00D126B7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313B5B" w:rsidRDefault="00D126B7">
            <w:pPr>
              <w:pStyle w:val="TableParagraph"/>
              <w:spacing w:before="120" w:line="246" w:lineRule="exact"/>
              <w:ind w:left="1696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822</w:t>
            </w:r>
          </w:p>
        </w:tc>
      </w:tr>
      <w:tr w:rsidR="00313B5B">
        <w:trPr>
          <w:trHeight w:val="388"/>
        </w:trPr>
        <w:tc>
          <w:tcPr>
            <w:tcW w:w="4779" w:type="dxa"/>
          </w:tcPr>
          <w:p w:rsidR="00313B5B" w:rsidRDefault="00D126B7">
            <w:pPr>
              <w:pStyle w:val="TableParagraph"/>
              <w:spacing w:before="120" w:line="248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313B5B" w:rsidRDefault="00D126B7">
            <w:pPr>
              <w:pStyle w:val="TableParagraph"/>
              <w:spacing w:before="120" w:line="248" w:lineRule="exact"/>
              <w:ind w:left="1781" w:right="16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219 945,92</w:t>
            </w:r>
          </w:p>
        </w:tc>
      </w:tr>
    </w:tbl>
    <w:p w:rsidR="00313B5B" w:rsidRDefault="00313B5B">
      <w:pPr>
        <w:spacing w:line="248" w:lineRule="exact"/>
        <w:jc w:val="center"/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 xml:space="preserve"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313B5B" w:rsidRDefault="00D126B7">
      <w:pPr>
        <w:pStyle w:val="Zkladntext"/>
      </w:pPr>
      <w:r>
        <w:t>Fond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</w:t>
      </w:r>
      <w:r>
        <w:t>ceptuje.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313B5B" w:rsidRDefault="00D126B7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313B5B" w:rsidRDefault="00D126B7">
      <w:pPr>
        <w:pStyle w:val="Zkladntext"/>
        <w:spacing w:before="1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13B5B" w:rsidRDefault="00D126B7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</w:t>
      </w:r>
      <w:r>
        <w:rPr>
          <w:sz w:val="20"/>
        </w:rPr>
        <w:t>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6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</w:t>
      </w:r>
      <w:r>
        <w:rPr>
          <w:spacing w:val="-52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13B5B" w:rsidRDefault="00D126B7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bankovních výpisů dokladující uhrazení faktur zhotovite</w:t>
      </w:r>
      <w:r>
        <w:rPr>
          <w:sz w:val="20"/>
        </w:rPr>
        <w:t>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 xml:space="preserve"> </w:t>
      </w:r>
      <w:r>
        <w:rPr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1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 výdajům akce.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2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</w:t>
      </w:r>
      <w:r>
        <w:rPr>
          <w:sz w:val="20"/>
        </w:rPr>
        <w:t>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"/>
          <w:sz w:val="20"/>
        </w:rPr>
        <w:t xml:space="preserve"> </w:t>
      </w:r>
      <w:r>
        <w:rPr>
          <w:sz w:val="20"/>
        </w:rPr>
        <w:t>smluvního</w:t>
      </w:r>
      <w:r>
        <w:rPr>
          <w:spacing w:val="6"/>
          <w:sz w:val="20"/>
        </w:rPr>
        <w:t xml:space="preserve"> </w:t>
      </w:r>
      <w:r>
        <w:rPr>
          <w:sz w:val="20"/>
        </w:rPr>
        <w:t>vztahu</w:t>
      </w:r>
      <w:r>
        <w:rPr>
          <w:spacing w:val="7"/>
          <w:sz w:val="20"/>
        </w:rPr>
        <w:t xml:space="preserve"> </w:t>
      </w:r>
      <w:r>
        <w:rPr>
          <w:sz w:val="20"/>
        </w:rPr>
        <w:t>mezi</w:t>
      </w:r>
      <w:r>
        <w:rPr>
          <w:spacing w:val="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faktury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6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4"/>
          <w:sz w:val="20"/>
        </w:rPr>
        <w:t xml:space="preserve"> </w:t>
      </w:r>
      <w:r>
        <w:rPr>
          <w:sz w:val="20"/>
        </w:rPr>
        <w:t>podepsanou</w:t>
      </w:r>
      <w:r>
        <w:rPr>
          <w:spacing w:val="6"/>
          <w:sz w:val="20"/>
        </w:rPr>
        <w:t xml:space="preserve"> </w:t>
      </w:r>
      <w:r>
        <w:rPr>
          <w:sz w:val="20"/>
        </w:rPr>
        <w:t>příjemcem</w:t>
      </w:r>
    </w:p>
    <w:p w:rsidR="00313B5B" w:rsidRDefault="00313B5B">
      <w:pPr>
        <w:jc w:val="both"/>
        <w:rPr>
          <w:sz w:val="20"/>
        </w:rPr>
        <w:sectPr w:rsidR="00313B5B">
          <w:pgSz w:w="12240" w:h="15840"/>
          <w:pgMar w:top="1060" w:right="1020" w:bottom="1080" w:left="1460" w:header="0" w:footer="894" w:gutter="0"/>
          <w:cols w:space="708"/>
        </w:sectPr>
      </w:pPr>
    </w:p>
    <w:p w:rsidR="00313B5B" w:rsidRDefault="00D126B7">
      <w:pPr>
        <w:pStyle w:val="Zkladntext"/>
        <w:spacing w:before="73"/>
        <w:ind w:right="110"/>
      </w:pPr>
      <w:r>
        <w:lastRenderedPageBreak/>
        <w:t>podpory i zhotovitelem. Tato oboustranná vzájemn</w:t>
      </w:r>
      <w:r>
        <w:t>á dohoda musí 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</w:t>
      </w:r>
      <w:r>
        <w:t>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313B5B" w:rsidRDefault="00D126B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</w:pPr>
      <w:r>
        <w:t>IV.</w:t>
      </w:r>
    </w:p>
    <w:p w:rsidR="00313B5B" w:rsidRDefault="00D126B7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13B5B" w:rsidRDefault="00313B5B">
      <w:pPr>
        <w:pStyle w:val="Zkladntext"/>
        <w:spacing w:before="1"/>
        <w:ind w:left="0"/>
        <w:jc w:val="left"/>
        <w:rPr>
          <w:b/>
        </w:rPr>
      </w:pPr>
    </w:p>
    <w:p w:rsidR="00313B5B" w:rsidRDefault="00D126B7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758"/>
        </w:tabs>
        <w:spacing w:before="118"/>
        <w:jc w:val="both"/>
        <w:rPr>
          <w:sz w:val="20"/>
        </w:rPr>
      </w:pPr>
      <w:r>
        <w:rPr>
          <w:sz w:val="20"/>
        </w:rPr>
        <w:t>splní</w:t>
      </w:r>
      <w:r>
        <w:rPr>
          <w:spacing w:val="13"/>
          <w:sz w:val="20"/>
        </w:rPr>
        <w:t xml:space="preserve"> </w:t>
      </w:r>
      <w:r>
        <w:rPr>
          <w:sz w:val="20"/>
        </w:rPr>
        <w:t>účel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„Výstavba</w:t>
      </w:r>
      <w:r>
        <w:rPr>
          <w:spacing w:val="14"/>
          <w:sz w:val="20"/>
        </w:rPr>
        <w:t xml:space="preserve"> </w:t>
      </w:r>
      <w:r>
        <w:rPr>
          <w:sz w:val="20"/>
        </w:rPr>
        <w:t>kanalizace</w:t>
      </w:r>
      <w:r>
        <w:rPr>
          <w:spacing w:val="13"/>
          <w:sz w:val="20"/>
        </w:rPr>
        <w:t xml:space="preserve"> </w:t>
      </w:r>
      <w:r>
        <w:rPr>
          <w:sz w:val="20"/>
        </w:rPr>
        <w:t>Těrlicko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Hradiště“</w:t>
      </w:r>
      <w:r>
        <w:rPr>
          <w:spacing w:val="14"/>
          <w:sz w:val="20"/>
        </w:rPr>
        <w:t xml:space="preserve"> </w:t>
      </w:r>
      <w:r>
        <w:rPr>
          <w:sz w:val="20"/>
        </w:rPr>
        <w:t>tím,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</w:p>
    <w:p w:rsidR="00313B5B" w:rsidRDefault="00D126B7">
      <w:pPr>
        <w:pStyle w:val="Zkladntext"/>
        <w:ind w:left="808"/>
      </w:pPr>
      <w:r>
        <w:t>žádostí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1"/>
        </w:rPr>
        <w:t xml:space="preserve"> </w:t>
      </w:r>
      <w:r>
        <w:t>přílohami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758"/>
        </w:tabs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1"/>
          <w:sz w:val="20"/>
        </w:rPr>
        <w:t xml:space="preserve"> </w:t>
      </w:r>
      <w:r>
        <w:rPr>
          <w:sz w:val="20"/>
        </w:rPr>
        <w:t>9,07</w:t>
      </w:r>
      <w:r>
        <w:rPr>
          <w:spacing w:val="-2"/>
          <w:sz w:val="20"/>
        </w:rPr>
        <w:t xml:space="preserve"> </w:t>
      </w:r>
      <w:r>
        <w:rPr>
          <w:sz w:val="20"/>
        </w:rPr>
        <w:t>km,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11"/>
        </w:tabs>
        <w:ind w:left="810" w:right="111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 452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EO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ČOV Těrlicko bude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odstraňováno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navíc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18,76 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11"/>
        </w:tabs>
        <w:spacing w:before="118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</w:t>
      </w:r>
      <w:r>
        <w:rPr>
          <w:sz w:val="20"/>
        </w:rPr>
        <w:t>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některých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majetkem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</w:t>
      </w:r>
      <w:r>
        <w:rPr>
          <w:sz w:val="20"/>
        </w:rPr>
        <w:t>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</w:t>
      </w:r>
      <w:r>
        <w:rPr>
          <w:sz w:val="20"/>
        </w:rPr>
        <w:t>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</w:p>
    <w:p w:rsidR="00313B5B" w:rsidRDefault="00D126B7">
      <w:pPr>
        <w:pStyle w:val="Zkladntext"/>
        <w:spacing w:before="1"/>
        <w:ind w:left="808"/>
      </w:pP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</w:p>
    <w:p w:rsidR="00313B5B" w:rsidRDefault="00313B5B">
      <w:pPr>
        <w:jc w:val="both"/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Zkladntext"/>
        <w:spacing w:before="73"/>
        <w:ind w:left="808"/>
      </w:pPr>
      <w:r>
        <w:lastRenderedPageBreak/>
        <w:t>transakcí,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nesouvisejí,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vést</w:t>
      </w:r>
      <w:r>
        <w:rPr>
          <w:spacing w:val="-2"/>
        </w:rPr>
        <w:t xml:space="preserve"> </w:t>
      </w:r>
      <w:r>
        <w:t>analytickou</w:t>
      </w:r>
      <w:r>
        <w:rPr>
          <w:spacing w:val="-2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vazbou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konkrétní</w:t>
      </w:r>
      <w:r>
        <w:rPr>
          <w:spacing w:val="-1"/>
        </w:rPr>
        <w:t xml:space="preserve"> </w:t>
      </w:r>
      <w:r>
        <w:t>akci,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</w:t>
      </w:r>
      <w:r>
        <w:rPr>
          <w:sz w:val="20"/>
        </w:rPr>
        <w:t>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left="8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-3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2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13B5B" w:rsidRDefault="00D126B7">
      <w:pPr>
        <w:pStyle w:val="Odstavecseseznamem"/>
        <w:numPr>
          <w:ilvl w:val="2"/>
          <w:numId w:val="5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předpokládaný termín ukončení stavebních a montážních prací do konce 6/2023,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 případ</w:t>
      </w:r>
      <w:r>
        <w:rPr>
          <w:sz w:val="20"/>
        </w:rPr>
        <w:t>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313B5B" w:rsidRDefault="00D126B7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11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9/2023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5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Sb.,</w:t>
      </w:r>
      <w:r>
        <w:rPr>
          <w:spacing w:val="95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vydán,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oznámení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3/2024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313B5B" w:rsidRDefault="00D126B7">
      <w:pPr>
        <w:pStyle w:val="Zkladntext"/>
        <w:spacing w:before="1"/>
        <w:ind w:left="808" w:right="113"/>
      </w:pPr>
      <w:r>
        <w:t xml:space="preserve">K ZVA může Fond vydat </w:t>
      </w:r>
      <w:r>
        <w:t>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</w:t>
      </w:r>
      <w:r>
        <w:t>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313B5B" w:rsidRDefault="00D126B7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úřadu</w:t>
      </w:r>
      <w:r>
        <w:rPr>
          <w:spacing w:val="1"/>
          <w:sz w:val="20"/>
        </w:rPr>
        <w:t xml:space="preserve"> </w:t>
      </w:r>
      <w:r>
        <w:rPr>
          <w:sz w:val="20"/>
        </w:rPr>
        <w:t>uplatněna,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částku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</w:t>
      </w:r>
      <w:r>
        <w:rPr>
          <w:sz w:val="20"/>
        </w:rPr>
        <w:t>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13B5B" w:rsidRDefault="00313B5B">
      <w:pPr>
        <w:jc w:val="both"/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left="808" w:right="117" w:hanging="284"/>
        <w:jc w:val="both"/>
        <w:rPr>
          <w:sz w:val="20"/>
        </w:rPr>
      </w:pPr>
      <w:r>
        <w:rPr>
          <w:sz w:val="20"/>
        </w:rPr>
        <w:lastRenderedPageBreak/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2"/>
          <w:sz w:val="20"/>
        </w:rPr>
        <w:t xml:space="preserve"> </w:t>
      </w:r>
      <w:r>
        <w:rPr>
          <w:sz w:val="20"/>
        </w:rPr>
        <w:t>pokyny,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8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</w:t>
      </w:r>
      <w:r>
        <w:rPr>
          <w:sz w:val="20"/>
        </w:rPr>
        <w:t>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313B5B" w:rsidRDefault="00D126B7">
      <w:pPr>
        <w:pStyle w:val="Zkladntext"/>
        <w:spacing w:before="1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1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64"/>
        </w:tabs>
        <w:spacing w:before="118"/>
        <w:ind w:left="808" w:right="110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prvního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8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 akce</w:t>
      </w:r>
      <w:r>
        <w:rPr>
          <w:spacing w:val="-52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313B5B" w:rsidRDefault="00D126B7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  <w:spacing w:before="186"/>
      </w:pPr>
      <w:r>
        <w:t>V.</w:t>
      </w:r>
    </w:p>
    <w:p w:rsidR="00313B5B" w:rsidRDefault="00D126B7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13B5B" w:rsidRDefault="00313B5B">
      <w:pPr>
        <w:pStyle w:val="Zkladntext"/>
        <w:spacing w:before="1"/>
        <w:ind w:left="0"/>
        <w:jc w:val="left"/>
        <w:rPr>
          <w:b/>
        </w:rPr>
      </w:pP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0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</w:t>
      </w:r>
      <w:r>
        <w:rPr>
          <w:sz w:val="20"/>
        </w:rPr>
        <w:t>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52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313B5B" w:rsidRDefault="00D126B7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313B5B" w:rsidRDefault="00313B5B">
      <w:p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313B5B" w:rsidRDefault="00D126B7">
      <w:pPr>
        <w:pStyle w:val="Zkladntext"/>
        <w:jc w:val="left"/>
      </w:pPr>
      <w: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  <w:r>
        <w:rPr>
          <w:spacing w:val="-52"/>
          <w:sz w:val="20"/>
        </w:rPr>
        <w:t xml:space="preserve"> </w:t>
      </w:r>
      <w:r>
        <w:rPr>
          <w:sz w:val="20"/>
        </w:rPr>
        <w:t>dlužné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313B5B" w:rsidRDefault="00D126B7">
      <w:pPr>
        <w:pStyle w:val="Zkladntext"/>
        <w:spacing w:before="1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0"/>
        </w:rPr>
        <w:t xml:space="preserve"> </w:t>
      </w:r>
      <w:r>
        <w:t>dnů</w:t>
      </w:r>
      <w:r>
        <w:rPr>
          <w:spacing w:val="50"/>
        </w:rPr>
        <w:t xml:space="preserve"> </w:t>
      </w:r>
      <w:r>
        <w:t>nebude</w:t>
      </w:r>
      <w:r>
        <w:rPr>
          <w:spacing w:val="51"/>
        </w:rPr>
        <w:t xml:space="preserve"> </w:t>
      </w:r>
      <w:r>
        <w:t>postiženo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nebude</w:t>
      </w:r>
      <w:r>
        <w:rPr>
          <w:spacing w:val="49"/>
        </w:rPr>
        <w:t xml:space="preserve"> </w:t>
      </w:r>
      <w:r>
        <w:t>tak</w:t>
      </w:r>
      <w:r>
        <w:rPr>
          <w:spacing w:val="51"/>
        </w:rPr>
        <w:t xml:space="preserve"> </w:t>
      </w:r>
      <w:r>
        <w:t>považováno</w:t>
      </w:r>
      <w:r>
        <w:rPr>
          <w:spacing w:val="52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porušení</w:t>
      </w:r>
      <w:r>
        <w:rPr>
          <w:spacing w:val="52"/>
        </w:rPr>
        <w:t xml:space="preserve"> </w:t>
      </w:r>
      <w:r>
        <w:t>podmínek</w:t>
      </w:r>
      <w:r>
        <w:rPr>
          <w:spacing w:val="49"/>
        </w:rPr>
        <w:t xml:space="preserve"> </w:t>
      </w:r>
      <w:r>
        <w:t>poskytnutí</w:t>
      </w:r>
    </w:p>
    <w:p w:rsidR="00313B5B" w:rsidRDefault="00D126B7">
      <w:pPr>
        <w:pStyle w:val="Zkladntext"/>
        <w:jc w:val="left"/>
      </w:pPr>
      <w: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7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76"/>
          <w:sz w:val="20"/>
        </w:rPr>
        <w:t xml:space="preserve"> </w:t>
      </w:r>
      <w:r>
        <w:rPr>
          <w:sz w:val="20"/>
        </w:rPr>
        <w:t>kdy</w:t>
      </w:r>
      <w:r>
        <w:rPr>
          <w:spacing w:val="73"/>
          <w:sz w:val="20"/>
        </w:rPr>
        <w:t xml:space="preserve"> </w:t>
      </w:r>
      <w:r>
        <w:rPr>
          <w:sz w:val="20"/>
        </w:rPr>
        <w:t>nejsou</w:t>
      </w:r>
      <w:r>
        <w:rPr>
          <w:spacing w:val="73"/>
          <w:sz w:val="20"/>
        </w:rPr>
        <w:t xml:space="preserve"> </w:t>
      </w:r>
      <w:r>
        <w:rPr>
          <w:sz w:val="20"/>
        </w:rPr>
        <w:t>zásadním</w:t>
      </w:r>
      <w:r>
        <w:rPr>
          <w:spacing w:val="74"/>
          <w:sz w:val="20"/>
        </w:rPr>
        <w:t xml:space="preserve"> </w:t>
      </w:r>
      <w:r>
        <w:rPr>
          <w:sz w:val="20"/>
        </w:rPr>
        <w:t>způsobem</w:t>
      </w:r>
      <w:r>
        <w:rPr>
          <w:spacing w:val="73"/>
          <w:sz w:val="20"/>
        </w:rPr>
        <w:t xml:space="preserve"> </w:t>
      </w:r>
      <w:r>
        <w:rPr>
          <w:sz w:val="20"/>
        </w:rPr>
        <w:t>dodrženy</w:t>
      </w:r>
      <w:r>
        <w:rPr>
          <w:spacing w:val="75"/>
          <w:sz w:val="20"/>
        </w:rPr>
        <w:t xml:space="preserve"> </w:t>
      </w:r>
      <w:r>
        <w:rPr>
          <w:sz w:val="20"/>
        </w:rPr>
        <w:t>podmínky</w:t>
      </w:r>
      <w:r>
        <w:rPr>
          <w:spacing w:val="72"/>
          <w:sz w:val="20"/>
        </w:rPr>
        <w:t xml:space="preserve"> </w:t>
      </w:r>
      <w:r>
        <w:rPr>
          <w:sz w:val="20"/>
        </w:rPr>
        <w:t>Metodiky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313B5B" w:rsidRDefault="00D126B7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313B5B" w:rsidRDefault="00D126B7">
      <w:pPr>
        <w:pStyle w:val="Zkladntext"/>
        <w:jc w:val="left"/>
      </w:pPr>
      <w:r>
        <w:t>podpory.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1"/>
      </w:pPr>
      <w:r>
        <w:t>VI.</w:t>
      </w:r>
    </w:p>
    <w:p w:rsidR="00313B5B" w:rsidRDefault="00D126B7">
      <w:pPr>
        <w:pStyle w:val="Nadpis2"/>
        <w:spacing w:before="1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13B5B" w:rsidRDefault="00313B5B">
      <w:pPr>
        <w:pStyle w:val="Zkladntext"/>
        <w:ind w:left="0"/>
        <w:jc w:val="left"/>
        <w:rPr>
          <w:b/>
        </w:rPr>
      </w:pP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</w:t>
      </w:r>
      <w:r>
        <w:rPr>
          <w:sz w:val="20"/>
        </w:rPr>
        <w:t>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313B5B" w:rsidRDefault="00D126B7">
      <w:pPr>
        <w:pStyle w:val="Zkladntext"/>
        <w:jc w:val="left"/>
      </w:pPr>
      <w:r>
        <w:t>Smlouvou.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13B5B" w:rsidRDefault="00313B5B">
      <w:pPr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13B5B" w:rsidRDefault="00D126B7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8"/>
        </w:rPr>
      </w:pPr>
    </w:p>
    <w:p w:rsidR="00313B5B" w:rsidRDefault="00D126B7">
      <w:pPr>
        <w:pStyle w:val="Zkladntext"/>
        <w:spacing w:before="1"/>
        <w:ind w:left="242"/>
        <w:jc w:val="left"/>
      </w:pPr>
      <w:r>
        <w:t>V:</w:t>
      </w:r>
    </w:p>
    <w:p w:rsidR="00313B5B" w:rsidRDefault="00313B5B">
      <w:pPr>
        <w:pStyle w:val="Zkladntext"/>
        <w:spacing w:before="1"/>
        <w:ind w:left="0"/>
        <w:jc w:val="left"/>
      </w:pPr>
    </w:p>
    <w:p w:rsidR="00313B5B" w:rsidRDefault="00D126B7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2"/>
        </w:rPr>
      </w:pPr>
    </w:p>
    <w:p w:rsidR="00313B5B" w:rsidRDefault="00D126B7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13B5B" w:rsidRDefault="00D126B7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spacing w:before="4"/>
        <w:ind w:left="0"/>
        <w:jc w:val="left"/>
        <w:rPr>
          <w:sz w:val="23"/>
        </w:rPr>
      </w:pPr>
    </w:p>
    <w:p w:rsidR="00313B5B" w:rsidRDefault="00D126B7">
      <w:pPr>
        <w:pStyle w:val="Zkladntext"/>
        <w:ind w:left="24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oddílný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provozování</w:t>
      </w:r>
    </w:p>
    <w:p w:rsidR="00313B5B" w:rsidRDefault="00313B5B">
      <w:pPr>
        <w:pStyle w:val="Zkladntext"/>
        <w:spacing w:before="2"/>
        <w:ind w:left="0"/>
        <w:jc w:val="left"/>
        <w:rPr>
          <w:sz w:val="38"/>
        </w:rPr>
      </w:pPr>
    </w:p>
    <w:p w:rsidR="00313B5B" w:rsidRDefault="00D126B7">
      <w:pPr>
        <w:pStyle w:val="Zkladntext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13B5B" w:rsidRDefault="00313B5B">
      <w:p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13B5B" w:rsidRDefault="00313B5B">
      <w:pPr>
        <w:pStyle w:val="Zkladntext"/>
        <w:spacing w:before="1"/>
        <w:ind w:left="0"/>
        <w:jc w:val="left"/>
        <w:rPr>
          <w:sz w:val="27"/>
        </w:rPr>
      </w:pPr>
    </w:p>
    <w:p w:rsidR="00313B5B" w:rsidRDefault="00D126B7">
      <w:pPr>
        <w:pStyle w:val="Nadpis2"/>
        <w:ind w:left="242"/>
        <w:jc w:val="left"/>
      </w:pP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oddílný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313B5B" w:rsidRDefault="00313B5B">
      <w:pPr>
        <w:pStyle w:val="Zkladntext"/>
        <w:spacing w:before="1"/>
        <w:ind w:left="0"/>
        <w:jc w:val="left"/>
        <w:rPr>
          <w:b/>
          <w:sz w:val="29"/>
        </w:rPr>
      </w:pP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732"/>
        </w:tabs>
        <w:spacing w:before="0"/>
        <w:ind w:right="110" w:hanging="428"/>
        <w:jc w:val="both"/>
        <w:rPr>
          <w:rFonts w:ascii="Times New Roman" w:hAnsi="Times New Roman"/>
          <w:sz w:val="20"/>
        </w:rPr>
      </w:pPr>
      <w:r>
        <w:tab/>
      </w: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3"/>
          <w:sz w:val="20"/>
        </w:rPr>
        <w:t xml:space="preserve"> </w:t>
      </w:r>
      <w:r>
        <w:rPr>
          <w:sz w:val="20"/>
        </w:rPr>
        <w:t>právní</w:t>
      </w:r>
      <w:r>
        <w:rPr>
          <w:spacing w:val="10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2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13"/>
          <w:sz w:val="20"/>
        </w:rPr>
        <w:t xml:space="preserve"> </w:t>
      </w:r>
      <w:r>
        <w:rPr>
          <w:sz w:val="20"/>
        </w:rPr>
        <w:t>oddílného</w:t>
      </w:r>
      <w:r>
        <w:rPr>
          <w:spacing w:val="14"/>
          <w:sz w:val="20"/>
        </w:rPr>
        <w:t xml:space="preserve"> </w:t>
      </w:r>
      <w:r>
        <w:rPr>
          <w:sz w:val="20"/>
        </w:rPr>
        <w:t>modelu,</w:t>
      </w:r>
      <w:r>
        <w:rPr>
          <w:spacing w:val="14"/>
          <w:sz w:val="20"/>
        </w:rPr>
        <w:t xml:space="preserve"> </w:t>
      </w:r>
      <w:r>
        <w:rPr>
          <w:sz w:val="20"/>
        </w:rPr>
        <w:t>tzn.,</w:t>
      </w:r>
      <w:r>
        <w:rPr>
          <w:spacing w:val="13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ji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provozovat</w:t>
      </w:r>
      <w:r>
        <w:rPr>
          <w:spacing w:val="13"/>
          <w:sz w:val="20"/>
        </w:rPr>
        <w:t xml:space="preserve"> </w:t>
      </w:r>
      <w:r>
        <w:rPr>
          <w:sz w:val="20"/>
        </w:rPr>
        <w:t>subjekt,</w:t>
      </w:r>
      <w:r>
        <w:rPr>
          <w:spacing w:val="13"/>
          <w:sz w:val="20"/>
        </w:rPr>
        <w:t xml:space="preserve"> </w:t>
      </w:r>
      <w:r>
        <w:rPr>
          <w:sz w:val="20"/>
        </w:rPr>
        <w:t>který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odlišný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a který příjemce podpory neovládá ze 100 %. (k modelům provozování infrastruktury a 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1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oddílný</w:t>
      </w:r>
      <w:r>
        <w:rPr>
          <w:spacing w:val="20"/>
          <w:sz w:val="20"/>
        </w:rPr>
        <w:t xml:space="preserve"> </w:t>
      </w:r>
      <w:r>
        <w:rPr>
          <w:sz w:val="20"/>
        </w:rPr>
        <w:t>model</w:t>
      </w:r>
      <w:r>
        <w:rPr>
          <w:spacing w:val="21"/>
          <w:sz w:val="20"/>
        </w:rPr>
        <w:t xml:space="preserve"> </w:t>
      </w:r>
      <w:r>
        <w:rPr>
          <w:sz w:val="20"/>
        </w:rPr>
        <w:t>viz</w:t>
      </w:r>
      <w:r>
        <w:rPr>
          <w:spacing w:val="22"/>
          <w:sz w:val="20"/>
        </w:rPr>
        <w:t xml:space="preserve"> </w:t>
      </w:r>
      <w:r>
        <w:rPr>
          <w:sz w:val="20"/>
        </w:rPr>
        <w:t>dokument</w:t>
      </w:r>
      <w:r>
        <w:rPr>
          <w:spacing w:val="23"/>
          <w:sz w:val="20"/>
        </w:rPr>
        <w:t xml:space="preserve"> </w:t>
      </w:r>
      <w:r>
        <w:rPr>
          <w:sz w:val="20"/>
        </w:rPr>
        <w:t>„Metodika</w:t>
      </w:r>
      <w:r>
        <w:rPr>
          <w:spacing w:val="20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žadatele</w:t>
      </w:r>
      <w:r>
        <w:rPr>
          <w:spacing w:val="20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21"/>
          <w:sz w:val="20"/>
        </w:rPr>
        <w:t xml:space="preserve"> </w:t>
      </w:r>
      <w:r>
        <w:rPr>
          <w:sz w:val="20"/>
        </w:rPr>
        <w:t>podmínky</w:t>
      </w:r>
      <w:r>
        <w:rPr>
          <w:spacing w:val="19"/>
          <w:sz w:val="20"/>
        </w:rPr>
        <w:t xml:space="preserve"> </w:t>
      </w:r>
      <w:r>
        <w:rPr>
          <w:sz w:val="20"/>
        </w:rPr>
        <w:t>přílohy</w:t>
      </w:r>
      <w:r>
        <w:rPr>
          <w:spacing w:val="-52"/>
          <w:sz w:val="20"/>
        </w:rPr>
        <w:t xml:space="preserve"> </w:t>
      </w:r>
      <w:r>
        <w:rPr>
          <w:sz w:val="20"/>
        </w:rPr>
        <w:t>č. 6 Programového dokumentu OPŽP 2014 – 2020“ dále jen „Metodika“, která je součástí PrŽaP). 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2"/>
          <w:sz w:val="20"/>
        </w:rPr>
        <w:t xml:space="preserve"> </w:t>
      </w:r>
      <w:r>
        <w:rPr>
          <w:sz w:val="20"/>
        </w:rPr>
        <w:t>vodohospo</w:t>
      </w:r>
      <w:r>
        <w:rPr>
          <w:sz w:val="20"/>
        </w:rPr>
        <w:t>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veškerá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provozní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2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-3"/>
          <w:sz w:val="20"/>
        </w:rPr>
        <w:t xml:space="preserve"> </w:t>
      </w:r>
      <w:r>
        <w:rPr>
          <w:sz w:val="20"/>
        </w:rPr>
        <w:t>spolufinancovaná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podporou.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ind w:right="108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posouzení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výběrovému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(rovněž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4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smlouvy)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aplikovatelnými</w:t>
      </w:r>
      <w:r>
        <w:rPr>
          <w:spacing w:val="-7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</w:t>
      </w:r>
      <w:r>
        <w:rPr>
          <w:spacing w:val="-53"/>
          <w:sz w:val="20"/>
        </w:rPr>
        <w:t xml:space="preserve"> </w:t>
      </w:r>
      <w:r>
        <w:rPr>
          <w:sz w:val="20"/>
        </w:rPr>
        <w:t>a jeho dokumentaci včetně návrhu provozní smlouvy odpovídající požadavkům Metodiky (účinné ke</w:t>
      </w:r>
      <w:r>
        <w:rPr>
          <w:spacing w:val="1"/>
          <w:sz w:val="20"/>
        </w:rPr>
        <w:t xml:space="preserve"> </w:t>
      </w:r>
      <w:r>
        <w:rPr>
          <w:sz w:val="20"/>
        </w:rPr>
        <w:t>dni předložení návrhu provozní smlouvy, a to v dos</w:t>
      </w:r>
      <w:r>
        <w:rPr>
          <w:sz w:val="20"/>
        </w:rPr>
        <w:t>tatečném předstihu před zahájením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na provozovatele vodohospodářské infrastruktury za účelem umožnění jejich kontroly.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následně v řádném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provedeném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aplikovatelnými</w:t>
      </w:r>
      <w:r>
        <w:rPr>
          <w:spacing w:val="1"/>
          <w:sz w:val="20"/>
        </w:rPr>
        <w:t xml:space="preserve"> </w:t>
      </w:r>
      <w:r>
        <w:rPr>
          <w:sz w:val="20"/>
        </w:rPr>
        <w:t>účinnými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vybere</w:t>
      </w:r>
      <w:r>
        <w:rPr>
          <w:spacing w:val="1"/>
          <w:sz w:val="20"/>
        </w:rPr>
        <w:t xml:space="preserve"> </w:t>
      </w:r>
      <w:r>
        <w:rPr>
          <w:sz w:val="20"/>
        </w:rPr>
        <w:t>nového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uzavře</w:t>
      </w:r>
      <w:r>
        <w:rPr>
          <w:spacing w:val="1"/>
          <w:sz w:val="20"/>
        </w:rPr>
        <w:t xml:space="preserve"> </w:t>
      </w:r>
      <w:r>
        <w:rPr>
          <w:sz w:val="20"/>
        </w:rPr>
        <w:t>novou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 předloží platně uzavřenou smlouvu o provozování a dokumentaci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spacing w:before="120"/>
        <w:ind w:right="113" w:hanging="428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</w:t>
      </w:r>
      <w:r>
        <w:rPr>
          <w:sz w:val="20"/>
        </w:rPr>
        <w:t>ší mezinárodní</w:t>
      </w:r>
      <w:r>
        <w:rPr>
          <w:spacing w:val="1"/>
          <w:sz w:val="20"/>
        </w:rPr>
        <w:t xml:space="preserve"> </w:t>
      </w:r>
      <w:r>
        <w:rPr>
          <w:sz w:val="20"/>
        </w:rPr>
        <w:t>praxe</w:t>
      </w:r>
      <w:r>
        <w:rPr>
          <w:spacing w:val="1"/>
          <w:sz w:val="20"/>
        </w:rPr>
        <w:t xml:space="preserve"> </w:t>
      </w:r>
      <w:r>
        <w:rPr>
          <w:sz w:val="20"/>
        </w:rPr>
        <w:t>v oboru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soulad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 požadavky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2020 a</w:t>
      </w:r>
      <w:r>
        <w:rPr>
          <w:spacing w:val="-1"/>
          <w:sz w:val="20"/>
        </w:rPr>
        <w:t xml:space="preserve"> </w:t>
      </w:r>
      <w:r>
        <w:rPr>
          <w:sz w:val="20"/>
        </w:rPr>
        <w:t>Metodiky.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ind w:right="119" w:hanging="428"/>
        <w:jc w:val="both"/>
        <w:rPr>
          <w:sz w:val="20"/>
        </w:rPr>
      </w:pPr>
      <w:r>
        <w:rPr>
          <w:sz w:val="20"/>
        </w:rPr>
        <w:t>Příjemce podpory zajistí, že bude po dobu nejméně 10 let od prvního dne následujícího kalendářního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1"/>
          <w:sz w:val="20"/>
        </w:rPr>
        <w:t xml:space="preserve"> </w:t>
      </w:r>
      <w:r>
        <w:rPr>
          <w:sz w:val="20"/>
        </w:rPr>
        <w:t>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1"/>
          <w:sz w:val="20"/>
        </w:rPr>
        <w:t xml:space="preserve"> </w:t>
      </w:r>
      <w:r>
        <w:rPr>
          <w:sz w:val="20"/>
        </w:rPr>
        <w:t>k projektu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2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313B5B" w:rsidRDefault="00D126B7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111" w:hanging="28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neuplatňuje</w:t>
      </w:r>
      <w:r>
        <w:rPr>
          <w:spacing w:val="-3"/>
          <w:sz w:val="20"/>
        </w:rPr>
        <w:t xml:space="preserve"> </w:t>
      </w:r>
      <w:r>
        <w:rPr>
          <w:sz w:val="20"/>
        </w:rPr>
        <w:t>služební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2"/>
          <w:sz w:val="20"/>
        </w:rPr>
        <w:t xml:space="preserve"> </w:t>
      </w:r>
      <w:r>
        <w:rPr>
          <w:sz w:val="20"/>
        </w:rPr>
        <w:t>(dle</w:t>
      </w:r>
      <w:r>
        <w:rPr>
          <w:spacing w:val="-4"/>
          <w:sz w:val="20"/>
        </w:rPr>
        <w:t xml:space="preserve"> </w:t>
      </w:r>
      <w:r>
        <w:rPr>
          <w:sz w:val="20"/>
        </w:rPr>
        <w:t>definice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Metodice),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zajištěna tvorba nájemného ve složce dodávek pitné vody a/nebo odvádění a čištění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31"/>
          <w:sz w:val="20"/>
        </w:rPr>
        <w:t xml:space="preserve"> </w:t>
      </w:r>
      <w:r>
        <w:rPr>
          <w:sz w:val="20"/>
        </w:rPr>
        <w:t>vod</w:t>
      </w:r>
      <w:r>
        <w:rPr>
          <w:spacing w:val="84"/>
          <w:sz w:val="20"/>
        </w:rPr>
        <w:t xml:space="preserve"> </w:t>
      </w:r>
      <w:r>
        <w:rPr>
          <w:sz w:val="20"/>
        </w:rPr>
        <w:t>a</w:t>
      </w:r>
      <w:r>
        <w:rPr>
          <w:spacing w:val="83"/>
          <w:sz w:val="20"/>
        </w:rPr>
        <w:t xml:space="preserve"> </w:t>
      </w:r>
      <w:r>
        <w:rPr>
          <w:sz w:val="20"/>
        </w:rPr>
        <w:t>tvorba</w:t>
      </w:r>
      <w:r>
        <w:rPr>
          <w:spacing w:val="8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4"/>
          <w:sz w:val="20"/>
        </w:rPr>
        <w:t xml:space="preserve"> </w:t>
      </w:r>
      <w:r>
        <w:rPr>
          <w:sz w:val="20"/>
        </w:rPr>
        <w:t>na</w:t>
      </w:r>
      <w:r>
        <w:rPr>
          <w:spacing w:val="83"/>
          <w:sz w:val="20"/>
        </w:rPr>
        <w:t xml:space="preserve"> </w:t>
      </w:r>
      <w:r>
        <w:rPr>
          <w:sz w:val="20"/>
        </w:rPr>
        <w:t>obnovu</w:t>
      </w:r>
      <w:r>
        <w:rPr>
          <w:spacing w:val="84"/>
          <w:sz w:val="20"/>
        </w:rPr>
        <w:t xml:space="preserve"> </w:t>
      </w:r>
      <w:r>
        <w:rPr>
          <w:sz w:val="20"/>
        </w:rPr>
        <w:t>vodovodů</w:t>
      </w:r>
      <w:r>
        <w:rPr>
          <w:spacing w:val="85"/>
          <w:sz w:val="20"/>
        </w:rPr>
        <w:t xml:space="preserve"> </w:t>
      </w:r>
      <w:r>
        <w:rPr>
          <w:sz w:val="20"/>
        </w:rPr>
        <w:t>a/nebo</w:t>
      </w:r>
      <w:r>
        <w:rPr>
          <w:spacing w:val="85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3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3"/>
          <w:sz w:val="20"/>
        </w:rPr>
        <w:t xml:space="preserve"> </w:t>
      </w:r>
      <w:r>
        <w:rPr>
          <w:sz w:val="20"/>
        </w:rPr>
        <w:t>s návrhem Plánu financování obnovy vodovodů nebo kanalizací schváleným Fondem. Tat</w:t>
      </w:r>
      <w:r>
        <w:rPr>
          <w:sz w:val="20"/>
        </w:rPr>
        <w:t>o 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4"/>
          <w:sz w:val="20"/>
        </w:rPr>
        <w:t xml:space="preserve"> </w:t>
      </w:r>
      <w:r>
        <w:rPr>
          <w:sz w:val="20"/>
        </w:rPr>
        <w:t>modelu,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povinnou</w:t>
      </w:r>
      <w:r>
        <w:rPr>
          <w:spacing w:val="-6"/>
          <w:sz w:val="20"/>
        </w:rPr>
        <w:t xml:space="preserve"> </w:t>
      </w:r>
      <w:r>
        <w:rPr>
          <w:sz w:val="20"/>
        </w:rPr>
        <w:t>součást</w:t>
      </w:r>
      <w:r>
        <w:rPr>
          <w:spacing w:val="-6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“finanční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model“);</w:t>
      </w:r>
    </w:p>
    <w:p w:rsidR="00313B5B" w:rsidRDefault="00D126B7">
      <w:pPr>
        <w:pStyle w:val="Odstavecseseznamem"/>
        <w:numPr>
          <w:ilvl w:val="1"/>
          <w:numId w:val="2"/>
        </w:numPr>
        <w:tabs>
          <w:tab w:val="left" w:pos="919"/>
        </w:tabs>
        <w:spacing w:before="120"/>
        <w:ind w:right="112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Metodice), musí být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83"/>
          <w:sz w:val="20"/>
        </w:rPr>
        <w:t xml:space="preserve"> </w:t>
      </w:r>
      <w:r>
        <w:rPr>
          <w:sz w:val="20"/>
        </w:rPr>
        <w:t>zajištěna</w:t>
      </w:r>
      <w:r>
        <w:rPr>
          <w:spacing w:val="84"/>
          <w:sz w:val="20"/>
        </w:rPr>
        <w:t xml:space="preserve"> </w:t>
      </w:r>
      <w:r>
        <w:rPr>
          <w:sz w:val="20"/>
        </w:rPr>
        <w:t>tvorba</w:t>
      </w:r>
      <w:r>
        <w:rPr>
          <w:spacing w:val="8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5"/>
          <w:sz w:val="20"/>
        </w:rPr>
        <w:t xml:space="preserve"> </w:t>
      </w:r>
      <w:r>
        <w:rPr>
          <w:sz w:val="20"/>
        </w:rPr>
        <w:t>na</w:t>
      </w:r>
      <w:r>
        <w:rPr>
          <w:spacing w:val="84"/>
          <w:sz w:val="20"/>
        </w:rPr>
        <w:t xml:space="preserve"> </w:t>
      </w:r>
      <w:r>
        <w:rPr>
          <w:sz w:val="20"/>
        </w:rPr>
        <w:t>obnovu</w:t>
      </w:r>
      <w:r>
        <w:rPr>
          <w:spacing w:val="84"/>
          <w:sz w:val="20"/>
        </w:rPr>
        <w:t xml:space="preserve"> </w:t>
      </w:r>
      <w:r>
        <w:rPr>
          <w:sz w:val="20"/>
        </w:rPr>
        <w:t>vodovodů</w:t>
      </w:r>
      <w:r>
        <w:rPr>
          <w:spacing w:val="85"/>
          <w:sz w:val="20"/>
        </w:rPr>
        <w:t xml:space="preserve"> </w:t>
      </w:r>
      <w:r>
        <w:rPr>
          <w:sz w:val="20"/>
        </w:rPr>
        <w:t>a/nebo</w:t>
      </w:r>
      <w:r>
        <w:rPr>
          <w:spacing w:val="85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5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návrhem Plánu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2"/>
          <w:sz w:val="20"/>
        </w:rPr>
        <w:t xml:space="preserve"> </w:t>
      </w:r>
      <w:r>
        <w:rPr>
          <w:sz w:val="20"/>
        </w:rPr>
        <w:t>obnovy</w:t>
      </w:r>
      <w:r>
        <w:rPr>
          <w:spacing w:val="-1"/>
          <w:sz w:val="20"/>
        </w:rPr>
        <w:t xml:space="preserve"> </w:t>
      </w:r>
      <w:r>
        <w:rPr>
          <w:sz w:val="20"/>
        </w:rPr>
        <w:t>vodovodů nebo 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schváleným Fondem.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ind w:right="116" w:hanging="428"/>
        <w:jc w:val="both"/>
        <w:rPr>
          <w:sz w:val="20"/>
        </w:rPr>
      </w:pPr>
      <w:r>
        <w:rPr>
          <w:w w:val="95"/>
          <w:sz w:val="20"/>
        </w:rPr>
        <w:t>Změna výše nájemného, případně výše prostředků na obnovu vodovodů a/nebo kanalizací dle odstavce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313B5B" w:rsidRDefault="00D126B7">
      <w:pPr>
        <w:pStyle w:val="Odstavecseseznamem"/>
        <w:numPr>
          <w:ilvl w:val="1"/>
          <w:numId w:val="2"/>
        </w:numPr>
        <w:tabs>
          <w:tab w:val="left" w:pos="897"/>
        </w:tabs>
        <w:spacing w:before="119"/>
        <w:ind w:right="120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313B5B" w:rsidRDefault="00D126B7">
      <w:pPr>
        <w:pStyle w:val="Odstavecseseznamem"/>
        <w:numPr>
          <w:ilvl w:val="1"/>
          <w:numId w:val="2"/>
        </w:numPr>
        <w:tabs>
          <w:tab w:val="left" w:pos="981"/>
        </w:tabs>
        <w:ind w:right="114" w:hanging="281"/>
        <w:jc w:val="both"/>
        <w:rPr>
          <w:sz w:val="20"/>
        </w:rPr>
      </w:pPr>
      <w:r>
        <w:rPr>
          <w:sz w:val="20"/>
        </w:rPr>
        <w:t>dosažení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prokazatelně </w:t>
      </w:r>
      <w:r>
        <w:rPr>
          <w:sz w:val="20"/>
        </w:rPr>
        <w:t>vytváří zdroje pro správu, obnovu a případné rozšíření vodovodů a/nebo kanalizací</w:t>
      </w:r>
      <w:r>
        <w:rPr>
          <w:spacing w:val="1"/>
          <w:sz w:val="20"/>
        </w:rPr>
        <w:t xml:space="preserve"> </w:t>
      </w:r>
      <w:r>
        <w:rPr>
          <w:sz w:val="20"/>
        </w:rPr>
        <w:t>minimálně ve výši „plných odpisů“. V obou případech je nezbytné, aby Fond navrženou odchylku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odsouhlasil.</w:t>
      </w:r>
    </w:p>
    <w:p w:rsidR="00313B5B" w:rsidRDefault="00313B5B">
      <w:pPr>
        <w:jc w:val="both"/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spacing w:before="73"/>
        <w:ind w:right="118" w:hanging="428"/>
        <w:jc w:val="both"/>
        <w:rPr>
          <w:sz w:val="20"/>
        </w:rPr>
      </w:pPr>
      <w:r>
        <w:rPr>
          <w:sz w:val="20"/>
        </w:rPr>
        <w:lastRenderedPageBreak/>
        <w:t xml:space="preserve">Nájemné (nebo v případě služebních provozních smluv i </w:t>
      </w:r>
      <w:r>
        <w:rPr>
          <w:sz w:val="20"/>
        </w:rPr>
        <w:t>čistý příjem) z provozování vodohospodářské</w:t>
      </w:r>
      <w:r>
        <w:rPr>
          <w:spacing w:val="-52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použito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principy</w:t>
      </w:r>
      <w:r>
        <w:rPr>
          <w:spacing w:val="-1"/>
          <w:sz w:val="20"/>
        </w:rPr>
        <w:t xml:space="preserve"> </w:t>
      </w:r>
      <w:r>
        <w:rPr>
          <w:sz w:val="20"/>
        </w:rPr>
        <w:t>péče</w:t>
      </w:r>
      <w:r>
        <w:rPr>
          <w:spacing w:val="-2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ind w:right="110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primární provozní smlouvy</w:t>
      </w:r>
      <w:r>
        <w:rPr>
          <w:spacing w:val="1"/>
          <w:sz w:val="20"/>
        </w:rPr>
        <w:t xml:space="preserve"> </w:t>
      </w:r>
      <w:r>
        <w:rPr>
          <w:sz w:val="20"/>
        </w:rPr>
        <w:t>budou aplikovány zároveň na „související</w:t>
      </w:r>
      <w:r>
        <w:rPr>
          <w:sz w:val="20"/>
        </w:rPr>
        <w:t xml:space="preserve"> provozní smlouvy“ ve smyslu Metodiky s tím, že v 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platnosti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2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 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model.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8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60"/>
          <w:sz w:val="20"/>
        </w:rPr>
        <w:t xml:space="preserve"> </w:t>
      </w:r>
      <w:r>
        <w:rPr>
          <w:sz w:val="20"/>
        </w:rPr>
        <w:t>podpory</w:t>
      </w:r>
      <w:r>
        <w:rPr>
          <w:spacing w:val="62"/>
          <w:sz w:val="20"/>
        </w:rPr>
        <w:t xml:space="preserve"> </w:t>
      </w:r>
      <w:r>
        <w:rPr>
          <w:sz w:val="20"/>
        </w:rPr>
        <w:t>je</w:t>
      </w:r>
      <w:r>
        <w:rPr>
          <w:spacing w:val="59"/>
          <w:sz w:val="20"/>
        </w:rPr>
        <w:t xml:space="preserve"> </w:t>
      </w:r>
      <w:r>
        <w:rPr>
          <w:sz w:val="20"/>
        </w:rPr>
        <w:t>povinen</w:t>
      </w:r>
      <w:r>
        <w:rPr>
          <w:spacing w:val="62"/>
          <w:sz w:val="20"/>
        </w:rPr>
        <w:t xml:space="preserve"> </w:t>
      </w:r>
      <w:r>
        <w:rPr>
          <w:sz w:val="20"/>
        </w:rPr>
        <w:t>veškeré</w:t>
      </w:r>
      <w:r>
        <w:rPr>
          <w:spacing w:val="60"/>
          <w:sz w:val="20"/>
        </w:rPr>
        <w:t xml:space="preserve"> </w:t>
      </w:r>
      <w:r>
        <w:rPr>
          <w:sz w:val="20"/>
        </w:rPr>
        <w:t>změny</w:t>
      </w:r>
      <w:r>
        <w:rPr>
          <w:spacing w:val="61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provozní</w:t>
      </w:r>
      <w:r>
        <w:rPr>
          <w:spacing w:val="62"/>
          <w:sz w:val="20"/>
        </w:rPr>
        <w:t xml:space="preserve"> </w:t>
      </w:r>
      <w:r>
        <w:rPr>
          <w:sz w:val="20"/>
        </w:rPr>
        <w:t>smlouvě,</w:t>
      </w:r>
      <w:r>
        <w:rPr>
          <w:spacing w:val="61"/>
          <w:sz w:val="20"/>
        </w:rPr>
        <w:t xml:space="preserve"> </w:t>
      </w:r>
      <w:r>
        <w:rPr>
          <w:sz w:val="20"/>
        </w:rPr>
        <w:t>které</w:t>
      </w:r>
      <w:r>
        <w:rPr>
          <w:spacing w:val="61"/>
          <w:sz w:val="20"/>
        </w:rPr>
        <w:t xml:space="preserve"> </w:t>
      </w:r>
      <w:r>
        <w:rPr>
          <w:sz w:val="20"/>
        </w:rPr>
        <w:t>mohou</w:t>
      </w:r>
      <w:r>
        <w:rPr>
          <w:spacing w:val="61"/>
          <w:sz w:val="20"/>
        </w:rPr>
        <w:t xml:space="preserve"> </w:t>
      </w:r>
      <w:r>
        <w:rPr>
          <w:sz w:val="20"/>
        </w:rPr>
        <w:t>ovlivnit</w:t>
      </w:r>
      <w:r>
        <w:rPr>
          <w:spacing w:val="61"/>
          <w:sz w:val="20"/>
        </w:rPr>
        <w:t xml:space="preserve"> </w:t>
      </w:r>
      <w:r>
        <w:rPr>
          <w:sz w:val="20"/>
        </w:rPr>
        <w:t>soulad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Metodikou, uskutečnit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souhlasem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13B5B" w:rsidRDefault="00D126B7">
      <w:pPr>
        <w:pStyle w:val="Odstavecseseznamem"/>
        <w:numPr>
          <w:ilvl w:val="0"/>
          <w:numId w:val="2"/>
        </w:numPr>
        <w:tabs>
          <w:tab w:val="left" w:pos="670"/>
        </w:tabs>
        <w:ind w:right="117" w:hanging="428"/>
        <w:jc w:val="both"/>
        <w:rPr>
          <w:sz w:val="20"/>
        </w:rPr>
      </w:pPr>
      <w:r>
        <w:rPr>
          <w:sz w:val="20"/>
        </w:rPr>
        <w:t>Příjemce podpory zajistí, že nejpozději do 31.12. kalendářního roku, ve kterém dojde k nabytí právní</w:t>
      </w:r>
      <w:r>
        <w:rPr>
          <w:spacing w:val="1"/>
          <w:sz w:val="20"/>
        </w:rPr>
        <w:t xml:space="preserve"> </w:t>
      </w:r>
      <w:r>
        <w:rPr>
          <w:sz w:val="20"/>
        </w:rPr>
        <w:t>moci posledního kolaudačního souhlasu k projektu, bude u</w:t>
      </w:r>
      <w:r>
        <w:rPr>
          <w:sz w:val="20"/>
        </w:rPr>
        <w:t>končena stávající provozní smlouva, kterou</w:t>
      </w:r>
      <w:r>
        <w:rPr>
          <w:spacing w:val="-5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uzavřenou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3"/>
          <w:sz w:val="20"/>
        </w:rPr>
        <w:t xml:space="preserve"> </w:t>
      </w:r>
      <w:r>
        <w:rPr>
          <w:sz w:val="20"/>
        </w:rPr>
        <w:t>Severomoravské</w:t>
      </w:r>
      <w:r>
        <w:rPr>
          <w:spacing w:val="-2"/>
          <w:sz w:val="20"/>
        </w:rPr>
        <w:t xml:space="preserve"> </w:t>
      </w:r>
      <w:r>
        <w:rPr>
          <w:sz w:val="20"/>
        </w:rPr>
        <w:t>vodovody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2"/>
          <w:sz w:val="20"/>
        </w:rPr>
        <w:t xml:space="preserve"> </w:t>
      </w:r>
      <w:r>
        <w:rPr>
          <w:sz w:val="20"/>
        </w:rPr>
        <w:t>Ostrava, a.s.</w:t>
      </w:r>
    </w:p>
    <w:p w:rsidR="00313B5B" w:rsidRDefault="00313B5B">
      <w:pPr>
        <w:jc w:val="both"/>
        <w:rPr>
          <w:sz w:val="20"/>
        </w:rPr>
        <w:sectPr w:rsidR="00313B5B">
          <w:pgSz w:w="12240" w:h="15840"/>
          <w:pgMar w:top="1060" w:right="1020" w:bottom="1140" w:left="1460" w:header="0" w:footer="894" w:gutter="0"/>
          <w:cols w:space="708"/>
        </w:sectPr>
      </w:pPr>
    </w:p>
    <w:p w:rsidR="00313B5B" w:rsidRDefault="00D126B7">
      <w:pPr>
        <w:pStyle w:val="Zkladntext"/>
        <w:spacing w:before="79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313B5B">
      <w:pPr>
        <w:pStyle w:val="Zkladntext"/>
        <w:ind w:left="0"/>
        <w:jc w:val="left"/>
        <w:rPr>
          <w:sz w:val="26"/>
        </w:rPr>
      </w:pPr>
    </w:p>
    <w:p w:rsidR="00313B5B" w:rsidRDefault="00D126B7">
      <w:pPr>
        <w:pStyle w:val="Nadpis2"/>
        <w:spacing w:before="202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313B5B" w:rsidRDefault="00313B5B">
      <w:pPr>
        <w:pStyle w:val="Zkladntext"/>
        <w:spacing w:before="1"/>
        <w:ind w:left="0"/>
        <w:jc w:val="left"/>
        <w:rPr>
          <w:b/>
          <w:sz w:val="27"/>
        </w:rPr>
      </w:pP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</w:t>
      </w:r>
      <w:r>
        <w:rPr>
          <w:sz w:val="20"/>
        </w:rPr>
        <w:t>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2"/>
          <w:sz w:val="20"/>
        </w:rPr>
        <w:t xml:space="preserve"> </w:t>
      </w:r>
      <w:r>
        <w:rPr>
          <w:sz w:val="20"/>
        </w:rPr>
        <w:t>2014 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OPŽP“).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</w:t>
      </w:r>
      <w:r>
        <w:rPr>
          <w:sz w:val="20"/>
        </w:rPr>
        <w:t>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09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13B5B" w:rsidRDefault="00D126B7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13B5B" w:rsidRDefault="00D126B7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313B5B" w:rsidRDefault="00313B5B">
      <w:pPr>
        <w:sectPr w:rsidR="00313B5B">
          <w:pgSz w:w="12240" w:h="15840"/>
          <w:pgMar w:top="132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3B5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13B5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3B5B" w:rsidRDefault="00D126B7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13B5B" w:rsidRDefault="00D126B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3B5B" w:rsidRDefault="00D126B7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13B5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13B5B" w:rsidRDefault="00D126B7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13B5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13B5B" w:rsidRDefault="00D126B7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13B5B" w:rsidRDefault="00D126B7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313B5B" w:rsidRDefault="00D126B7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3B5B" w:rsidRDefault="00D126B7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13B5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13B5B" w:rsidRDefault="00D126B7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13B5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13B5B" w:rsidRDefault="00D126B7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3B5B" w:rsidRDefault="00D126B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13B5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13B5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313B5B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313B5B" w:rsidRDefault="00D126B7">
            <w:pPr>
              <w:pStyle w:val="TableParagraph"/>
              <w:spacing w:before="1" w:line="264" w:lineRule="auto"/>
              <w:ind w:right="324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313B5B" w:rsidRDefault="00D126B7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13B5B" w:rsidRDefault="00D126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13B5B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13B5B" w:rsidRDefault="00D126B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13B5B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3B5B" w:rsidRDefault="00D126B7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13B5B" w:rsidRDefault="00D126B7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313B5B" w:rsidRDefault="00313B5B">
      <w:pPr>
        <w:spacing w:line="261" w:lineRule="auto"/>
        <w:rPr>
          <w:sz w:val="20"/>
        </w:rPr>
        <w:sectPr w:rsidR="00313B5B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3B5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13B5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13B5B" w:rsidRDefault="00D126B7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13B5B" w:rsidRDefault="00D126B7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13B5B" w:rsidRDefault="00D126B7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313B5B" w:rsidRDefault="00D126B7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313B5B" w:rsidRDefault="00D126B7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13B5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13B5B" w:rsidRDefault="00D126B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313B5B" w:rsidRDefault="00D126B7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313B5B" w:rsidRDefault="00D126B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13B5B" w:rsidRDefault="00D126B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13B5B" w:rsidRDefault="00D126B7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13B5B" w:rsidRDefault="00D126B7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13B5B" w:rsidRDefault="00D126B7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313B5B" w:rsidRDefault="00D126B7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13B5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13B5B" w:rsidRDefault="00D126B7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313B5B" w:rsidRDefault="00D126B7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13B5B" w:rsidRDefault="00D126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13B5B" w:rsidRDefault="00D126B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313B5B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13B5B" w:rsidRDefault="00D126B7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313B5B" w:rsidRDefault="00D126B7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3B5B" w:rsidRDefault="00D126B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13B5B" w:rsidRDefault="00313B5B">
      <w:pPr>
        <w:spacing w:line="264" w:lineRule="auto"/>
        <w:rPr>
          <w:sz w:val="20"/>
        </w:rPr>
        <w:sectPr w:rsidR="00313B5B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3B5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13B5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13B5B" w:rsidRDefault="00D126B7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13B5B" w:rsidRDefault="00D126B7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313B5B" w:rsidRDefault="00D126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313B5B" w:rsidRDefault="00D126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3B5B" w:rsidRDefault="00D126B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3B5B" w:rsidRDefault="00D126B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22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313B5B" w:rsidRDefault="00D126B7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13B5B" w:rsidRDefault="00D126B7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3B5B" w:rsidRDefault="00D126B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 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13B5B" w:rsidRDefault="00D126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13B5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13B5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13B5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313B5B" w:rsidRDefault="00D126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13B5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3B5B" w:rsidRDefault="00D126B7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313B5B" w:rsidRDefault="00D126B7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313B5B" w:rsidRDefault="00D126B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13B5B" w:rsidRDefault="00D126B7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13B5B" w:rsidRDefault="00D126B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3B5B" w:rsidRDefault="00D126B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13B5B" w:rsidRDefault="00313B5B">
      <w:pPr>
        <w:spacing w:line="264" w:lineRule="auto"/>
        <w:rPr>
          <w:sz w:val="20"/>
        </w:rPr>
        <w:sectPr w:rsidR="00313B5B"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3B5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13B5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3B5B" w:rsidRDefault="00D126B7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313B5B" w:rsidRDefault="00D126B7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313B5B" w:rsidRDefault="00D126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13B5B" w:rsidRDefault="00D126B7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3B5B" w:rsidRDefault="00D126B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3B5B" w:rsidRDefault="00D126B7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313B5B" w:rsidRDefault="00D126B7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313B5B" w:rsidRDefault="00D126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13B5B" w:rsidRDefault="00D126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13B5B" w:rsidRDefault="00D126B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13B5B" w:rsidRDefault="00D126B7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313B5B" w:rsidRDefault="00D126B7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13B5B" w:rsidRDefault="00D126B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313B5B" w:rsidRDefault="00D126B7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313B5B" w:rsidRDefault="00D126B7">
            <w:pPr>
              <w:pStyle w:val="TableParagraph"/>
              <w:spacing w:before="0" w:line="264" w:lineRule="auto"/>
              <w:ind w:right="142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13B5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313B5B" w:rsidRDefault="00D126B7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 zájmů,</w:t>
            </w:r>
          </w:p>
          <w:p w:rsidR="00313B5B" w:rsidRDefault="00D126B7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313B5B" w:rsidRDefault="00D126B7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13B5B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313B5B" w:rsidRDefault="00D126B7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3B5B" w:rsidRDefault="00D126B7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13B5B" w:rsidRDefault="00D126B7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313B5B" w:rsidRDefault="00313B5B">
      <w:pPr>
        <w:rPr>
          <w:sz w:val="20"/>
        </w:rPr>
        <w:sectPr w:rsidR="00313B5B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3B5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3B5B" w:rsidRDefault="00D126B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13B5B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3B5B" w:rsidRDefault="00D126B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13B5B" w:rsidRDefault="00D126B7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13B5B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313B5B" w:rsidRDefault="00D126B7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13B5B" w:rsidRDefault="00D126B7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313B5B" w:rsidRDefault="00D126B7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13B5B" w:rsidRDefault="00D126B7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13B5B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13B5B" w:rsidRDefault="00D126B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313B5B" w:rsidRDefault="00D126B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3B5B" w:rsidRDefault="00D126B7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313B5B" w:rsidRDefault="00D126B7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13B5B" w:rsidRDefault="00D126B7">
            <w:pPr>
              <w:pStyle w:val="TableParagraph"/>
              <w:spacing w:before="1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13B5B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13B5B" w:rsidRDefault="00D126B7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13B5B" w:rsidRDefault="00D126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13B5B" w:rsidRDefault="00D126B7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13B5B" w:rsidRDefault="00D126B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13B5B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3B5B" w:rsidRDefault="00D126B7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313B5B" w:rsidRDefault="00D126B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313B5B" w:rsidRDefault="00D126B7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313B5B" w:rsidRDefault="00D126B7">
            <w:pPr>
              <w:pStyle w:val="TableParagraph"/>
              <w:spacing w:before="0" w:line="264" w:lineRule="auto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13B5B" w:rsidRDefault="00D126B7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3B5B" w:rsidRDefault="00D126B7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3B5B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3B5B" w:rsidRDefault="00313B5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3B5B" w:rsidRDefault="00D126B7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13B5B" w:rsidRDefault="00D126B7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126B7" w:rsidRDefault="00D126B7"/>
    <w:sectPr w:rsidR="00D126B7">
      <w:type w:val="continuous"/>
      <w:pgSz w:w="12240" w:h="15840"/>
      <w:pgMar w:top="1140" w:right="1020" w:bottom="114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B7" w:rsidRDefault="00D126B7">
      <w:r>
        <w:separator/>
      </w:r>
    </w:p>
  </w:endnote>
  <w:endnote w:type="continuationSeparator" w:id="0">
    <w:p w:rsidR="00D126B7" w:rsidRDefault="00D1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B" w:rsidRDefault="00D126B7">
    <w:pPr>
      <w:pStyle w:val="Zkladntext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2.3pt;margin-top:733.15pt;width:17.1pt;height:13.05pt;z-index:-251658752;mso-position-horizontal-relative:page;mso-position-vertical-relative:page" filled="f" stroked="f">
          <v:textbox inset="0,0,0,0">
            <w:txbxContent>
              <w:p w:rsidR="00313B5B" w:rsidRDefault="00D126B7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C7A1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B7" w:rsidRDefault="00D126B7">
      <w:r>
        <w:separator/>
      </w:r>
    </w:p>
  </w:footnote>
  <w:footnote w:type="continuationSeparator" w:id="0">
    <w:p w:rsidR="00D126B7" w:rsidRDefault="00D1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2AE"/>
    <w:multiLevelType w:val="hybridMultilevel"/>
    <w:tmpl w:val="900C95D4"/>
    <w:lvl w:ilvl="0" w:tplc="74AE9C5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4E4B6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9CC18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778960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4BE56A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2F6757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652C70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B970887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1DEE8A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72456C"/>
    <w:multiLevelType w:val="hybridMultilevel"/>
    <w:tmpl w:val="1A9C283C"/>
    <w:lvl w:ilvl="0" w:tplc="F81E43E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7EADA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758C5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FB404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7C60D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DBA926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810095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48E990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892035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6871BC"/>
    <w:multiLevelType w:val="hybridMultilevel"/>
    <w:tmpl w:val="F3826A26"/>
    <w:lvl w:ilvl="0" w:tplc="BA361BA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200434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7F52EA3A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4878AFAA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AB6CCA00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074A0AB8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B636CFE8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B3427C28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A3127F26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43741D"/>
    <w:multiLevelType w:val="hybridMultilevel"/>
    <w:tmpl w:val="BEF2BA9C"/>
    <w:lvl w:ilvl="0" w:tplc="70003652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DA95FC">
      <w:start w:val="1"/>
      <w:numFmt w:val="lowerLetter"/>
      <w:lvlText w:val="%2)"/>
      <w:lvlJc w:val="left"/>
      <w:pPr>
        <w:ind w:left="758" w:hanging="23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7B02D16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158B7F4">
      <w:numFmt w:val="bullet"/>
      <w:lvlText w:val="•"/>
      <w:lvlJc w:val="left"/>
      <w:pPr>
        <w:ind w:left="960" w:hanging="286"/>
      </w:pPr>
      <w:rPr>
        <w:rFonts w:hint="default"/>
        <w:lang w:val="cs-CZ" w:eastAsia="en-US" w:bidi="ar-SA"/>
      </w:rPr>
    </w:lvl>
    <w:lvl w:ilvl="4" w:tplc="A90CA9D2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5" w:tplc="591E654C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6" w:tplc="6B60E320">
      <w:numFmt w:val="bullet"/>
      <w:lvlText w:val="•"/>
      <w:lvlJc w:val="left"/>
      <w:pPr>
        <w:ind w:left="2832" w:hanging="286"/>
      </w:pPr>
      <w:rPr>
        <w:rFonts w:hint="default"/>
        <w:lang w:val="cs-CZ" w:eastAsia="en-US" w:bidi="ar-SA"/>
      </w:rPr>
    </w:lvl>
    <w:lvl w:ilvl="7" w:tplc="C0EA642C">
      <w:numFmt w:val="bullet"/>
      <w:lvlText w:val="•"/>
      <w:lvlJc w:val="left"/>
      <w:pPr>
        <w:ind w:left="4564" w:hanging="286"/>
      </w:pPr>
      <w:rPr>
        <w:rFonts w:hint="default"/>
        <w:lang w:val="cs-CZ" w:eastAsia="en-US" w:bidi="ar-SA"/>
      </w:rPr>
    </w:lvl>
    <w:lvl w:ilvl="8" w:tplc="7DF4A20C">
      <w:numFmt w:val="bullet"/>
      <w:lvlText w:val="•"/>
      <w:lvlJc w:val="left"/>
      <w:pPr>
        <w:ind w:left="6296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223F767B"/>
    <w:multiLevelType w:val="hybridMultilevel"/>
    <w:tmpl w:val="5D9245DE"/>
    <w:lvl w:ilvl="0" w:tplc="A464097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FE08A2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4528E24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9FA04038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F6105E3C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86FA9B9A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0596AA52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B0A41096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BD0C0DBC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DAA0AFF"/>
    <w:multiLevelType w:val="hybridMultilevel"/>
    <w:tmpl w:val="2320E92E"/>
    <w:lvl w:ilvl="0" w:tplc="44F60098">
      <w:start w:val="1"/>
      <w:numFmt w:val="upperRoman"/>
      <w:lvlText w:val="%1."/>
      <w:lvlJc w:val="left"/>
      <w:pPr>
        <w:ind w:left="669" w:hanging="490"/>
        <w:jc w:val="left"/>
      </w:pPr>
      <w:rPr>
        <w:rFonts w:hint="default"/>
        <w:w w:val="99"/>
        <w:lang w:val="cs-CZ" w:eastAsia="en-US" w:bidi="ar-SA"/>
      </w:rPr>
    </w:lvl>
    <w:lvl w:ilvl="1" w:tplc="28A237A4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8CE9F24">
      <w:numFmt w:val="bullet"/>
      <w:lvlText w:val="•"/>
      <w:lvlJc w:val="left"/>
      <w:pPr>
        <w:ind w:left="1937" w:hanging="216"/>
      </w:pPr>
      <w:rPr>
        <w:rFonts w:hint="default"/>
        <w:lang w:val="cs-CZ" w:eastAsia="en-US" w:bidi="ar-SA"/>
      </w:rPr>
    </w:lvl>
    <w:lvl w:ilvl="3" w:tplc="C674FC94">
      <w:numFmt w:val="bullet"/>
      <w:lvlText w:val="•"/>
      <w:lvlJc w:val="left"/>
      <w:pPr>
        <w:ind w:left="2915" w:hanging="216"/>
      </w:pPr>
      <w:rPr>
        <w:rFonts w:hint="default"/>
        <w:lang w:val="cs-CZ" w:eastAsia="en-US" w:bidi="ar-SA"/>
      </w:rPr>
    </w:lvl>
    <w:lvl w:ilvl="4" w:tplc="43963D90">
      <w:numFmt w:val="bullet"/>
      <w:lvlText w:val="•"/>
      <w:lvlJc w:val="left"/>
      <w:pPr>
        <w:ind w:left="3893" w:hanging="216"/>
      </w:pPr>
      <w:rPr>
        <w:rFonts w:hint="default"/>
        <w:lang w:val="cs-CZ" w:eastAsia="en-US" w:bidi="ar-SA"/>
      </w:rPr>
    </w:lvl>
    <w:lvl w:ilvl="5" w:tplc="10D0805C">
      <w:numFmt w:val="bullet"/>
      <w:lvlText w:val="•"/>
      <w:lvlJc w:val="left"/>
      <w:pPr>
        <w:ind w:left="4871" w:hanging="216"/>
      </w:pPr>
      <w:rPr>
        <w:rFonts w:hint="default"/>
        <w:lang w:val="cs-CZ" w:eastAsia="en-US" w:bidi="ar-SA"/>
      </w:rPr>
    </w:lvl>
    <w:lvl w:ilvl="6" w:tplc="BCACAB44">
      <w:numFmt w:val="bullet"/>
      <w:lvlText w:val="•"/>
      <w:lvlJc w:val="left"/>
      <w:pPr>
        <w:ind w:left="5848" w:hanging="216"/>
      </w:pPr>
      <w:rPr>
        <w:rFonts w:hint="default"/>
        <w:lang w:val="cs-CZ" w:eastAsia="en-US" w:bidi="ar-SA"/>
      </w:rPr>
    </w:lvl>
    <w:lvl w:ilvl="7" w:tplc="04964830">
      <w:numFmt w:val="bullet"/>
      <w:lvlText w:val="•"/>
      <w:lvlJc w:val="left"/>
      <w:pPr>
        <w:ind w:left="6826" w:hanging="216"/>
      </w:pPr>
      <w:rPr>
        <w:rFonts w:hint="default"/>
        <w:lang w:val="cs-CZ" w:eastAsia="en-US" w:bidi="ar-SA"/>
      </w:rPr>
    </w:lvl>
    <w:lvl w:ilvl="8" w:tplc="C7EE885A">
      <w:numFmt w:val="bullet"/>
      <w:lvlText w:val="•"/>
      <w:lvlJc w:val="left"/>
      <w:pPr>
        <w:ind w:left="7804" w:hanging="216"/>
      </w:pPr>
      <w:rPr>
        <w:rFonts w:hint="default"/>
        <w:lang w:val="cs-CZ" w:eastAsia="en-US" w:bidi="ar-SA"/>
      </w:rPr>
    </w:lvl>
  </w:abstractNum>
  <w:abstractNum w:abstractNumId="6" w15:restartNumberingAfterBreak="0">
    <w:nsid w:val="36242F58"/>
    <w:multiLevelType w:val="hybridMultilevel"/>
    <w:tmpl w:val="DD1CF6E4"/>
    <w:lvl w:ilvl="0" w:tplc="0E38E8D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D4DA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90CDC1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D5662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81087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F4214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93EF89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C52C98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C120C9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72B0753"/>
    <w:multiLevelType w:val="hybridMultilevel"/>
    <w:tmpl w:val="63F6364A"/>
    <w:lvl w:ilvl="0" w:tplc="2A3A4C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D292C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60AED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8782E5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1F215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D6E9D1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62626C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FB81F1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0061F1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3B5B"/>
    <w:rsid w:val="00313B5B"/>
    <w:rsid w:val="005C7A1B"/>
    <w:rsid w:val="00D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7505A"/>
  <w15:docId w15:val="{EC24F16B-7CCA-455E-96A6-B17D802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5535</Words>
  <Characters>32662</Characters>
  <Application>Microsoft Office Word</Application>
  <DocSecurity>0</DocSecurity>
  <Lines>272</Lines>
  <Paragraphs>76</Paragraphs>
  <ScaleCrop>false</ScaleCrop>
  <Company>SFZP</Company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2021-11-18T08:22:00Z</dcterms:created>
  <dcterms:modified xsi:type="dcterms:W3CDTF">2021-11-18T08:22:00Z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2021-11-18T00:00:00Z</vt:filetime>
  </property>
</Properties>
</file>