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7ABA8" w14:textId="5EC5AA25" w:rsidR="00B02FA5" w:rsidRPr="00B02FA5" w:rsidRDefault="00B02FA5" w:rsidP="00B02FA5">
      <w:pPr>
        <w:spacing w:after="0" w:line="240" w:lineRule="auto"/>
        <w:jc w:val="right"/>
        <w:rPr>
          <w:rFonts w:ascii="Times New Roman" w:eastAsia="Times New Roman" w:hAnsi="Times New Roman" w:cs="Times New Roman"/>
          <w:color w:val="000000"/>
          <w:sz w:val="27"/>
          <w:szCs w:val="27"/>
          <w:lang w:eastAsia="cs-CZ"/>
        </w:rPr>
      </w:pPr>
      <w:r>
        <w:rPr>
          <w:rFonts w:ascii="Arial" w:eastAsia="Times New Roman" w:hAnsi="Arial" w:cs="Arial"/>
          <w:b/>
          <w:bCs/>
          <w:noProof/>
          <w:color w:val="000000"/>
          <w:lang w:eastAsia="cs-CZ"/>
        </w:rPr>
        <w:drawing>
          <wp:anchor distT="0" distB="0" distL="0" distR="0" simplePos="0" relativeHeight="251658240" behindDoc="0" locked="0" layoutInCell="1" allowOverlap="0" wp14:anchorId="48B1EF68" wp14:editId="6D3A3176">
            <wp:simplePos x="0" y="0"/>
            <wp:positionH relativeFrom="column">
              <wp:posOffset>209550</wp:posOffset>
            </wp:positionH>
            <wp:positionV relativeFrom="page">
              <wp:posOffset>464820</wp:posOffset>
            </wp:positionV>
            <wp:extent cx="1751965" cy="853440"/>
            <wp:effectExtent l="0" t="0" r="635" b="381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1965"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FA5">
        <w:rPr>
          <w:rFonts w:ascii="Arial" w:eastAsia="Times New Roman" w:hAnsi="Arial" w:cs="Arial"/>
          <w:b/>
          <w:bCs/>
          <w:color w:val="000000"/>
          <w:lang w:eastAsia="cs-CZ"/>
        </w:rPr>
        <w:t>Číslo spisu: S/044</w:t>
      </w:r>
      <w:r w:rsidR="000C1406">
        <w:rPr>
          <w:rFonts w:ascii="Arial" w:eastAsia="Times New Roman" w:hAnsi="Arial" w:cs="Arial"/>
          <w:b/>
          <w:bCs/>
          <w:color w:val="000000"/>
          <w:lang w:eastAsia="cs-CZ"/>
        </w:rPr>
        <w:t>69</w:t>
      </w:r>
      <w:r w:rsidRPr="00B02FA5">
        <w:rPr>
          <w:rFonts w:ascii="Arial" w:eastAsia="Times New Roman" w:hAnsi="Arial" w:cs="Arial"/>
          <w:b/>
          <w:bCs/>
          <w:color w:val="000000"/>
          <w:lang w:eastAsia="cs-CZ"/>
        </w:rPr>
        <w:t>/BE/21</w:t>
      </w:r>
    </w:p>
    <w:p w14:paraId="6350FDB5" w14:textId="70552A33" w:rsidR="00B02FA5" w:rsidRPr="00B02FA5" w:rsidRDefault="00B02FA5" w:rsidP="00B02FA5">
      <w:pPr>
        <w:spacing w:after="0" w:line="240" w:lineRule="auto"/>
        <w:jc w:val="right"/>
        <w:rPr>
          <w:rFonts w:ascii="Times New Roman" w:eastAsia="Times New Roman" w:hAnsi="Times New Roman" w:cs="Times New Roman"/>
          <w:color w:val="000000"/>
          <w:sz w:val="27"/>
          <w:szCs w:val="27"/>
          <w:lang w:eastAsia="cs-CZ"/>
        </w:rPr>
      </w:pPr>
      <w:r w:rsidRPr="00B02FA5">
        <w:rPr>
          <w:rFonts w:ascii="Arial" w:eastAsia="Times New Roman" w:hAnsi="Arial" w:cs="Arial"/>
          <w:b/>
          <w:bCs/>
          <w:color w:val="000000"/>
          <w:lang w:eastAsia="cs-CZ"/>
        </w:rPr>
        <w:t>Číslo jednací: 044</w:t>
      </w:r>
      <w:r w:rsidR="000C1406">
        <w:rPr>
          <w:rFonts w:ascii="Arial" w:eastAsia="Times New Roman" w:hAnsi="Arial" w:cs="Arial"/>
          <w:b/>
          <w:bCs/>
          <w:color w:val="000000"/>
          <w:lang w:eastAsia="cs-CZ"/>
        </w:rPr>
        <w:t>69</w:t>
      </w:r>
      <w:r w:rsidRPr="00B02FA5">
        <w:rPr>
          <w:rFonts w:ascii="Arial" w:eastAsia="Times New Roman" w:hAnsi="Arial" w:cs="Arial"/>
          <w:b/>
          <w:bCs/>
          <w:color w:val="000000"/>
          <w:lang w:eastAsia="cs-CZ"/>
        </w:rPr>
        <w:t>/BE/21</w:t>
      </w:r>
    </w:p>
    <w:p w14:paraId="3521F301" w14:textId="0C37BF8F" w:rsidR="00B02FA5" w:rsidRPr="00B02FA5" w:rsidRDefault="00B02FA5" w:rsidP="00B02FA5">
      <w:pPr>
        <w:spacing w:after="0" w:line="240" w:lineRule="auto"/>
        <w:jc w:val="right"/>
        <w:rPr>
          <w:rFonts w:ascii="Times New Roman" w:eastAsia="Times New Roman" w:hAnsi="Times New Roman" w:cs="Times New Roman"/>
          <w:color w:val="000000"/>
          <w:sz w:val="27"/>
          <w:szCs w:val="27"/>
          <w:lang w:eastAsia="cs-CZ"/>
        </w:rPr>
      </w:pPr>
      <w:r w:rsidRPr="00B02FA5">
        <w:rPr>
          <w:rFonts w:ascii="Arial" w:eastAsia="Times New Roman" w:hAnsi="Arial" w:cs="Arial"/>
          <w:color w:val="000000"/>
          <w:lang w:eastAsia="cs-CZ"/>
        </w:rPr>
        <w:t>PPK-</w:t>
      </w:r>
      <w:r w:rsidR="000C1406">
        <w:rPr>
          <w:rFonts w:ascii="Arial" w:eastAsia="Times New Roman" w:hAnsi="Arial" w:cs="Arial"/>
          <w:color w:val="000000"/>
          <w:lang w:eastAsia="cs-CZ"/>
        </w:rPr>
        <w:t>49b</w:t>
      </w:r>
      <w:r w:rsidRPr="00B02FA5">
        <w:rPr>
          <w:rFonts w:ascii="Arial" w:eastAsia="Times New Roman" w:hAnsi="Arial" w:cs="Arial"/>
          <w:color w:val="000000"/>
          <w:lang w:eastAsia="cs-CZ"/>
        </w:rPr>
        <w:t>/82/21</w:t>
      </w:r>
    </w:p>
    <w:p w14:paraId="72743691" w14:textId="49508E56" w:rsidR="00B02FA5" w:rsidRPr="00B02FA5" w:rsidRDefault="00B02FA5" w:rsidP="00B02FA5">
      <w:pPr>
        <w:spacing w:after="0" w:line="240" w:lineRule="auto"/>
        <w:jc w:val="right"/>
        <w:rPr>
          <w:rFonts w:ascii="Times New Roman" w:eastAsia="Times New Roman" w:hAnsi="Times New Roman" w:cs="Times New Roman"/>
          <w:color w:val="000000"/>
          <w:sz w:val="27"/>
          <w:szCs w:val="27"/>
          <w:lang w:eastAsia="cs-CZ"/>
        </w:rPr>
      </w:pPr>
      <w:r w:rsidRPr="00B02FA5">
        <w:rPr>
          <w:rFonts w:ascii="Arial" w:eastAsia="Times New Roman" w:hAnsi="Arial" w:cs="Arial"/>
          <w:color w:val="000000"/>
          <w:lang w:eastAsia="cs-CZ"/>
        </w:rPr>
        <w:t>Dotační titul: A</w:t>
      </w:r>
      <w:r w:rsidR="000C1406">
        <w:rPr>
          <w:rFonts w:ascii="Arial" w:eastAsia="Times New Roman" w:hAnsi="Arial" w:cs="Arial"/>
          <w:color w:val="000000"/>
          <w:lang w:eastAsia="cs-CZ"/>
        </w:rPr>
        <w:t>1</w:t>
      </w:r>
    </w:p>
    <w:p w14:paraId="6DF90D6C" w14:textId="77777777" w:rsidR="000C1406" w:rsidRDefault="000C1406" w:rsidP="000C1406">
      <w:pPr>
        <w:pStyle w:val="Normlnweb"/>
        <w:jc w:val="center"/>
        <w:rPr>
          <w:color w:val="000000"/>
          <w:sz w:val="27"/>
          <w:szCs w:val="27"/>
        </w:rPr>
      </w:pPr>
      <w:r>
        <w:rPr>
          <w:rStyle w:val="Siln"/>
          <w:rFonts w:ascii="Arial" w:hAnsi="Arial" w:cs="Arial"/>
          <w:color w:val="000000"/>
          <w:sz w:val="22"/>
          <w:szCs w:val="22"/>
        </w:rPr>
        <w:t>SMLOUVA O DÍLO</w:t>
      </w:r>
    </w:p>
    <w:p w14:paraId="0684D243" w14:textId="77777777" w:rsidR="000C1406" w:rsidRDefault="000C1406" w:rsidP="000C1406">
      <w:pPr>
        <w:pStyle w:val="Normlnweb"/>
        <w:jc w:val="center"/>
        <w:rPr>
          <w:color w:val="000000"/>
          <w:sz w:val="27"/>
          <w:szCs w:val="27"/>
        </w:rPr>
      </w:pPr>
      <w:r>
        <w:rPr>
          <w:rStyle w:val="Siln"/>
          <w:rFonts w:ascii="Arial" w:hAnsi="Arial" w:cs="Arial"/>
          <w:color w:val="000000"/>
          <w:sz w:val="22"/>
          <w:szCs w:val="22"/>
        </w:rPr>
        <w:t>UZAVŘENÁ DLE USTANOVENÍ § 2586 A NÁSL. ZÁK. Č. 89/2012 SB., OBČANSKÉHO ZÁKONÍKU, VE ZNĚNÍ POZDĚJŠÍCH PŘEDPISŮ</w:t>
      </w:r>
    </w:p>
    <w:p w14:paraId="308308B7" w14:textId="77777777" w:rsidR="000C1406" w:rsidRDefault="000C1406" w:rsidP="000C1406">
      <w:pPr>
        <w:pStyle w:val="Normlnweb"/>
        <w:jc w:val="center"/>
        <w:rPr>
          <w:color w:val="000000"/>
          <w:sz w:val="27"/>
          <w:szCs w:val="27"/>
        </w:rPr>
      </w:pPr>
      <w:r>
        <w:rPr>
          <w:rStyle w:val="Siln"/>
          <w:rFonts w:ascii="Arial" w:hAnsi="Arial" w:cs="Arial"/>
          <w:color w:val="000000"/>
          <w:sz w:val="22"/>
          <w:szCs w:val="22"/>
        </w:rPr>
        <w:t>I. Smluvní strany</w:t>
      </w:r>
    </w:p>
    <w:p w14:paraId="2DF22D0C" w14:textId="77777777" w:rsidR="000C1406" w:rsidRDefault="000C1406" w:rsidP="000C1406">
      <w:pPr>
        <w:pStyle w:val="Normlnweb"/>
        <w:rPr>
          <w:color w:val="000000"/>
          <w:sz w:val="27"/>
          <w:szCs w:val="27"/>
        </w:rPr>
      </w:pPr>
      <w:r>
        <w:rPr>
          <w:rStyle w:val="Siln"/>
          <w:rFonts w:ascii="Arial" w:hAnsi="Arial" w:cs="Arial"/>
          <w:color w:val="000000"/>
          <w:sz w:val="22"/>
          <w:szCs w:val="22"/>
        </w:rPr>
        <w:t>1.1 Objednatel</w:t>
      </w:r>
    </w:p>
    <w:p w14:paraId="3EB6F3A9" w14:textId="77777777" w:rsidR="000C1406" w:rsidRDefault="000C1406" w:rsidP="000C1406">
      <w:pPr>
        <w:pStyle w:val="Normlnweb"/>
        <w:rPr>
          <w:color w:val="000000"/>
          <w:sz w:val="27"/>
          <w:szCs w:val="27"/>
        </w:rPr>
      </w:pPr>
      <w:r>
        <w:rPr>
          <w:rStyle w:val="Siln"/>
          <w:rFonts w:ascii="Arial" w:hAnsi="Arial" w:cs="Arial"/>
          <w:color w:val="000000"/>
          <w:sz w:val="22"/>
          <w:szCs w:val="22"/>
        </w:rPr>
        <w:t>Česká republika - Agentura ochrany přírody a krajiny ČR</w:t>
      </w:r>
    </w:p>
    <w:p w14:paraId="0BAE6D1E" w14:textId="77777777" w:rsidR="000C1406" w:rsidRDefault="000C1406" w:rsidP="000C1406">
      <w:pPr>
        <w:pStyle w:val="Normlnweb"/>
        <w:spacing w:before="0" w:beforeAutospacing="0" w:after="0" w:afterAutospacing="0"/>
        <w:rPr>
          <w:color w:val="000000"/>
          <w:sz w:val="27"/>
          <w:szCs w:val="27"/>
        </w:rPr>
      </w:pPr>
      <w:r>
        <w:rPr>
          <w:rFonts w:ascii="Arial" w:hAnsi="Arial" w:cs="Arial"/>
          <w:color w:val="000000"/>
          <w:sz w:val="22"/>
          <w:szCs w:val="22"/>
        </w:rPr>
        <w:t>Sídlo: Kaplanova 1931/1, 148 00 Praha 11 - Chodov</w:t>
      </w:r>
    </w:p>
    <w:p w14:paraId="3D9CDFC1" w14:textId="77777777" w:rsidR="000C1406" w:rsidRDefault="000C1406" w:rsidP="000C1406">
      <w:pPr>
        <w:pStyle w:val="Normlnweb"/>
        <w:spacing w:before="0" w:beforeAutospacing="0" w:after="0" w:afterAutospacing="0"/>
        <w:rPr>
          <w:color w:val="000000"/>
          <w:sz w:val="27"/>
          <w:szCs w:val="27"/>
        </w:rPr>
      </w:pPr>
      <w:r>
        <w:rPr>
          <w:rFonts w:ascii="Arial" w:hAnsi="Arial" w:cs="Arial"/>
          <w:color w:val="000000"/>
          <w:sz w:val="22"/>
          <w:szCs w:val="22"/>
        </w:rPr>
        <w:t xml:space="preserve">Zastoupený: Mgr. František </w:t>
      </w:r>
      <w:proofErr w:type="spellStart"/>
      <w:r>
        <w:rPr>
          <w:rFonts w:ascii="Arial" w:hAnsi="Arial" w:cs="Arial"/>
          <w:color w:val="000000"/>
          <w:sz w:val="22"/>
          <w:szCs w:val="22"/>
        </w:rPr>
        <w:t>Jaskula</w:t>
      </w:r>
      <w:proofErr w:type="spellEnd"/>
      <w:r>
        <w:rPr>
          <w:rFonts w:ascii="Arial" w:hAnsi="Arial" w:cs="Arial"/>
          <w:color w:val="000000"/>
          <w:sz w:val="22"/>
          <w:szCs w:val="22"/>
        </w:rPr>
        <w:br/>
        <w:t>ředitel RP SCHKO Beskydy</w:t>
      </w:r>
    </w:p>
    <w:p w14:paraId="4640D05F" w14:textId="77777777" w:rsidR="000C1406" w:rsidRDefault="000C1406" w:rsidP="000C1406">
      <w:pPr>
        <w:pStyle w:val="Normlnweb"/>
        <w:spacing w:before="0" w:beforeAutospacing="0" w:after="0" w:afterAutospacing="0"/>
        <w:rPr>
          <w:color w:val="000000"/>
          <w:sz w:val="27"/>
          <w:szCs w:val="27"/>
        </w:rPr>
      </w:pPr>
      <w:r>
        <w:rPr>
          <w:rFonts w:ascii="Arial" w:hAnsi="Arial" w:cs="Arial"/>
          <w:color w:val="000000"/>
          <w:sz w:val="22"/>
          <w:szCs w:val="22"/>
        </w:rPr>
        <w:t>Bankovní spojení: ČNB Praha, Číslo účtu: 18228011/0710</w:t>
      </w:r>
    </w:p>
    <w:p w14:paraId="3F869D82" w14:textId="77777777" w:rsidR="000C1406" w:rsidRDefault="000C1406" w:rsidP="000C1406">
      <w:pPr>
        <w:pStyle w:val="Normlnweb"/>
        <w:spacing w:before="0" w:beforeAutospacing="0" w:after="0" w:afterAutospacing="0"/>
        <w:rPr>
          <w:color w:val="000000"/>
          <w:sz w:val="27"/>
          <w:szCs w:val="27"/>
        </w:rPr>
      </w:pPr>
      <w:r>
        <w:rPr>
          <w:rFonts w:ascii="Arial" w:hAnsi="Arial" w:cs="Arial"/>
          <w:color w:val="000000"/>
          <w:sz w:val="22"/>
          <w:szCs w:val="22"/>
        </w:rPr>
        <w:t>IČO: 629 335 91</w:t>
      </w:r>
    </w:p>
    <w:p w14:paraId="2A556BA1" w14:textId="77777777" w:rsidR="000C1406" w:rsidRDefault="000C1406" w:rsidP="000C1406">
      <w:pPr>
        <w:pStyle w:val="Normlnweb"/>
        <w:spacing w:before="0" w:beforeAutospacing="0" w:after="0" w:afterAutospacing="0"/>
        <w:rPr>
          <w:color w:val="000000"/>
          <w:sz w:val="27"/>
          <w:szCs w:val="27"/>
        </w:rPr>
      </w:pPr>
      <w:r>
        <w:rPr>
          <w:rFonts w:ascii="Arial" w:hAnsi="Arial" w:cs="Arial"/>
          <w:color w:val="000000"/>
          <w:sz w:val="22"/>
          <w:szCs w:val="22"/>
        </w:rPr>
        <w:t>DIČ: neplátce DPH</w:t>
      </w:r>
    </w:p>
    <w:p w14:paraId="14C5D36F" w14:textId="77777777" w:rsidR="000C1406" w:rsidRDefault="000C1406" w:rsidP="000C1406">
      <w:pPr>
        <w:pStyle w:val="Normlnweb"/>
        <w:spacing w:before="0" w:beforeAutospacing="0" w:after="0" w:afterAutospacing="0"/>
        <w:jc w:val="both"/>
        <w:rPr>
          <w:color w:val="000000"/>
          <w:sz w:val="27"/>
          <w:szCs w:val="27"/>
        </w:rPr>
      </w:pPr>
      <w:r>
        <w:rPr>
          <w:rFonts w:ascii="Arial" w:hAnsi="Arial" w:cs="Arial"/>
          <w:color w:val="000000"/>
          <w:sz w:val="22"/>
          <w:szCs w:val="22"/>
        </w:rPr>
        <w:t>V rozsahu této smlouvy osoba zmocněná k jednání se zhotovitelem, k věcným úkonům a k převzetí díla: Ing. Jaroslav Müller</w:t>
      </w:r>
    </w:p>
    <w:p w14:paraId="044D0EA3" w14:textId="77777777" w:rsidR="000C1406" w:rsidRDefault="000C1406" w:rsidP="000C1406">
      <w:pPr>
        <w:pStyle w:val="Normlnweb"/>
        <w:rPr>
          <w:color w:val="000000"/>
          <w:sz w:val="27"/>
          <w:szCs w:val="27"/>
        </w:rPr>
      </w:pPr>
      <w:r>
        <w:rPr>
          <w:rFonts w:ascii="Arial" w:hAnsi="Arial" w:cs="Arial"/>
          <w:color w:val="000000"/>
          <w:sz w:val="22"/>
          <w:szCs w:val="22"/>
        </w:rPr>
        <w:t>(dále jen „objednatel”)</w:t>
      </w:r>
    </w:p>
    <w:p w14:paraId="1B37375E" w14:textId="77777777" w:rsidR="000C1406" w:rsidRDefault="000C1406" w:rsidP="000C1406">
      <w:pPr>
        <w:pStyle w:val="Normlnweb"/>
        <w:rPr>
          <w:color w:val="000000"/>
          <w:sz w:val="27"/>
          <w:szCs w:val="27"/>
        </w:rPr>
      </w:pPr>
      <w:r>
        <w:rPr>
          <w:rFonts w:ascii="Arial" w:hAnsi="Arial" w:cs="Arial"/>
          <w:color w:val="000000"/>
          <w:sz w:val="22"/>
          <w:szCs w:val="22"/>
        </w:rPr>
        <w:t>a</w:t>
      </w:r>
    </w:p>
    <w:p w14:paraId="3053D4CF" w14:textId="77777777" w:rsidR="000C1406" w:rsidRDefault="000C1406" w:rsidP="000C1406">
      <w:pPr>
        <w:pStyle w:val="Normlnweb"/>
        <w:rPr>
          <w:color w:val="000000"/>
          <w:sz w:val="27"/>
          <w:szCs w:val="27"/>
        </w:rPr>
      </w:pPr>
      <w:r>
        <w:rPr>
          <w:rStyle w:val="Siln"/>
          <w:rFonts w:ascii="Arial" w:hAnsi="Arial" w:cs="Arial"/>
          <w:color w:val="000000"/>
          <w:sz w:val="22"/>
          <w:szCs w:val="22"/>
        </w:rPr>
        <w:t>1.2 Zhotovitel</w:t>
      </w:r>
    </w:p>
    <w:p w14:paraId="1B17E3DD" w14:textId="77777777" w:rsidR="000C1406" w:rsidRDefault="000C1406" w:rsidP="000C1406">
      <w:pPr>
        <w:pStyle w:val="Normlnweb"/>
        <w:rPr>
          <w:color w:val="000000"/>
          <w:sz w:val="27"/>
          <w:szCs w:val="27"/>
        </w:rPr>
      </w:pPr>
      <w:r>
        <w:rPr>
          <w:rStyle w:val="Siln"/>
          <w:rFonts w:ascii="Arial" w:hAnsi="Arial" w:cs="Arial"/>
          <w:color w:val="000000"/>
          <w:sz w:val="22"/>
          <w:szCs w:val="22"/>
        </w:rPr>
        <w:t>Plesník Miroslav</w:t>
      </w:r>
    </w:p>
    <w:p w14:paraId="7E8D66E1" w14:textId="47786796" w:rsidR="000C1406" w:rsidRDefault="000C1406" w:rsidP="000C1406">
      <w:pPr>
        <w:pStyle w:val="Normlnweb"/>
        <w:spacing w:after="270" w:afterAutospacing="0"/>
        <w:rPr>
          <w:color w:val="000000"/>
          <w:sz w:val="27"/>
          <w:szCs w:val="27"/>
        </w:rPr>
      </w:pPr>
      <w:r>
        <w:rPr>
          <w:rFonts w:ascii="Arial" w:hAnsi="Arial" w:cs="Arial"/>
          <w:color w:val="000000"/>
          <w:sz w:val="22"/>
          <w:szCs w:val="22"/>
        </w:rPr>
        <w:t xml:space="preserve">Sídlo: </w:t>
      </w:r>
      <w:proofErr w:type="spellStart"/>
      <w:r>
        <w:rPr>
          <w:rFonts w:ascii="Arial" w:hAnsi="Arial" w:cs="Arial"/>
          <w:color w:val="000000"/>
          <w:sz w:val="22"/>
          <w:szCs w:val="22"/>
        </w:rPr>
        <w:t>Zašovská</w:t>
      </w:r>
      <w:proofErr w:type="spellEnd"/>
      <w:r>
        <w:rPr>
          <w:rFonts w:ascii="Arial" w:hAnsi="Arial" w:cs="Arial"/>
          <w:color w:val="000000"/>
          <w:sz w:val="22"/>
          <w:szCs w:val="22"/>
        </w:rPr>
        <w:t xml:space="preserve"> 192, 75701 Valašské Meziříčí</w:t>
      </w:r>
      <w:r>
        <w:rPr>
          <w:rFonts w:ascii="Arial" w:hAnsi="Arial" w:cs="Arial"/>
          <w:color w:val="000000"/>
          <w:sz w:val="22"/>
          <w:szCs w:val="22"/>
        </w:rPr>
        <w:br/>
        <w:t>Zastoupený: Miroslav Plesník</w:t>
      </w:r>
      <w:r>
        <w:rPr>
          <w:rFonts w:ascii="Arial" w:hAnsi="Arial" w:cs="Arial"/>
          <w:color w:val="000000"/>
          <w:sz w:val="22"/>
          <w:szCs w:val="22"/>
        </w:rPr>
        <w:br/>
        <w:t>IČO: 73278378</w:t>
      </w:r>
    </w:p>
    <w:p w14:paraId="11B0BE87" w14:textId="77777777" w:rsidR="000C1406" w:rsidRDefault="000C1406" w:rsidP="000C1406">
      <w:pPr>
        <w:pStyle w:val="Normlnweb"/>
        <w:spacing w:before="0" w:beforeAutospacing="0" w:after="0" w:afterAutospacing="0"/>
        <w:rPr>
          <w:color w:val="000000"/>
          <w:sz w:val="27"/>
          <w:szCs w:val="27"/>
        </w:rPr>
      </w:pPr>
      <w:r>
        <w:rPr>
          <w:rFonts w:ascii="Arial" w:hAnsi="Arial" w:cs="Arial"/>
          <w:color w:val="000000"/>
          <w:sz w:val="22"/>
          <w:szCs w:val="22"/>
        </w:rPr>
        <w:t>(dále jen „zhotovitel”)</w:t>
      </w:r>
    </w:p>
    <w:p w14:paraId="7A56F0EB" w14:textId="0F909657" w:rsidR="000C1406" w:rsidRDefault="000C1406" w:rsidP="000C1406">
      <w:pPr>
        <w:pStyle w:val="Normlnweb"/>
        <w:jc w:val="center"/>
        <w:rPr>
          <w:color w:val="000000"/>
          <w:sz w:val="27"/>
          <w:szCs w:val="27"/>
        </w:rPr>
      </w:pPr>
      <w:r>
        <w:rPr>
          <w:rStyle w:val="Siln"/>
          <w:rFonts w:ascii="Arial" w:hAnsi="Arial" w:cs="Arial"/>
          <w:color w:val="000000"/>
          <w:sz w:val="22"/>
          <w:szCs w:val="22"/>
        </w:rPr>
        <w:t>II. Předmět smlouvy</w:t>
      </w:r>
    </w:p>
    <w:p w14:paraId="74655D3B"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2.1 Na základě této smlouvy se zhotovitel zavazuje provést na svůj náklad a nebezpečí dílo specifikované v čl. 2.2 této smlouvy a předat jej objednateli. Objednatel se zavazuje dílo převzít a zaplatit za něj zhotoviteli dohodnutou cenu.</w:t>
      </w:r>
    </w:p>
    <w:p w14:paraId="6FB695FE"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2.2 Dílem se rozumí:</w:t>
      </w:r>
    </w:p>
    <w:p w14:paraId="3E622753" w14:textId="2C5A2740" w:rsidR="000C1406" w:rsidRDefault="000C1406" w:rsidP="000C1406">
      <w:pPr>
        <w:pStyle w:val="Normlnweb"/>
        <w:spacing w:before="120" w:beforeAutospacing="0" w:after="120" w:afterAutospacing="0"/>
        <w:ind w:left="340"/>
        <w:jc w:val="both"/>
        <w:rPr>
          <w:color w:val="000000"/>
          <w:sz w:val="27"/>
          <w:szCs w:val="27"/>
        </w:rPr>
      </w:pPr>
      <w:r w:rsidRPr="000C1406">
        <w:rPr>
          <w:rFonts w:ascii="Arial" w:hAnsi="Arial" w:cs="Arial"/>
          <w:color w:val="000000"/>
          <w:sz w:val="22"/>
          <w:szCs w:val="22"/>
          <w:shd w:val="clear" w:color="auto" w:fill="FFFFFF"/>
        </w:rPr>
        <w:t>Ošetření památných či významných stromů za pomocí stromolezecké techniky.</w:t>
      </w:r>
      <w:r>
        <w:rPr>
          <w:rFonts w:ascii="Arial" w:hAnsi="Arial" w:cs="Arial"/>
          <w:color w:val="000000"/>
          <w:sz w:val="22"/>
          <w:szCs w:val="22"/>
          <w:shd w:val="clear" w:color="auto" w:fill="FFFFFF"/>
        </w:rPr>
        <w:t xml:space="preserve"> </w:t>
      </w:r>
      <w:r w:rsidRPr="000C1406">
        <w:rPr>
          <w:rFonts w:ascii="Arial" w:hAnsi="Arial" w:cs="Arial"/>
          <w:color w:val="000000"/>
          <w:sz w:val="22"/>
          <w:szCs w:val="22"/>
        </w:rPr>
        <w:t>Opatření</w:t>
      </w:r>
      <w:r>
        <w:rPr>
          <w:rFonts w:ascii="Arial" w:hAnsi="Arial" w:cs="Arial"/>
          <w:color w:val="000000"/>
          <w:sz w:val="22"/>
          <w:szCs w:val="22"/>
        </w:rPr>
        <w:t xml:space="preserve"> bude provedeno v souladu se standardem AOPK: 02 002 Řez stromů, 02 004 Bezpečnostní vazby a ostatní stabilizační systémy.</w:t>
      </w:r>
    </w:p>
    <w:p w14:paraId="568B83C0"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(dále jen „dílo“)</w:t>
      </w:r>
    </w:p>
    <w:p w14:paraId="414A4C78" w14:textId="77777777" w:rsidR="000C1406" w:rsidRDefault="000C1406" w:rsidP="000C1406">
      <w:pPr>
        <w:pStyle w:val="Normlnweb"/>
        <w:spacing w:before="120" w:beforeAutospacing="0" w:after="120" w:afterAutospacing="0"/>
        <w:ind w:left="340"/>
        <w:jc w:val="both"/>
        <w:rPr>
          <w:color w:val="000000"/>
          <w:sz w:val="27"/>
          <w:szCs w:val="27"/>
        </w:rPr>
      </w:pPr>
      <w:r>
        <w:rPr>
          <w:rFonts w:ascii="Arial" w:hAnsi="Arial" w:cs="Arial"/>
          <w:color w:val="000000"/>
          <w:sz w:val="22"/>
          <w:szCs w:val="22"/>
        </w:rPr>
        <w:t>Podrobná specifikace díla je uvedena v příloze č. 1 Rozpočet a specifikace díla PPK-49b/82/21.</w:t>
      </w:r>
    </w:p>
    <w:p w14:paraId="5A646AC3"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2.3 Při provádění díla je zhotovitel vázán pokyny objednatele.</w:t>
      </w:r>
    </w:p>
    <w:p w14:paraId="5960AC81"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lastRenderedPageBreak/>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14:paraId="6CC6BFC1" w14:textId="77777777" w:rsidR="000C1406" w:rsidRDefault="000C1406" w:rsidP="000C1406">
      <w:pPr>
        <w:pStyle w:val="Normlnweb"/>
        <w:jc w:val="center"/>
        <w:rPr>
          <w:color w:val="000000"/>
          <w:sz w:val="27"/>
          <w:szCs w:val="27"/>
        </w:rPr>
      </w:pPr>
      <w:r>
        <w:rPr>
          <w:rStyle w:val="Siln"/>
          <w:rFonts w:ascii="Arial" w:hAnsi="Arial" w:cs="Arial"/>
          <w:color w:val="000000"/>
          <w:sz w:val="22"/>
          <w:szCs w:val="22"/>
        </w:rPr>
        <w:t>III. Cena díla a platební podmínky</w:t>
      </w:r>
    </w:p>
    <w:p w14:paraId="1FB748B9" w14:textId="77777777" w:rsidR="000C1406" w:rsidRDefault="000C1406" w:rsidP="000C1406">
      <w:pPr>
        <w:pStyle w:val="Normlnweb"/>
        <w:spacing w:before="0" w:beforeAutospacing="0" w:after="0" w:afterAutospacing="0"/>
        <w:rPr>
          <w:color w:val="000000"/>
          <w:sz w:val="27"/>
          <w:szCs w:val="27"/>
        </w:rPr>
      </w:pPr>
      <w:r>
        <w:rPr>
          <w:rFonts w:ascii="Arial" w:hAnsi="Arial" w:cs="Arial"/>
          <w:color w:val="000000"/>
          <w:sz w:val="22"/>
          <w:szCs w:val="22"/>
        </w:rPr>
        <w:t>3.1 Cena díla je stanovena v souladu s právními předpisy:</w:t>
      </w:r>
    </w:p>
    <w:p w14:paraId="2286E83B" w14:textId="2AF281F0" w:rsidR="000C1406" w:rsidRDefault="000C1406" w:rsidP="000C1406">
      <w:pPr>
        <w:pStyle w:val="Normlnweb"/>
        <w:spacing w:before="120" w:beforeAutospacing="0" w:after="120" w:afterAutospacing="0"/>
        <w:ind w:left="340"/>
        <w:jc w:val="both"/>
        <w:rPr>
          <w:color w:val="000000"/>
          <w:sz w:val="27"/>
          <w:szCs w:val="27"/>
        </w:rPr>
      </w:pPr>
      <w:r>
        <w:rPr>
          <w:rFonts w:ascii="Arial" w:hAnsi="Arial" w:cs="Arial"/>
          <w:color w:val="000000"/>
          <w:sz w:val="22"/>
          <w:szCs w:val="22"/>
        </w:rPr>
        <w:t xml:space="preserve">Cena celkem: </w:t>
      </w:r>
      <w:r w:rsidRPr="000C1406">
        <w:rPr>
          <w:rFonts w:ascii="Arial" w:hAnsi="Arial" w:cs="Arial"/>
          <w:b/>
          <w:bCs/>
          <w:color w:val="000000"/>
          <w:sz w:val="22"/>
          <w:szCs w:val="22"/>
        </w:rPr>
        <w:t>74 190,- Kč</w:t>
      </w:r>
    </w:p>
    <w:p w14:paraId="2C87EEA2" w14:textId="77777777" w:rsidR="000C1406" w:rsidRDefault="000C1406" w:rsidP="000C1406">
      <w:pPr>
        <w:pStyle w:val="Normlnweb"/>
        <w:spacing w:before="120" w:beforeAutospacing="0" w:after="120" w:afterAutospacing="0"/>
        <w:ind w:left="340"/>
        <w:jc w:val="both"/>
        <w:rPr>
          <w:color w:val="000000"/>
          <w:sz w:val="27"/>
          <w:szCs w:val="27"/>
        </w:rPr>
      </w:pPr>
      <w:r>
        <w:rPr>
          <w:rFonts w:ascii="Arial" w:hAnsi="Arial" w:cs="Arial"/>
          <w:color w:val="000000"/>
          <w:sz w:val="22"/>
          <w:szCs w:val="22"/>
        </w:rPr>
        <w:t>Zhotovitel není plátce DPH.</w:t>
      </w:r>
    </w:p>
    <w:p w14:paraId="75DA9676"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3.2 Dohodnutá cena je stanovena jako nejvýše přípustná. Ke změně může dojít pouze při změně zákonných sazeb DPH.</w:t>
      </w:r>
    </w:p>
    <w:p w14:paraId="5DCB365C"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3.3 Veškeré náklady vzniklé zhotoviteli v souvislosti s prováděním díla jsou zahrnuty v ceně díla.</w:t>
      </w:r>
    </w:p>
    <w:p w14:paraId="57F14D40" w14:textId="7DBFBAE2"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3.4 Cena za dílo bude vyúčtována po provedení díla. Zhotovitel je povinen daňový doklad (fakturu) vystavit a doručit objednateli nejpozději do 15 pracovních dnů po předání a převzetí díla (v žádném případě však ne později než do 30.11. kalendářního roku) na základě předávacího protokolu na adresu: Regionální pracoviště SCHKO Beskydy, Nádražní 36, 75661 Rožnov pod Radhoštěm.</w:t>
      </w:r>
    </w:p>
    <w:p w14:paraId="5F2D6451"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06CAFA5B" w14:textId="3F716909" w:rsidR="000C1406" w:rsidRDefault="000C1406" w:rsidP="000C1406">
      <w:pPr>
        <w:pStyle w:val="Normlnweb"/>
        <w:spacing w:before="120" w:beforeAutospacing="0" w:after="120" w:afterAutospacing="0"/>
        <w:ind w:left="340" w:hanging="340"/>
        <w:jc w:val="both"/>
        <w:rPr>
          <w:color w:val="000000"/>
          <w:sz w:val="27"/>
          <w:szCs w:val="27"/>
        </w:rPr>
      </w:pPr>
      <w:r>
        <w:rPr>
          <w:color w:val="000000"/>
          <w:sz w:val="27"/>
          <w:szCs w:val="27"/>
        </w:rPr>
        <w:t> </w:t>
      </w:r>
      <w:r>
        <w:rPr>
          <w:rFonts w:ascii="Arial" w:hAnsi="Arial" w:cs="Arial"/>
          <w:color w:val="000000"/>
          <w:sz w:val="22"/>
          <w:szCs w:val="22"/>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33F32670"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3.7 Smluvní strany se dohodly, že objednatel nebude poskytovat zálohové platby.</w:t>
      </w:r>
    </w:p>
    <w:p w14:paraId="12166511" w14:textId="77777777" w:rsidR="000C1406" w:rsidRDefault="000C1406" w:rsidP="000C1406">
      <w:pPr>
        <w:pStyle w:val="Normlnweb"/>
        <w:jc w:val="center"/>
        <w:rPr>
          <w:color w:val="000000"/>
          <w:sz w:val="27"/>
          <w:szCs w:val="27"/>
        </w:rPr>
      </w:pPr>
      <w:r>
        <w:rPr>
          <w:rStyle w:val="Siln"/>
          <w:rFonts w:ascii="Arial" w:hAnsi="Arial" w:cs="Arial"/>
          <w:color w:val="000000"/>
          <w:sz w:val="22"/>
          <w:szCs w:val="22"/>
        </w:rPr>
        <w:t>IV.</w:t>
      </w:r>
      <w:r>
        <w:rPr>
          <w:rFonts w:ascii="Arial" w:hAnsi="Arial" w:cs="Arial"/>
          <w:color w:val="000000"/>
          <w:sz w:val="22"/>
          <w:szCs w:val="22"/>
        </w:rPr>
        <w:t> </w:t>
      </w:r>
      <w:r>
        <w:rPr>
          <w:rStyle w:val="Siln"/>
          <w:rFonts w:ascii="Arial" w:hAnsi="Arial" w:cs="Arial"/>
          <w:color w:val="000000"/>
          <w:sz w:val="22"/>
          <w:szCs w:val="22"/>
        </w:rPr>
        <w:t>Doba a místo plnění</w:t>
      </w:r>
    </w:p>
    <w:p w14:paraId="002FF082" w14:textId="080DCD64"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4.1 Zhotovitel se zavazuje provést dílo a předat jej objednateli nejpozději do: 30.11.2021.</w:t>
      </w:r>
    </w:p>
    <w:p w14:paraId="4A2A4899"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4.2 Pokud zhotovitel dokončí dílo před dohodnutým termínem, zavazuje se objednatel, že převezme dílo i v dřívějším nabídnutém termínu, pokud bude bez vad a nedodělků.</w:t>
      </w:r>
    </w:p>
    <w:p w14:paraId="532FF737"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4.3 Místem plnění je viz mapová příloha.</w:t>
      </w:r>
    </w:p>
    <w:p w14:paraId="722BD4D7" w14:textId="77777777" w:rsidR="000C1406" w:rsidRDefault="000C1406" w:rsidP="000C1406">
      <w:pPr>
        <w:pStyle w:val="Normlnweb"/>
        <w:jc w:val="center"/>
        <w:rPr>
          <w:color w:val="000000"/>
          <w:sz w:val="27"/>
          <w:szCs w:val="27"/>
        </w:rPr>
      </w:pPr>
      <w:r>
        <w:rPr>
          <w:rStyle w:val="Siln"/>
          <w:rFonts w:ascii="Arial" w:hAnsi="Arial" w:cs="Arial"/>
          <w:color w:val="000000"/>
          <w:sz w:val="22"/>
          <w:szCs w:val="22"/>
        </w:rPr>
        <w:t>V. Další ujednání</w:t>
      </w:r>
    </w:p>
    <w:p w14:paraId="16913079"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5.1 Zhotovitel je povinen provést dílo v kvalitě, formě a obsahu, které vyžaduje tato smlouva a která je obvyklá pro díla obdobného typu. Zhotovitel je povinen po celou dobu provádění díla dbát pokynů objednatele.</w:t>
      </w:r>
    </w:p>
    <w:p w14:paraId="5AFD48E1"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41E1BF0C"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history="1">
        <w:r>
          <w:rPr>
            <w:rStyle w:val="Hypertextovodkaz"/>
            <w:rFonts w:ascii="Arial" w:hAnsi="Arial" w:cs="Arial"/>
            <w:sz w:val="22"/>
            <w:szCs w:val="22"/>
          </w:rPr>
          <w:t>https://portal.nature.cz/publik_syst/files/oop_mngmonvyj.pdf</w:t>
        </w:r>
      </w:hyperlink>
      <w:r>
        <w:rPr>
          <w:rFonts w:ascii="Arial" w:hAnsi="Arial" w:cs="Arial"/>
          <w:color w:val="000000"/>
          <w:sz w:val="22"/>
          <w:szCs w:val="22"/>
        </w:rPr>
        <w:t xml:space="preserve"> a kterou je pro zhotovitele dáno veřejnoprávní povolení k realizaci činností, které jsou předmětem této smlouvy na úseku zákona č. 114/1992 Sb., o ochraně přírody a krajiny, v platném znění. Zhotovitel </w:t>
      </w:r>
      <w:r>
        <w:rPr>
          <w:rFonts w:ascii="Arial" w:hAnsi="Arial" w:cs="Arial"/>
          <w:color w:val="000000"/>
          <w:sz w:val="22"/>
          <w:szCs w:val="22"/>
        </w:rPr>
        <w:lastRenderedPageBreak/>
        <w:t>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w:t>
      </w:r>
    </w:p>
    <w:p w14:paraId="0C6B0B00" w14:textId="77777777" w:rsidR="000C1406" w:rsidRDefault="000C1406" w:rsidP="000C1406">
      <w:pPr>
        <w:pStyle w:val="Normlnweb"/>
        <w:jc w:val="center"/>
        <w:rPr>
          <w:color w:val="000000"/>
          <w:sz w:val="27"/>
          <w:szCs w:val="27"/>
        </w:rPr>
      </w:pPr>
      <w:r>
        <w:rPr>
          <w:rStyle w:val="Siln"/>
          <w:rFonts w:ascii="Arial" w:hAnsi="Arial" w:cs="Arial"/>
          <w:color w:val="000000"/>
          <w:sz w:val="22"/>
          <w:szCs w:val="22"/>
        </w:rPr>
        <w:t>VI. Předání a převzetí díla</w:t>
      </w:r>
    </w:p>
    <w:p w14:paraId="0191B819"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6.1 O předání díla vyhotoví smluvní strany předávací protokol podepsaný oběma smluvními stranami. Objednatel není povinen převzít dílo vykazující byť drobné vady či nedodělky.</w:t>
      </w:r>
    </w:p>
    <w:p w14:paraId="4E505A4B"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7BA4C676" w14:textId="148D25CF" w:rsidR="000C1406" w:rsidRDefault="000C1406" w:rsidP="000C1406">
      <w:pPr>
        <w:pStyle w:val="Normlnweb"/>
        <w:spacing w:before="120" w:beforeAutospacing="0" w:after="120" w:afterAutospacing="0"/>
        <w:ind w:left="340" w:hanging="340"/>
        <w:jc w:val="both"/>
        <w:rPr>
          <w:rFonts w:ascii="Arial" w:hAnsi="Arial" w:cs="Arial"/>
          <w:color w:val="000000"/>
          <w:sz w:val="22"/>
          <w:szCs w:val="22"/>
        </w:rPr>
      </w:pPr>
      <w:r>
        <w:rPr>
          <w:rFonts w:ascii="Arial" w:hAnsi="Arial" w:cs="Arial"/>
          <w:color w:val="000000"/>
          <w:sz w:val="22"/>
          <w:szCs w:val="22"/>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14:paraId="05F03DAF" w14:textId="77777777" w:rsidR="000C1406" w:rsidRDefault="000C1406" w:rsidP="000C1406">
      <w:pPr>
        <w:pStyle w:val="Normlnweb"/>
        <w:spacing w:before="120" w:beforeAutospacing="0" w:after="120" w:afterAutospacing="0"/>
        <w:ind w:left="340" w:hanging="340"/>
        <w:jc w:val="both"/>
        <w:rPr>
          <w:color w:val="000000"/>
          <w:sz w:val="27"/>
          <w:szCs w:val="27"/>
        </w:rPr>
      </w:pPr>
    </w:p>
    <w:p w14:paraId="7B5E92A7" w14:textId="77777777" w:rsidR="000C1406" w:rsidRDefault="000C1406" w:rsidP="000C1406">
      <w:pPr>
        <w:pStyle w:val="Normlnweb"/>
        <w:spacing w:before="120" w:beforeAutospacing="0" w:after="120" w:afterAutospacing="0"/>
        <w:ind w:left="340" w:hanging="340"/>
        <w:jc w:val="center"/>
        <w:rPr>
          <w:color w:val="000000"/>
          <w:sz w:val="27"/>
          <w:szCs w:val="27"/>
        </w:rPr>
      </w:pPr>
      <w:r>
        <w:rPr>
          <w:rStyle w:val="Siln"/>
          <w:rFonts w:ascii="Arial" w:hAnsi="Arial" w:cs="Arial"/>
          <w:color w:val="000000"/>
          <w:sz w:val="22"/>
          <w:szCs w:val="22"/>
        </w:rPr>
        <w:t>VII. Odpovědnost za vady</w:t>
      </w:r>
    </w:p>
    <w:p w14:paraId="762CFF2F"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7.1 Zhotovitel odpovídá za vady, jež má dílo v době jeho předání objednateli, byť se vady projeví až později.</w:t>
      </w:r>
    </w:p>
    <w:p w14:paraId="3746AB48"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2D25B0B7"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7.3 Objednatel je oprávněn požadovat odstranění vady opravou, poskytnutím náhradního plnění nebo slevu ze sjednané ceny. Výběr způsobu nápravy náleží objednateli.</w:t>
      </w:r>
    </w:p>
    <w:p w14:paraId="19F921DE"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7.4 Zhotovitel poskytuje na dílo záruku v délce 24 měsíců. V případě, že délka záruky činí 0 měsíců, ustanovení článků 7.5 až 7.7 se neuplatní.</w:t>
      </w:r>
    </w:p>
    <w:p w14:paraId="0594FCC5"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7.5 Záruční doba počíná běžet dnem předání kompletního a bezvadného díla, popř. dnem odstranění poslední vady a nedodělku uvedeného v předávacím protokolu.</w:t>
      </w:r>
    </w:p>
    <w:p w14:paraId="3FB1D11B"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14:paraId="23AFD3D9"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7.7 Objednatel je oprávněn požadovat odstranění vady, na kterou se vztahuje záruka, opravou, poskytnutím náhradního plnění nebo slevu ze sjednané ceny. Výběr způsobu nápravy náleží objednateli.</w:t>
      </w:r>
    </w:p>
    <w:p w14:paraId="2B5EF9E9" w14:textId="77777777" w:rsidR="000C1406" w:rsidRDefault="000C1406" w:rsidP="000C1406">
      <w:pPr>
        <w:pStyle w:val="Normlnweb"/>
        <w:spacing w:before="120" w:beforeAutospacing="0" w:after="120" w:afterAutospacing="0"/>
        <w:ind w:left="340" w:hanging="340"/>
        <w:jc w:val="center"/>
        <w:rPr>
          <w:color w:val="000000"/>
          <w:sz w:val="27"/>
          <w:szCs w:val="27"/>
        </w:rPr>
      </w:pPr>
      <w:r>
        <w:rPr>
          <w:rStyle w:val="Siln"/>
          <w:rFonts w:ascii="Arial" w:hAnsi="Arial" w:cs="Arial"/>
          <w:color w:val="000000"/>
          <w:sz w:val="22"/>
          <w:szCs w:val="22"/>
        </w:rPr>
        <w:t>VIII. Sankce</w:t>
      </w:r>
    </w:p>
    <w:p w14:paraId="75A61D75"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14:paraId="00C50C17"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8.2 V případě prodlení objednatele s placením vyúčtování je objednatel povinen zaplatit zhotoviteli úrok z prodlení z nezaplacené částky v zákonné výši.</w:t>
      </w:r>
    </w:p>
    <w:p w14:paraId="226D8821"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8.3 Ustanoveními o smluvní pokutě není dotčen nárok oprávněné smluvní strany požadovat náhradu škody v plném rozsahu.</w:t>
      </w:r>
    </w:p>
    <w:p w14:paraId="5F0C0F30" w14:textId="77777777" w:rsidR="000C1406" w:rsidRDefault="000C1406" w:rsidP="000C1406">
      <w:pPr>
        <w:pStyle w:val="Normlnweb"/>
        <w:spacing w:before="120" w:beforeAutospacing="0" w:after="120" w:afterAutospacing="0"/>
        <w:ind w:left="340" w:hanging="340"/>
        <w:jc w:val="center"/>
        <w:rPr>
          <w:color w:val="000000"/>
          <w:sz w:val="27"/>
          <w:szCs w:val="27"/>
        </w:rPr>
      </w:pPr>
      <w:r>
        <w:rPr>
          <w:rStyle w:val="Siln"/>
          <w:rFonts w:ascii="Arial" w:hAnsi="Arial" w:cs="Arial"/>
          <w:color w:val="000000"/>
          <w:sz w:val="22"/>
          <w:szCs w:val="22"/>
        </w:rPr>
        <w:lastRenderedPageBreak/>
        <w:t>IX. Závěrečná ustanovení</w:t>
      </w:r>
    </w:p>
    <w:p w14:paraId="6CAF886D"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9.1 Tato smlouva může být měněna a doplňována pouze písemnými a očíslovanými dodatky podepsanými oprávněnými zástupci smluvních stran, není-li v této smlouvě uvedeno jinak.</w:t>
      </w:r>
    </w:p>
    <w:p w14:paraId="2511B9FB"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9.2 Ve věcech touto smlouvou neupravených se řídí práva a povinnosti smluvních stran příslušnými ustanoveními zákona č. 89/2012 Sb., občanského zákoníku.</w:t>
      </w:r>
    </w:p>
    <w:p w14:paraId="341899BE"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2ECED369"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9.4 Tato smlouva je vyhotovena ve dvou stejnopisech, z nichž každý má platnost originálu. Jeden stejnopis obdrží objednatel, jeden stejnopis obdrží zhotovitel.</w:t>
      </w:r>
    </w:p>
    <w:p w14:paraId="4F911E43"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0D42D63F"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9.6 Obě smluvní strany prohlašují, že se seznámily s celým textem smlouvy včetně jejich příloh a s celým obsahem smlouvy souhlasí. Současně prohlašují, že tato smlouva nebyla sjednána v tísni ani za jinak nápadně nevýhodných podmínek.</w:t>
      </w:r>
    </w:p>
    <w:p w14:paraId="5821E38F" w14:textId="77777777" w:rsidR="000C1406" w:rsidRDefault="000C1406" w:rsidP="000C14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9.7 Nedílnou součástí smlouvy jsou tyto přílohy:</w:t>
      </w:r>
    </w:p>
    <w:p w14:paraId="2723D964" w14:textId="77777777" w:rsidR="000C1406" w:rsidRDefault="000C1406" w:rsidP="000C1406">
      <w:pPr>
        <w:pStyle w:val="Normlnweb"/>
        <w:spacing w:before="120" w:beforeAutospacing="0" w:after="120" w:afterAutospacing="0"/>
        <w:ind w:left="340"/>
        <w:jc w:val="both"/>
        <w:rPr>
          <w:color w:val="000000"/>
          <w:sz w:val="27"/>
          <w:szCs w:val="27"/>
        </w:rPr>
      </w:pPr>
      <w:r>
        <w:rPr>
          <w:rFonts w:ascii="Arial" w:hAnsi="Arial" w:cs="Arial"/>
          <w:color w:val="000000"/>
          <w:sz w:val="22"/>
          <w:szCs w:val="22"/>
        </w:rPr>
        <w:t>Příloha č. 1 – Rozpočet a specifikace díla PPK-49b/82/21.</w:t>
      </w:r>
    </w:p>
    <w:p w14:paraId="25578F25" w14:textId="77777777" w:rsidR="000C1406" w:rsidRDefault="000C1406" w:rsidP="000C1406">
      <w:pPr>
        <w:pStyle w:val="Normlnweb"/>
        <w:spacing w:before="0" w:beforeAutospacing="0" w:after="0" w:afterAutospacing="0"/>
        <w:jc w:val="both"/>
        <w:rPr>
          <w:color w:val="000000"/>
          <w:sz w:val="27"/>
          <w:szCs w:val="27"/>
        </w:rPr>
      </w:pPr>
      <w:r>
        <w:rPr>
          <w:color w:val="000000"/>
          <w:sz w:val="27"/>
          <w:szCs w:val="27"/>
        </w:rPr>
        <w:t> </w:t>
      </w:r>
    </w:p>
    <w:p w14:paraId="2B1B52AA" w14:textId="77777777" w:rsidR="000C1406" w:rsidRDefault="000C1406" w:rsidP="000C1406">
      <w:pPr>
        <w:pStyle w:val="Normlnweb"/>
        <w:rPr>
          <w:color w:val="000000"/>
          <w:sz w:val="27"/>
          <w:szCs w:val="27"/>
        </w:rPr>
      </w:pPr>
      <w:r>
        <w:rPr>
          <w:color w:val="000000"/>
          <w:sz w:val="27"/>
          <w:szCs w:val="27"/>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37"/>
        <w:gridCol w:w="847"/>
        <w:gridCol w:w="416"/>
        <w:gridCol w:w="50"/>
        <w:gridCol w:w="1776"/>
        <w:gridCol w:w="274"/>
        <w:gridCol w:w="974"/>
        <w:gridCol w:w="1787"/>
        <w:gridCol w:w="415"/>
        <w:gridCol w:w="50"/>
        <w:gridCol w:w="442"/>
        <w:gridCol w:w="1513"/>
        <w:gridCol w:w="207"/>
        <w:gridCol w:w="50"/>
      </w:tblGrid>
      <w:tr w:rsidR="000C1406" w14:paraId="5B231BF5" w14:textId="77777777" w:rsidTr="000C1406">
        <w:trPr>
          <w:trHeight w:val="915"/>
          <w:jc w:val="center"/>
        </w:trPr>
        <w:tc>
          <w:tcPr>
            <w:tcW w:w="1961" w:type="dxa"/>
            <w:gridSpan w:val="2"/>
            <w:tcBorders>
              <w:top w:val="nil"/>
              <w:left w:val="nil"/>
              <w:bottom w:val="nil"/>
              <w:right w:val="nil"/>
            </w:tcBorders>
            <w:shd w:val="clear" w:color="auto" w:fill="auto"/>
            <w:tcMar>
              <w:top w:w="0" w:type="dxa"/>
              <w:left w:w="0" w:type="dxa"/>
              <w:bottom w:w="0" w:type="dxa"/>
              <w:right w:w="0" w:type="dxa"/>
            </w:tcMar>
            <w:vAlign w:val="center"/>
            <w:hideMark/>
          </w:tcPr>
          <w:p w14:paraId="523EFD87" w14:textId="02F30B2A" w:rsidR="000C1406" w:rsidRDefault="000C1406">
            <w:pPr>
              <w:pStyle w:val="Normlnweb"/>
              <w:spacing w:before="0" w:beforeAutospacing="0" w:after="0" w:afterAutospacing="0"/>
              <w:jc w:val="center"/>
            </w:pPr>
            <w:r>
              <w:rPr>
                <w:rFonts w:ascii="Arial" w:hAnsi="Arial" w:cs="Arial"/>
                <w:sz w:val="22"/>
                <w:szCs w:val="22"/>
              </w:rPr>
              <w:t>V Rožnově p.</w:t>
            </w:r>
            <w:r w:rsidR="004333F1">
              <w:rPr>
                <w:rFonts w:ascii="Arial" w:hAnsi="Arial" w:cs="Arial"/>
                <w:sz w:val="22"/>
                <w:szCs w:val="22"/>
              </w:rPr>
              <w:t xml:space="preserve"> </w:t>
            </w:r>
            <w:r>
              <w:rPr>
                <w:rFonts w:ascii="Arial" w:hAnsi="Arial" w:cs="Arial"/>
                <w:sz w:val="22"/>
                <w:szCs w:val="22"/>
              </w:rPr>
              <w:t>R.</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14:paraId="5590FF9B" w14:textId="77777777" w:rsidR="000C1406" w:rsidRDefault="000C1406">
            <w:r>
              <w:t> </w:t>
            </w:r>
          </w:p>
        </w:tc>
        <w:tc>
          <w:tcPr>
            <w:tcW w:w="2418" w:type="dxa"/>
            <w:gridSpan w:val="3"/>
            <w:tcBorders>
              <w:top w:val="nil"/>
              <w:left w:val="nil"/>
              <w:bottom w:val="nil"/>
              <w:right w:val="nil"/>
            </w:tcBorders>
            <w:shd w:val="clear" w:color="auto" w:fill="auto"/>
            <w:tcMar>
              <w:top w:w="0" w:type="dxa"/>
              <w:left w:w="0" w:type="dxa"/>
              <w:bottom w:w="0" w:type="dxa"/>
              <w:right w:w="0" w:type="dxa"/>
            </w:tcMar>
            <w:vAlign w:val="center"/>
            <w:hideMark/>
          </w:tcPr>
          <w:p w14:paraId="36AAB5CD" w14:textId="77777777" w:rsidR="000C1406" w:rsidRDefault="000C1406">
            <w:pPr>
              <w:pStyle w:val="Normlnweb"/>
              <w:spacing w:before="0" w:beforeAutospacing="0" w:after="0" w:afterAutospacing="0"/>
            </w:pPr>
            <w:r>
              <w:rPr>
                <w:rFonts w:ascii="Arial" w:hAnsi="Arial" w:cs="Arial"/>
                <w:sz w:val="22"/>
                <w:szCs w:val="22"/>
              </w:rPr>
              <w:t>dne ...................</w:t>
            </w:r>
          </w:p>
        </w:tc>
        <w:tc>
          <w:tcPr>
            <w:tcW w:w="1287" w:type="dxa"/>
            <w:tcBorders>
              <w:top w:val="nil"/>
              <w:left w:val="nil"/>
              <w:bottom w:val="nil"/>
              <w:right w:val="nil"/>
            </w:tcBorders>
            <w:shd w:val="clear" w:color="auto" w:fill="auto"/>
            <w:tcMar>
              <w:top w:w="0" w:type="dxa"/>
              <w:left w:w="0" w:type="dxa"/>
              <w:bottom w:w="0" w:type="dxa"/>
              <w:right w:w="0" w:type="dxa"/>
            </w:tcMar>
            <w:vAlign w:val="center"/>
            <w:hideMark/>
          </w:tcPr>
          <w:p w14:paraId="4E0D40CE" w14:textId="77777777" w:rsidR="000C1406" w:rsidRDefault="000C1406">
            <w: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14:paraId="6D7BF5AD" w14:textId="61540A24" w:rsidR="000C1406" w:rsidRDefault="000C1406">
            <w:pPr>
              <w:pStyle w:val="Normlnweb"/>
              <w:spacing w:before="0" w:beforeAutospacing="0" w:after="0" w:afterAutospacing="0"/>
              <w:jc w:val="center"/>
            </w:pPr>
            <w:r>
              <w:rPr>
                <w:rFonts w:ascii="Arial" w:hAnsi="Arial" w:cs="Arial"/>
                <w:sz w:val="22"/>
                <w:szCs w:val="22"/>
              </w:rPr>
              <w:t>V</w:t>
            </w:r>
            <w:r w:rsidR="00C06A5B">
              <w:rPr>
                <w:rFonts w:ascii="Arial" w:hAnsi="Arial" w:cs="Arial"/>
                <w:sz w:val="22"/>
                <w:szCs w:val="22"/>
              </w:rPr>
              <w:t>e</w:t>
            </w:r>
            <w:bookmarkStart w:id="0" w:name="_GoBack"/>
            <w:bookmarkEnd w:id="0"/>
            <w:r>
              <w:rPr>
                <w:rFonts w:ascii="Arial" w:hAnsi="Arial" w:cs="Arial"/>
                <w:sz w:val="22"/>
                <w:szCs w:val="22"/>
              </w:rPr>
              <w:t xml:space="preserve"> Valašském Meziříčí</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14:paraId="478CDBB1" w14:textId="77777777" w:rsidR="000C1406" w:rsidRDefault="000C1406">
            <w:r>
              <w:t> </w:t>
            </w:r>
          </w:p>
        </w:tc>
        <w:tc>
          <w:tcPr>
            <w:tcW w:w="2276" w:type="dxa"/>
            <w:gridSpan w:val="3"/>
            <w:tcBorders>
              <w:top w:val="nil"/>
              <w:left w:val="nil"/>
              <w:bottom w:val="nil"/>
              <w:right w:val="nil"/>
            </w:tcBorders>
            <w:shd w:val="clear" w:color="auto" w:fill="auto"/>
            <w:tcMar>
              <w:top w:w="0" w:type="dxa"/>
              <w:left w:w="0" w:type="dxa"/>
              <w:bottom w:w="0" w:type="dxa"/>
              <w:right w:w="0" w:type="dxa"/>
            </w:tcMar>
            <w:vAlign w:val="center"/>
            <w:hideMark/>
          </w:tcPr>
          <w:p w14:paraId="01D4FA3C" w14:textId="77777777" w:rsidR="000C1406" w:rsidRDefault="000C1406">
            <w:pPr>
              <w:pStyle w:val="Normlnweb"/>
              <w:spacing w:before="0" w:beforeAutospacing="0" w:after="0" w:afterAutospacing="0"/>
            </w:pPr>
            <w:r>
              <w:rPr>
                <w:rFonts w:ascii="Arial" w:hAnsi="Arial" w:cs="Arial"/>
                <w:sz w:val="22"/>
                <w:szCs w:val="22"/>
              </w:rPr>
              <w:t>dne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14:paraId="6290769C" w14:textId="77777777" w:rsidR="000C1406" w:rsidRDefault="000C1406">
            <w:r>
              <w:t> </w:t>
            </w:r>
          </w:p>
        </w:tc>
      </w:tr>
      <w:tr w:rsidR="000C1406" w14:paraId="40B5D9EA" w14:textId="77777777" w:rsidTr="000C1406">
        <w:trPr>
          <w:trHeight w:val="186"/>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14:paraId="6CF47C50" w14:textId="77777777" w:rsidR="000C1406" w:rsidRDefault="000C1406">
            <w: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7A5201FE" w14:textId="77777777" w:rsidR="000C1406" w:rsidRDefault="000C1406">
            <w: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14:paraId="37237412" w14:textId="77777777" w:rsidR="000C1406" w:rsidRDefault="000C1406">
            <w: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14:paraId="6628A7AF" w14:textId="77777777" w:rsidR="000C1406" w:rsidRDefault="000C1406">
            <w:r>
              <w:t> </w:t>
            </w:r>
          </w:p>
        </w:tc>
      </w:tr>
      <w:tr w:rsidR="000C1406" w14:paraId="5E18FFCD" w14:textId="77777777" w:rsidTr="000C1406">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14:paraId="1B75AAB8" w14:textId="77777777" w:rsidR="000C1406" w:rsidRDefault="000C1406">
            <w:r>
              <w:rPr>
                <w:rFonts w:ascii="Arial" w:hAnsi="Arial" w:cs="Arial"/>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0C231DFA" w14:textId="77777777" w:rsidR="000C1406" w:rsidRDefault="000C1406">
            <w: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14:paraId="3A41BE16" w14:textId="77777777" w:rsidR="000C1406" w:rsidRDefault="000C1406">
            <w:r>
              <w:rPr>
                <w:rFonts w:ascii="Arial" w:hAnsi="Arial" w:cs="Arial"/>
              </w:rPr>
              <w:t>Zhotovitel</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14:paraId="072629A9" w14:textId="77777777" w:rsidR="000C1406" w:rsidRDefault="000C1406">
            <w:r>
              <w:t> </w:t>
            </w:r>
          </w:p>
        </w:tc>
      </w:tr>
      <w:tr w:rsidR="000C1406" w14:paraId="1C6C39B2" w14:textId="77777777" w:rsidTr="000C1406">
        <w:trPr>
          <w:trHeight w:val="38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14:paraId="001A3949" w14:textId="77777777" w:rsidR="000C1406" w:rsidRDefault="000C1406">
            <w: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14:paraId="091468E2" w14:textId="77777777" w:rsidR="000C1406" w:rsidRDefault="000C1406">
            <w: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14:paraId="6F0864E4" w14:textId="77777777" w:rsidR="000C1406" w:rsidRDefault="000C1406">
            <w: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14:paraId="30136F4A" w14:textId="77777777" w:rsidR="000C1406" w:rsidRDefault="000C1406">
            <w: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14:paraId="74A126CC" w14:textId="77777777" w:rsidR="000C1406" w:rsidRDefault="000C1406">
            <w: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14:paraId="655A53CC" w14:textId="77777777" w:rsidR="000C1406" w:rsidRDefault="000C1406">
            <w: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14:paraId="554DA455" w14:textId="77777777" w:rsidR="000C1406" w:rsidRDefault="000C1406">
            <w: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1EA627F3" w14:textId="77777777" w:rsidR="000C1406" w:rsidRDefault="000C1406">
            <w: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14:paraId="67574B4C" w14:textId="77777777" w:rsidR="000C1406" w:rsidRDefault="000C1406">
            <w: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14:paraId="1AF0A164" w14:textId="77777777" w:rsidR="000C1406" w:rsidRDefault="000C1406">
            <w:r>
              <w:t> </w:t>
            </w:r>
          </w:p>
        </w:tc>
      </w:tr>
      <w:tr w:rsidR="000C1406" w14:paraId="16EEA854" w14:textId="77777777" w:rsidTr="000C1406">
        <w:trPr>
          <w:trHeight w:val="126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14:paraId="7EEE1643" w14:textId="77777777" w:rsidR="000C1406" w:rsidRDefault="000C1406">
            <w: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14:paraId="0ED8F5D0" w14:textId="77777777" w:rsidR="000C1406" w:rsidRDefault="000C1406">
            <w: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14:paraId="345AEE93" w14:textId="77777777" w:rsidR="000C1406" w:rsidRDefault="000C1406">
            <w: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14:paraId="1F7F5838" w14:textId="77777777" w:rsidR="000C1406" w:rsidRDefault="000C1406">
            <w: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14:paraId="73681583" w14:textId="77777777" w:rsidR="000C1406" w:rsidRDefault="000C1406">
            <w: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14:paraId="7B0E3321" w14:textId="77777777" w:rsidR="000C1406" w:rsidRDefault="000C1406">
            <w: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14:paraId="6ACC7298" w14:textId="77777777" w:rsidR="000C1406" w:rsidRDefault="000C1406">
            <w: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405529EE" w14:textId="77777777" w:rsidR="000C1406" w:rsidRDefault="000C1406">
            <w: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14:paraId="1E365AEB" w14:textId="77777777" w:rsidR="000C1406" w:rsidRDefault="000C1406">
            <w: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14:paraId="264A997A" w14:textId="77777777" w:rsidR="000C1406" w:rsidRDefault="000C1406">
            <w:r>
              <w:t> </w:t>
            </w:r>
          </w:p>
        </w:tc>
      </w:tr>
      <w:tr w:rsidR="000C1406" w14:paraId="4EA3E27C" w14:textId="77777777" w:rsidTr="000C1406">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14:paraId="5CBC4B2C" w14:textId="77777777" w:rsidR="000C1406" w:rsidRDefault="000C1406">
            <w:pPr>
              <w:pStyle w:val="Normlnweb"/>
              <w:spacing w:before="0" w:beforeAutospacing="0" w:after="0" w:afterAutospacing="0"/>
              <w:jc w:val="center"/>
            </w:pPr>
            <w:r>
              <w:rPr>
                <w:rStyle w:val="Siln"/>
                <w:rFonts w:ascii="Arial" w:hAnsi="Arial" w:cs="Arial"/>
                <w:sz w:val="22"/>
                <w:szCs w:val="22"/>
              </w:rPr>
              <w:t xml:space="preserve">Mgr. František </w:t>
            </w:r>
            <w:proofErr w:type="spellStart"/>
            <w:r>
              <w:rPr>
                <w:rStyle w:val="Siln"/>
                <w:rFonts w:ascii="Arial" w:hAnsi="Arial" w:cs="Arial"/>
                <w:sz w:val="22"/>
                <w:szCs w:val="22"/>
              </w:rPr>
              <w:t>Jaskula</w:t>
            </w:r>
            <w:proofErr w:type="spellEnd"/>
            <w:r>
              <w:rPr>
                <w:rFonts w:ascii="Arial" w:hAnsi="Arial" w:cs="Arial"/>
                <w:b/>
                <w:bCs/>
                <w:sz w:val="22"/>
                <w:szCs w:val="22"/>
              </w:rPr>
              <w:br/>
            </w:r>
            <w:r>
              <w:rPr>
                <w:rStyle w:val="Siln"/>
                <w:rFonts w:ascii="Arial" w:hAnsi="Arial" w:cs="Arial"/>
                <w:sz w:val="22"/>
                <w:szCs w:val="22"/>
              </w:rP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3E9CBAB7" w14:textId="77777777" w:rsidR="000C1406" w:rsidRDefault="000C1406">
            <w: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14:paraId="1DB3CF41" w14:textId="77777777" w:rsidR="000C1406" w:rsidRDefault="000C1406">
            <w:pPr>
              <w:pStyle w:val="Normlnweb"/>
              <w:spacing w:before="0" w:beforeAutospacing="0" w:after="0" w:afterAutospacing="0"/>
              <w:jc w:val="center"/>
            </w:pPr>
            <w:r>
              <w:rPr>
                <w:rStyle w:val="Siln"/>
                <w:rFonts w:ascii="Arial" w:hAnsi="Arial" w:cs="Arial"/>
                <w:sz w:val="22"/>
                <w:szCs w:val="22"/>
              </w:rPr>
              <w:t>Plesník Miroslav</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14:paraId="1622C31D" w14:textId="77777777" w:rsidR="000C1406" w:rsidRDefault="000C1406">
            <w:r>
              <w:t> </w:t>
            </w:r>
          </w:p>
        </w:tc>
      </w:tr>
      <w:tr w:rsidR="000C1406" w14:paraId="670A5FE6" w14:textId="77777777" w:rsidTr="000C1406">
        <w:trPr>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14:paraId="00349CAC" w14:textId="77777777" w:rsidR="000C1406" w:rsidRDefault="000C1406">
            <w:r>
              <w:t> </w:t>
            </w:r>
          </w:p>
        </w:tc>
        <w:tc>
          <w:tcPr>
            <w:tcW w:w="1015" w:type="dxa"/>
            <w:tcBorders>
              <w:top w:val="nil"/>
              <w:left w:val="nil"/>
              <w:bottom w:val="nil"/>
              <w:right w:val="nil"/>
            </w:tcBorders>
            <w:shd w:val="clear" w:color="auto" w:fill="auto"/>
            <w:tcMar>
              <w:top w:w="0" w:type="dxa"/>
              <w:left w:w="0" w:type="dxa"/>
              <w:bottom w:w="0" w:type="dxa"/>
              <w:right w:w="0" w:type="dxa"/>
            </w:tcMar>
            <w:vAlign w:val="center"/>
            <w:hideMark/>
          </w:tcPr>
          <w:p w14:paraId="7D6B1BFE" w14:textId="77777777" w:rsidR="000C1406" w:rsidRDefault="000C1406">
            <w:r>
              <w:t> </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14:paraId="111DD13E" w14:textId="77777777" w:rsidR="000C1406" w:rsidRDefault="000C1406">
            <w: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14:paraId="3FF10407" w14:textId="77777777" w:rsidR="000C1406" w:rsidRDefault="000C1406">
            <w: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14:paraId="1C34457B" w14:textId="77777777" w:rsidR="000C1406" w:rsidRDefault="000C1406">
            <w: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14:paraId="1C5A375C" w14:textId="77777777" w:rsidR="000C1406" w:rsidRDefault="000C1406">
            <w: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14:paraId="4C0A7653" w14:textId="77777777" w:rsidR="000C1406" w:rsidRDefault="000C1406">
            <w: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14:paraId="486A26F1" w14:textId="77777777" w:rsidR="000C1406" w:rsidRDefault="000C1406">
            <w:r>
              <w:t> </w:t>
            </w: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14:paraId="2B64CEC2" w14:textId="77777777" w:rsidR="000C1406" w:rsidRDefault="000C1406">
            <w:r>
              <w:t> </w:t>
            </w:r>
          </w:p>
        </w:tc>
        <w:tc>
          <w:tcPr>
            <w:tcW w:w="2516" w:type="dxa"/>
            <w:gridSpan w:val="3"/>
            <w:tcBorders>
              <w:top w:val="nil"/>
              <w:left w:val="nil"/>
              <w:bottom w:val="nil"/>
              <w:right w:val="nil"/>
            </w:tcBorders>
            <w:shd w:val="clear" w:color="auto" w:fill="auto"/>
            <w:tcMar>
              <w:top w:w="0" w:type="dxa"/>
              <w:left w:w="0" w:type="dxa"/>
              <w:bottom w:w="0" w:type="dxa"/>
              <w:right w:w="0" w:type="dxa"/>
            </w:tcMar>
            <w:vAlign w:val="center"/>
            <w:hideMark/>
          </w:tcPr>
          <w:p w14:paraId="555CAED5" w14:textId="77777777" w:rsidR="000C1406" w:rsidRDefault="000C1406">
            <w:r>
              <w:t> </w:t>
            </w: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14:paraId="5FAC10B9" w14:textId="77777777" w:rsidR="000C1406" w:rsidRDefault="000C1406">
            <w:r>
              <w:t> </w:t>
            </w:r>
          </w:p>
        </w:tc>
      </w:tr>
    </w:tbl>
    <w:p w14:paraId="2E63E0C0" w14:textId="77777777" w:rsidR="00B02FA5" w:rsidRDefault="00B02FA5" w:rsidP="000C1406">
      <w:pPr>
        <w:spacing w:before="100" w:beforeAutospacing="1" w:after="100" w:afterAutospacing="1" w:line="240" w:lineRule="auto"/>
        <w:jc w:val="center"/>
      </w:pPr>
    </w:p>
    <w:sectPr w:rsidR="00B02FA5" w:rsidSect="00B02FA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A5"/>
    <w:rsid w:val="000C1406"/>
    <w:rsid w:val="004333F1"/>
    <w:rsid w:val="00B02FA5"/>
    <w:rsid w:val="00C06A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85D4"/>
  <w15:chartTrackingRefBased/>
  <w15:docId w15:val="{04CE0D2E-631E-471E-9548-5A2F843F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02F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02FA5"/>
    <w:rPr>
      <w:b/>
      <w:bCs/>
    </w:rPr>
  </w:style>
  <w:style w:type="character" w:styleId="Hypertextovodkaz">
    <w:name w:val="Hyperlink"/>
    <w:basedOn w:val="Standardnpsmoodstavce"/>
    <w:uiPriority w:val="99"/>
    <w:semiHidden/>
    <w:unhideWhenUsed/>
    <w:rsid w:val="00B02F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5065">
      <w:bodyDiv w:val="1"/>
      <w:marLeft w:val="0"/>
      <w:marRight w:val="0"/>
      <w:marTop w:val="0"/>
      <w:marBottom w:val="0"/>
      <w:divBdr>
        <w:top w:val="none" w:sz="0" w:space="0" w:color="auto"/>
        <w:left w:val="none" w:sz="0" w:space="0" w:color="auto"/>
        <w:bottom w:val="none" w:sz="0" w:space="0" w:color="auto"/>
        <w:right w:val="none" w:sz="0" w:space="0" w:color="auto"/>
      </w:divBdr>
    </w:div>
    <w:div w:id="4199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1526</Words>
  <Characters>9008</Characters>
  <Application>Microsoft Office Word</Application>
  <DocSecurity>0</DocSecurity>
  <Lines>75</Lines>
  <Paragraphs>21</Paragraphs>
  <ScaleCrop>false</ScaleCrop>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Müller</dc:creator>
  <cp:keywords/>
  <dc:description/>
  <cp:lastModifiedBy>Petr Chytil</cp:lastModifiedBy>
  <cp:revision>4</cp:revision>
  <dcterms:created xsi:type="dcterms:W3CDTF">2021-11-11T06:38:00Z</dcterms:created>
  <dcterms:modified xsi:type="dcterms:W3CDTF">2021-11-11T07:44:00Z</dcterms:modified>
</cp:coreProperties>
</file>