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14"/>
        <w:rPr>
          <w:rFonts w:ascii="Times New Roman"/>
        </w:rPr>
      </w:pPr>
      <w:r>
        <w:rPr>
          <w:rFonts w:ascii="Times New Roman"/>
        </w:rPr>
        <w:drawing>
          <wp:inline distT="0" distB="0" distL="0" distR="0">
            <wp:extent cx="6385584" cy="374903"/>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6385584" cy="374903"/>
                    </a:xfrm>
                    <a:prstGeom prst="rect">
                      <a:avLst/>
                    </a:prstGeom>
                  </pic:spPr>
                </pic:pic>
              </a:graphicData>
            </a:graphic>
          </wp:inline>
        </w:drawing>
      </w:r>
      <w:r>
        <w:rPr>
          <w:rFonts w:ascii="Times New Roman"/>
        </w:rPr>
      </w:r>
    </w:p>
    <w:p>
      <w:pPr>
        <w:pStyle w:val="BodyText"/>
        <w:rPr>
          <w:rFonts w:ascii="Times New Roman"/>
        </w:rPr>
      </w:pPr>
    </w:p>
    <w:p>
      <w:pPr>
        <w:pStyle w:val="BodyText"/>
        <w:spacing w:before="2"/>
        <w:rPr>
          <w:rFonts w:ascii="Times New Roman"/>
          <w:sz w:val="29"/>
        </w:rPr>
      </w:pPr>
    </w:p>
    <w:p>
      <w:pPr>
        <w:spacing w:before="114"/>
        <w:ind w:left="514" w:right="0" w:firstLine="0"/>
        <w:jc w:val="left"/>
        <w:rPr>
          <w:rFonts w:ascii="UnitPro-Medi" w:hAnsi="UnitPro-Medi"/>
          <w:b w:val="0"/>
          <w:sz w:val="18"/>
        </w:rPr>
      </w:pPr>
      <w:r>
        <w:rPr>
          <w:rFonts w:ascii="UnitPro-Medi" w:hAnsi="UnitPro-Medi"/>
          <w:b w:val="0"/>
          <w:sz w:val="22"/>
        </w:rPr>
        <w:t>Z</w:t>
      </w:r>
      <w:r>
        <w:rPr>
          <w:rFonts w:ascii="UnitPro-Medi" w:hAnsi="UnitPro-Medi"/>
          <w:b w:val="0"/>
          <w:sz w:val="18"/>
        </w:rPr>
        <w:t>ADÁNÍ AKUSTICKÉ STUDIE KŘIŽOVATKY </w:t>
      </w:r>
      <w:r>
        <w:rPr>
          <w:rFonts w:ascii="UnitPro-Medi" w:hAnsi="UnitPro-Medi"/>
          <w:b w:val="0"/>
          <w:sz w:val="22"/>
        </w:rPr>
        <w:t>B</w:t>
      </w:r>
      <w:r>
        <w:rPr>
          <w:rFonts w:ascii="UnitPro-Medi" w:hAnsi="UnitPro-Medi"/>
          <w:b w:val="0"/>
          <w:sz w:val="18"/>
        </w:rPr>
        <w:t>UBENSKÁ X  </w:t>
      </w:r>
      <w:r>
        <w:rPr>
          <w:rFonts w:ascii="UnitPro-Medi" w:hAnsi="UnitPro-Medi"/>
          <w:b w:val="0"/>
          <w:sz w:val="22"/>
        </w:rPr>
        <w:t>A</w:t>
      </w:r>
      <w:r>
        <w:rPr>
          <w:rFonts w:ascii="UnitPro-Medi" w:hAnsi="UnitPro-Medi"/>
          <w:b w:val="0"/>
          <w:sz w:val="18"/>
        </w:rPr>
        <w:t>NTONÍNSKÁ</w:t>
      </w:r>
    </w:p>
    <w:p>
      <w:pPr>
        <w:pStyle w:val="ListParagraph"/>
        <w:numPr>
          <w:ilvl w:val="0"/>
          <w:numId w:val="1"/>
        </w:numPr>
        <w:tabs>
          <w:tab w:pos="873" w:val="left" w:leader="none"/>
          <w:tab w:pos="874" w:val="left" w:leader="none"/>
        </w:tabs>
        <w:spacing w:line="240" w:lineRule="auto" w:before="247" w:after="0"/>
        <w:ind w:left="874" w:right="0" w:hanging="360"/>
        <w:jc w:val="left"/>
        <w:rPr>
          <w:rFonts w:ascii="UnitPro-Medi" w:hAnsi="UnitPro-Medi"/>
          <w:sz w:val="19"/>
        </w:rPr>
      </w:pPr>
      <w:r>
        <w:rPr>
          <w:rFonts w:ascii="UnitPro-Medi" w:hAnsi="UnitPro-Medi"/>
          <w:spacing w:val="6"/>
          <w:sz w:val="19"/>
        </w:rPr>
        <w:t>C</w:t>
      </w:r>
      <w:r>
        <w:rPr>
          <w:rFonts w:ascii="UnitPro-Medi" w:hAnsi="UnitPro-Medi"/>
          <w:spacing w:val="6"/>
          <w:sz w:val="15"/>
        </w:rPr>
        <w:t>ÍL </w:t>
      </w:r>
      <w:r>
        <w:rPr>
          <w:rFonts w:ascii="UnitPro-Medi" w:hAnsi="UnitPro-Medi"/>
          <w:spacing w:val="7"/>
          <w:sz w:val="15"/>
        </w:rPr>
        <w:t>STUDIE </w:t>
      </w:r>
      <w:r>
        <w:rPr>
          <w:rFonts w:ascii="UnitPro-Medi" w:hAnsi="UnitPro-Medi"/>
          <w:sz w:val="15"/>
        </w:rPr>
        <w:t>A  </w:t>
      </w:r>
      <w:r>
        <w:rPr>
          <w:rFonts w:ascii="UnitPro-Medi" w:hAnsi="UnitPro-Medi"/>
          <w:spacing w:val="7"/>
          <w:sz w:val="15"/>
        </w:rPr>
        <w:t>ŘEŠENÉ</w:t>
      </w:r>
      <w:r>
        <w:rPr>
          <w:rFonts w:ascii="UnitPro-Medi" w:hAnsi="UnitPro-Medi"/>
          <w:spacing w:val="39"/>
          <w:sz w:val="15"/>
        </w:rPr>
        <w:t> </w:t>
      </w:r>
      <w:r>
        <w:rPr>
          <w:rFonts w:ascii="UnitPro-Medi" w:hAnsi="UnitPro-Medi"/>
          <w:spacing w:val="7"/>
          <w:sz w:val="15"/>
        </w:rPr>
        <w:t>ÚZEMÍ</w:t>
      </w:r>
      <w:r>
        <w:rPr>
          <w:rFonts w:ascii="UnitPro-Medi" w:hAnsi="UnitPro-Medi"/>
          <w:spacing w:val="7"/>
          <w:sz w:val="19"/>
        </w:rPr>
        <w:t>:</w:t>
      </w:r>
    </w:p>
    <w:p>
      <w:pPr>
        <w:pStyle w:val="BodyText"/>
        <w:spacing w:line="259" w:lineRule="auto" w:before="18"/>
        <w:ind w:left="1234" w:right="582"/>
        <w:rPr>
          <w:b w:val="0"/>
        </w:rPr>
      </w:pPr>
      <w:r>
        <w:rPr>
          <w:b w:val="0"/>
        </w:rPr>
        <w:t>Cílem studie je prověřit a navrhnout řešení hlukové problematiky plánované nové podoby křižovatky Bubenská x Antonínská dle Územní studie Holešovice – Bubny – Zátory, měnící současný podjezd tramvajové trati na úrovňové křížení s novou polohou Bubenské, a navrhnout případné úpravy řešení křižovatky, které jsou</w:t>
      </w:r>
    </w:p>
    <w:p>
      <w:pPr>
        <w:pStyle w:val="BodyText"/>
        <w:spacing w:line="259" w:lineRule="auto"/>
        <w:ind w:left="1234" w:right="962"/>
        <w:rPr>
          <w:b w:val="0"/>
        </w:rPr>
      </w:pPr>
      <w:r>
        <w:rPr>
          <w:b w:val="0"/>
        </w:rPr>
        <w:t>v souladu s principy územní studie a zároveň vyhoví aktuálně platným hygienickým limitům. Návrh by měl navrhnout několik variantních řešení, která budou splňovat požadavky hygienických limitů.</w:t>
      </w:r>
    </w:p>
    <w:p>
      <w:pPr>
        <w:pStyle w:val="BodyText"/>
        <w:spacing w:line="259" w:lineRule="auto"/>
        <w:ind w:left="1234" w:right="730"/>
        <w:rPr>
          <w:b w:val="0"/>
        </w:rPr>
      </w:pPr>
      <w:r>
        <w:rPr>
          <w:b w:val="0"/>
        </w:rPr>
        <w:t>Řešené území je v prostoru křižovatky Antonínská x Bubenská s nezbytnými návaznými částmi ulic, kde je navrženo odlišné řešení oproti dnešnímu stavu. Jedná se především o ulici Antonínská s dnešní tramvajovou rampou a část ulice Bubenské (v úseku mezi Antonínskou a Heřmanovou a v prostoru před budovou bývalých Elektrických podniků.</w:t>
      </w:r>
    </w:p>
    <w:p>
      <w:pPr>
        <w:pStyle w:val="BodyText"/>
        <w:spacing w:before="6"/>
        <w:rPr>
          <w:b w:val="0"/>
          <w:sz w:val="18"/>
        </w:rPr>
      </w:pPr>
    </w:p>
    <w:p>
      <w:pPr>
        <w:pStyle w:val="ListParagraph"/>
        <w:numPr>
          <w:ilvl w:val="0"/>
          <w:numId w:val="1"/>
        </w:numPr>
        <w:tabs>
          <w:tab w:pos="770" w:val="left" w:leader="none"/>
        </w:tabs>
        <w:spacing w:line="240" w:lineRule="auto" w:before="0" w:after="0"/>
        <w:ind w:left="769" w:right="0" w:hanging="255"/>
        <w:jc w:val="left"/>
        <w:rPr>
          <w:rFonts w:ascii="UnitPro-Medi" w:hAnsi="UnitPro-Medi"/>
          <w:sz w:val="19"/>
        </w:rPr>
      </w:pPr>
      <w:r>
        <w:rPr>
          <w:rFonts w:ascii="UnitPro-Medi" w:hAnsi="UnitPro-Medi"/>
          <w:spacing w:val="8"/>
          <w:sz w:val="19"/>
        </w:rPr>
        <w:t>P</w:t>
      </w:r>
      <w:r>
        <w:rPr>
          <w:rFonts w:ascii="UnitPro-Medi" w:hAnsi="UnitPro-Medi"/>
          <w:spacing w:val="8"/>
          <w:sz w:val="15"/>
        </w:rPr>
        <w:t>ODROBNÉ</w:t>
      </w:r>
      <w:r>
        <w:rPr>
          <w:rFonts w:ascii="UnitPro-Medi" w:hAnsi="UnitPro-Medi"/>
          <w:spacing w:val="19"/>
          <w:sz w:val="15"/>
        </w:rPr>
        <w:t> </w:t>
      </w:r>
      <w:r>
        <w:rPr>
          <w:rFonts w:ascii="UnitPro-Medi" w:hAnsi="UnitPro-Medi"/>
          <w:spacing w:val="8"/>
          <w:sz w:val="15"/>
        </w:rPr>
        <w:t>ZADÁNÍ</w:t>
      </w:r>
      <w:r>
        <w:rPr>
          <w:rFonts w:ascii="UnitPro-Medi" w:hAnsi="UnitPro-Medi"/>
          <w:spacing w:val="8"/>
          <w:sz w:val="19"/>
        </w:rPr>
        <w:t>:</w:t>
      </w:r>
    </w:p>
    <w:p>
      <w:pPr>
        <w:pStyle w:val="BodyText"/>
        <w:spacing w:line="259" w:lineRule="auto" w:before="17"/>
        <w:ind w:left="1233" w:right="504"/>
        <w:rPr>
          <w:b w:val="0"/>
        </w:rPr>
      </w:pPr>
      <w:r>
        <w:rPr>
          <w:b w:val="0"/>
        </w:rPr>
        <w:t>Zpracovatel bude uvažovat s úrovňovým řešením výše uvedené křižovatky dle zpracované územní studie Holešovice Bubny (podklad 1). Oproti předchozímu akustickému prověření zadané Dopravním podnikem hl. m. Prahy (podklad 2) bude prověřovat všechny dnes dostupné varianty snížení hlukové zátěže (opatření na svršku tratě, krytu tratě, snížení rychlosti tramvají…) včetně možnosti realizace protihlukových clon (PHC), protihluková opatření na budovách, řešení ulice Bubenská (drobný posun jízdních pruhů nezbytně nutný pro umístění případného protihlukového opatření v uličním prostoru, Jednotlivá opatření se mohou kombinovat tak, aby bylo nalezeno/nalezena optimální řešení uspořádání a návrhu křižovatky a jejího přilehlého okolí.</w:t>
      </w:r>
    </w:p>
    <w:p>
      <w:pPr>
        <w:pStyle w:val="BodyText"/>
        <w:spacing w:line="259" w:lineRule="auto"/>
        <w:ind w:left="1233" w:right="1114"/>
        <w:rPr>
          <w:b w:val="0"/>
        </w:rPr>
      </w:pPr>
      <w:r>
        <w:rPr>
          <w:b w:val="0"/>
        </w:rPr>
        <w:t>V krajním případě je možné ve spolupráci se zadavatelem prověřit vhodnou šířku uličního profilu včetně možných posunů v rámci šířkového uspořádání uličního prostoru.</w:t>
      </w:r>
    </w:p>
    <w:p>
      <w:pPr>
        <w:pStyle w:val="BodyText"/>
        <w:spacing w:line="247" w:lineRule="exact" w:before="1"/>
        <w:ind w:left="1233"/>
        <w:rPr>
          <w:b w:val="0"/>
        </w:rPr>
      </w:pPr>
      <w:r>
        <w:rPr>
          <w:b w:val="0"/>
        </w:rPr>
        <w:t>Hluková část studie bude respektovat výhledovou frekvenci denních a nočních tramvajových spojů.</w:t>
      </w:r>
    </w:p>
    <w:p>
      <w:pPr>
        <w:pStyle w:val="BodyText"/>
        <w:spacing w:before="3"/>
        <w:rPr>
          <w:b w:val="0"/>
          <w:sz w:val="23"/>
        </w:rPr>
      </w:pPr>
    </w:p>
    <w:p>
      <w:pPr>
        <w:pStyle w:val="BodyText"/>
        <w:spacing w:line="256" w:lineRule="auto"/>
        <w:ind w:left="1233" w:right="543"/>
        <w:rPr>
          <w:b w:val="0"/>
        </w:rPr>
      </w:pPr>
      <w:r>
        <w:rPr>
          <w:b w:val="0"/>
        </w:rPr>
        <w:t>V rámci hlukové studie bude posouzena a vyhodnocena akustická zátěž v území a budou navržena protihluková opatření. Posouzení se bude skládat z těchto částí:</w:t>
      </w:r>
    </w:p>
    <w:p>
      <w:pPr>
        <w:pStyle w:val="BodyText"/>
        <w:spacing w:before="5"/>
        <w:rPr>
          <w:b w:val="0"/>
          <w:sz w:val="18"/>
        </w:rPr>
      </w:pPr>
    </w:p>
    <w:p>
      <w:pPr>
        <w:pStyle w:val="ListParagraph"/>
        <w:numPr>
          <w:ilvl w:val="0"/>
          <w:numId w:val="2"/>
        </w:numPr>
        <w:tabs>
          <w:tab w:pos="1933" w:val="left" w:leader="none"/>
        </w:tabs>
        <w:spacing w:line="326" w:lineRule="auto" w:before="0" w:after="0"/>
        <w:ind w:left="1932" w:right="1076" w:hanging="284"/>
        <w:jc w:val="left"/>
        <w:rPr>
          <w:i/>
          <w:sz w:val="19"/>
        </w:rPr>
      </w:pPr>
      <w:r>
        <w:rPr>
          <w:i/>
          <w:sz w:val="19"/>
        </w:rPr>
        <w:t>Pro současný stav budou vyhodnoceny hlavní zdroje hluku – silniční a tramvajová doprava. Pro všechny uvedené zdroje bude stanoven hygienický limit hluku v chráněném venkovním prostoru</w:t>
      </w:r>
      <w:r>
        <w:rPr>
          <w:i/>
          <w:spacing w:val="-13"/>
          <w:sz w:val="19"/>
        </w:rPr>
        <w:t> </w:t>
      </w:r>
      <w:r>
        <w:rPr>
          <w:i/>
          <w:sz w:val="19"/>
        </w:rPr>
        <w:t>staveb.</w:t>
      </w:r>
    </w:p>
    <w:p>
      <w:pPr>
        <w:pStyle w:val="ListParagraph"/>
        <w:numPr>
          <w:ilvl w:val="0"/>
          <w:numId w:val="2"/>
        </w:numPr>
        <w:tabs>
          <w:tab w:pos="1933" w:val="left" w:leader="none"/>
        </w:tabs>
        <w:spacing w:line="235" w:lineRule="exact" w:before="0" w:after="0"/>
        <w:ind w:left="1932" w:right="0" w:hanging="284"/>
        <w:jc w:val="left"/>
        <w:rPr>
          <w:i/>
          <w:sz w:val="19"/>
        </w:rPr>
      </w:pPr>
      <w:r>
        <w:rPr>
          <w:i/>
          <w:sz w:val="19"/>
        </w:rPr>
        <w:t>Stávající stav a zdroje hluku budou ověřeny měřením akustického tlaku v denní a noční</w:t>
      </w:r>
      <w:r>
        <w:rPr>
          <w:i/>
          <w:spacing w:val="-21"/>
          <w:sz w:val="19"/>
        </w:rPr>
        <w:t> </w:t>
      </w:r>
      <w:r>
        <w:rPr>
          <w:i/>
          <w:sz w:val="19"/>
        </w:rPr>
        <w:t>době.</w:t>
      </w:r>
    </w:p>
    <w:p>
      <w:pPr>
        <w:pStyle w:val="ListParagraph"/>
        <w:numPr>
          <w:ilvl w:val="0"/>
          <w:numId w:val="2"/>
        </w:numPr>
        <w:tabs>
          <w:tab w:pos="1933" w:val="left" w:leader="none"/>
        </w:tabs>
        <w:spacing w:line="326" w:lineRule="auto" w:before="84" w:after="0"/>
        <w:ind w:left="1932" w:right="1250" w:hanging="285"/>
        <w:jc w:val="left"/>
        <w:rPr>
          <w:i/>
          <w:sz w:val="19"/>
        </w:rPr>
      </w:pPr>
      <w:r>
        <w:rPr>
          <w:i/>
          <w:sz w:val="19"/>
        </w:rPr>
        <w:t>Pro výhledový stav budou navržena a vyhodnocena reálná protihluková opatření, která </w:t>
      </w:r>
      <w:r>
        <w:rPr>
          <w:i/>
          <w:sz w:val="19"/>
          <w:u w:val="single"/>
        </w:rPr>
        <w:t>zajistí splnění hygienických limitů </w:t>
      </w:r>
      <w:r>
        <w:rPr>
          <w:i/>
          <w:sz w:val="19"/>
        </w:rPr>
        <w:t>v chráněných venkovních prostorech</w:t>
      </w:r>
      <w:r>
        <w:rPr>
          <w:i/>
          <w:spacing w:val="-11"/>
          <w:sz w:val="19"/>
        </w:rPr>
        <w:t> </w:t>
      </w:r>
      <w:r>
        <w:rPr>
          <w:i/>
          <w:sz w:val="19"/>
        </w:rPr>
        <w:t>staveb.</w:t>
      </w:r>
    </w:p>
    <w:p>
      <w:pPr>
        <w:pStyle w:val="ListParagraph"/>
        <w:numPr>
          <w:ilvl w:val="0"/>
          <w:numId w:val="2"/>
        </w:numPr>
        <w:tabs>
          <w:tab w:pos="1933" w:val="left" w:leader="none"/>
        </w:tabs>
        <w:spacing w:line="326" w:lineRule="auto" w:before="0" w:after="0"/>
        <w:ind w:left="1932" w:right="603" w:hanging="284"/>
        <w:jc w:val="left"/>
        <w:rPr>
          <w:i/>
          <w:sz w:val="19"/>
        </w:rPr>
      </w:pPr>
      <w:r>
        <w:rPr>
          <w:i/>
          <w:sz w:val="19"/>
        </w:rPr>
        <w:t>Pro modelování bude použit software, který zpracovává území a provádí výpočet ve 3D. Pro modelování terénu a celkové situace budou použita 3D data</w:t>
      </w:r>
      <w:r>
        <w:rPr>
          <w:i/>
          <w:spacing w:val="-5"/>
          <w:sz w:val="19"/>
        </w:rPr>
        <w:t> </w:t>
      </w:r>
      <w:r>
        <w:rPr>
          <w:i/>
          <w:sz w:val="19"/>
        </w:rPr>
        <w:t>IPR.</w:t>
      </w:r>
    </w:p>
    <w:p>
      <w:pPr>
        <w:pStyle w:val="ListParagraph"/>
        <w:numPr>
          <w:ilvl w:val="0"/>
          <w:numId w:val="2"/>
        </w:numPr>
        <w:tabs>
          <w:tab w:pos="1933" w:val="left" w:leader="none"/>
        </w:tabs>
        <w:spacing w:line="326" w:lineRule="auto" w:before="1" w:after="0"/>
        <w:ind w:left="1932" w:right="830" w:hanging="284"/>
        <w:jc w:val="left"/>
        <w:rPr>
          <w:i/>
          <w:sz w:val="19"/>
        </w:rPr>
      </w:pPr>
      <w:r>
        <w:rPr>
          <w:i/>
          <w:sz w:val="19"/>
        </w:rPr>
        <w:t>Dílčí výstupy studie ve smyslu protihlukových opatření, návrhy PHC apod. budou průběžně konzultovány se zadavatelem. V případě PHC bude předložen návrh prostorového řešení (délky, výšky, případně vzorové příklady vhodného</w:t>
      </w:r>
      <w:r>
        <w:rPr>
          <w:i/>
          <w:spacing w:val="-5"/>
          <w:sz w:val="19"/>
        </w:rPr>
        <w:t> </w:t>
      </w:r>
      <w:r>
        <w:rPr>
          <w:i/>
          <w:sz w:val="19"/>
        </w:rPr>
        <w:t>designu)</w:t>
      </w:r>
    </w:p>
    <w:p>
      <w:pPr>
        <w:pStyle w:val="BodyText"/>
        <w:rPr>
          <w:rFonts w:ascii="UnitSlabPro-LightIta"/>
          <w:i/>
          <w:sz w:val="31"/>
        </w:rPr>
      </w:pPr>
    </w:p>
    <w:p>
      <w:pPr>
        <w:pStyle w:val="BodyText"/>
        <w:spacing w:line="259" w:lineRule="auto"/>
        <w:ind w:left="1234" w:right="550"/>
        <w:rPr>
          <w:b w:val="0"/>
        </w:rPr>
      </w:pPr>
      <w:r>
        <w:rPr>
          <w:b w:val="0"/>
        </w:rPr>
        <w:t>Zpracovatel bude vycházet z výhledových intenzit tramvajové dopravy, jejíž hodnoty nelze redukovat, neboť vzhledem k topologii tramvajové sítě nemá tato trať adekvátní náhradu, kam by bylo možné část spojů přesunout, naopak je nutné počítat spíše s jejím nárůstem oproti dnešnímu stavu. Po dohodě se zadavatelem zpracovatel může prověřit i variantu snížení intenzity automobilové dopravy v ulici Bubenská, za účelem dosažení hygienických limitů, neboť cesty v této ulici mohou být částečně realizovány odlišnou trasou a zároveň část intenzity ulice Bubenská bude generováno novou čtvrtí, kde je však možné poptávku po IAD v této</w:t>
      </w:r>
    </w:p>
    <w:p>
      <w:pPr>
        <w:spacing w:after="0" w:line="259" w:lineRule="auto"/>
        <w:sectPr>
          <w:footerReference w:type="default" r:id="rId5"/>
          <w:type w:val="continuous"/>
          <w:pgSz w:w="11910" w:h="16840"/>
          <w:pgMar w:footer="1010" w:top="800" w:bottom="1200" w:left="620" w:right="620"/>
          <w:pgNumType w:start="1"/>
        </w:sectPr>
      </w:pPr>
    </w:p>
    <w:p>
      <w:pPr>
        <w:pStyle w:val="BodyText"/>
        <w:rPr>
          <w:b w:val="0"/>
        </w:rPr>
      </w:pPr>
    </w:p>
    <w:p>
      <w:pPr>
        <w:pStyle w:val="BodyText"/>
        <w:rPr>
          <w:b w:val="0"/>
        </w:rPr>
      </w:pPr>
    </w:p>
    <w:p>
      <w:pPr>
        <w:pStyle w:val="BodyText"/>
        <w:spacing w:before="7"/>
        <w:rPr>
          <w:b w:val="0"/>
          <w:sz w:val="27"/>
        </w:rPr>
      </w:pPr>
    </w:p>
    <w:p>
      <w:pPr>
        <w:pStyle w:val="BodyText"/>
        <w:spacing w:line="259" w:lineRule="auto" w:before="101"/>
        <w:ind w:left="1233" w:right="239"/>
        <w:rPr>
          <w:b w:val="0"/>
        </w:rPr>
      </w:pPr>
      <w:r>
        <w:rPr>
          <w:b w:val="0"/>
        </w:rPr>
        <w:t>čtvrti modelovat tak, aby nezatěžovala v takové míře ulici Bubenskou. U intenzit automobilové dopravy bude zpracovatel primárně vycházet z výhledových intenzit po dokončení výstavby VRÚ Bubny – Zátory, příp. ze stávajících intenzit (2019 před Covidem).</w:t>
      </w:r>
    </w:p>
    <w:p>
      <w:pPr>
        <w:pStyle w:val="BodyText"/>
        <w:spacing w:line="259" w:lineRule="auto"/>
        <w:ind w:left="1233" w:right="239"/>
        <w:rPr>
          <w:b w:val="0"/>
        </w:rPr>
      </w:pPr>
      <w:r>
        <w:rPr>
          <w:b w:val="0"/>
        </w:rPr>
        <w:t>Principy z územní studie Holešovice Bubny-Zátory byly dále rozpracovány v Dopravně inženýrské studii předpolí hlávkova mostu (podklad 3), dále dopravně inženýrská studie). Tato studie měla za cíl kapacitně prověřit možnosti řešení silniční dopravy na předpolí Hlávkova mostu a vytvořit takové podmínky, které kapacitně vyhovovaly předpokládanému rozsahu intenzit IAD. Studie variantně pracovala s profilem ulice Bubenská ve variantách s jedním či dvěma řadicími pruhy v každém směru v křižovatce s ul. Antonínskou. Zpracovatel studie může tyto varianty zhodnotit, popř. doplnit, a určit takovou, která je z hlediska hygienických limitů vhodnější.</w:t>
      </w:r>
    </w:p>
    <w:p>
      <w:pPr>
        <w:pStyle w:val="BodyText"/>
        <w:spacing w:before="7"/>
        <w:rPr>
          <w:b w:val="0"/>
          <w:sz w:val="21"/>
        </w:rPr>
      </w:pPr>
    </w:p>
    <w:p>
      <w:pPr>
        <w:pStyle w:val="BodyText"/>
        <w:spacing w:line="259" w:lineRule="auto"/>
        <w:ind w:left="1233" w:right="419"/>
        <w:rPr>
          <w:b w:val="0"/>
        </w:rPr>
      </w:pPr>
      <w:r>
        <w:rPr>
          <w:b w:val="0"/>
        </w:rPr>
        <w:t>Zpracovatel může v rámci zpracování studie kreativně hledat i další možné cesty splnění hygienických limitů, které však nejsou v rozporu s ostatními požadavky.</w:t>
      </w:r>
    </w:p>
    <w:p>
      <w:pPr>
        <w:pStyle w:val="BodyText"/>
        <w:spacing w:before="7"/>
        <w:rPr>
          <w:b w:val="0"/>
          <w:sz w:val="21"/>
        </w:rPr>
      </w:pPr>
    </w:p>
    <w:p>
      <w:pPr>
        <w:pStyle w:val="BodyText"/>
        <w:spacing w:line="259" w:lineRule="auto" w:before="1"/>
        <w:ind w:left="1233" w:right="788"/>
        <w:rPr>
          <w:rFonts w:ascii="Calibri" w:hAnsi="Calibri"/>
          <w:sz w:val="22"/>
        </w:rPr>
      </w:pPr>
      <w:r>
        <w:rPr>
          <w:b w:val="0"/>
        </w:rPr>
        <w:t>Vzhledem k principiálně odlišným přístupům, jak řešit snížení hluku z ulice Bubenské, jsou níže uvedeny priority přístupů, seřazeny od preferovanějších, po méně preferované</w:t>
      </w:r>
      <w:r>
        <w:rPr>
          <w:rFonts w:ascii="Calibri" w:hAnsi="Calibri"/>
          <w:sz w:val="22"/>
        </w:rPr>
        <w:t>.</w:t>
      </w:r>
    </w:p>
    <w:p>
      <w:pPr>
        <w:pStyle w:val="BodyText"/>
        <w:spacing w:before="1"/>
        <w:rPr>
          <w:rFonts w:ascii="Calibri"/>
          <w:sz w:val="10"/>
        </w:rPr>
      </w:pPr>
    </w:p>
    <w:p>
      <w:pPr>
        <w:spacing w:after="0"/>
        <w:rPr>
          <w:rFonts w:ascii="Calibri"/>
          <w:sz w:val="10"/>
        </w:rPr>
        <w:sectPr>
          <w:headerReference w:type="default" r:id="rId7"/>
          <w:pgSz w:w="11910" w:h="16840"/>
          <w:pgMar w:header="727" w:footer="1010" w:top="1300" w:bottom="1200" w:left="620" w:right="920"/>
        </w:sectPr>
      </w:pPr>
    </w:p>
    <w:p>
      <w:pPr>
        <w:pStyle w:val="BodyText"/>
        <w:rPr>
          <w:rFonts w:ascii="Calibri"/>
          <w:sz w:val="24"/>
        </w:rPr>
      </w:pPr>
    </w:p>
    <w:p>
      <w:pPr>
        <w:pStyle w:val="BodyText"/>
        <w:rPr>
          <w:rFonts w:ascii="Calibri"/>
          <w:sz w:val="24"/>
        </w:rPr>
      </w:pPr>
    </w:p>
    <w:p>
      <w:pPr>
        <w:pStyle w:val="BodyText"/>
        <w:rPr>
          <w:rFonts w:ascii="Calibri"/>
          <w:sz w:val="24"/>
        </w:rPr>
      </w:pPr>
    </w:p>
    <w:p>
      <w:pPr>
        <w:pStyle w:val="BodyText"/>
        <w:rPr>
          <w:rFonts w:ascii="Calibri"/>
          <w:sz w:val="24"/>
        </w:rPr>
      </w:pPr>
    </w:p>
    <w:p>
      <w:pPr>
        <w:pStyle w:val="BodyText"/>
        <w:rPr>
          <w:rFonts w:ascii="Calibri"/>
          <w:sz w:val="24"/>
        </w:rPr>
      </w:pPr>
    </w:p>
    <w:p>
      <w:pPr>
        <w:pStyle w:val="BodyText"/>
        <w:rPr>
          <w:rFonts w:ascii="Calibri"/>
          <w:sz w:val="24"/>
        </w:rPr>
      </w:pPr>
    </w:p>
    <w:p>
      <w:pPr>
        <w:pStyle w:val="BodyText"/>
        <w:rPr>
          <w:rFonts w:ascii="Calibri"/>
          <w:sz w:val="24"/>
        </w:rPr>
      </w:pPr>
    </w:p>
    <w:p>
      <w:pPr>
        <w:pStyle w:val="BodyText"/>
        <w:spacing w:before="12"/>
        <w:rPr>
          <w:rFonts w:ascii="Calibri"/>
          <w:sz w:val="23"/>
        </w:rPr>
      </w:pPr>
    </w:p>
    <w:p>
      <w:pPr>
        <w:pStyle w:val="ListParagraph"/>
        <w:numPr>
          <w:ilvl w:val="0"/>
          <w:numId w:val="1"/>
        </w:numPr>
        <w:tabs>
          <w:tab w:pos="770" w:val="left" w:leader="none"/>
        </w:tabs>
        <w:spacing w:line="240" w:lineRule="auto" w:before="0" w:after="0"/>
        <w:ind w:left="769" w:right="0" w:hanging="255"/>
        <w:jc w:val="left"/>
        <w:rPr>
          <w:rFonts w:ascii="UnitPro-Medi" w:hAnsi="UnitPro-Medi"/>
          <w:sz w:val="19"/>
        </w:rPr>
      </w:pPr>
      <w:r>
        <w:rPr>
          <w:rFonts w:ascii="UnitPro-Medi" w:hAnsi="UnitPro-Medi"/>
          <w:spacing w:val="7"/>
          <w:sz w:val="19"/>
        </w:rPr>
        <w:t>Z</w:t>
      </w:r>
      <w:r>
        <w:rPr>
          <w:rFonts w:ascii="UnitPro-Medi" w:hAnsi="UnitPro-Medi"/>
          <w:spacing w:val="7"/>
          <w:sz w:val="15"/>
        </w:rPr>
        <w:t>ÁVĚR</w:t>
      </w:r>
      <w:r>
        <w:rPr>
          <w:rFonts w:ascii="UnitPro-Medi" w:hAnsi="UnitPro-Medi"/>
          <w:spacing w:val="7"/>
          <w:sz w:val="19"/>
        </w:rPr>
        <w:t>:</w:t>
      </w:r>
    </w:p>
    <w:p>
      <w:pPr>
        <w:pStyle w:val="ListParagraph"/>
        <w:numPr>
          <w:ilvl w:val="0"/>
          <w:numId w:val="3"/>
        </w:numPr>
        <w:tabs>
          <w:tab w:pos="585" w:val="left" w:leader="none"/>
        </w:tabs>
        <w:spacing w:line="240" w:lineRule="auto" w:before="101" w:after="0"/>
        <w:ind w:left="584" w:right="0" w:hanging="284"/>
        <w:jc w:val="left"/>
        <w:rPr>
          <w:i/>
          <w:sz w:val="19"/>
        </w:rPr>
      </w:pPr>
      <w:r>
        <w:rPr>
          <w:i/>
          <w:w w:val="99"/>
          <w:sz w:val="19"/>
        </w:rPr>
        <w:br w:type="column"/>
      </w:r>
      <w:r>
        <w:rPr>
          <w:i/>
          <w:sz w:val="19"/>
        </w:rPr>
        <w:t>posun jízdních pruhů v rámci uličního profilu ulice Bubenské vymezeného dle územní</w:t>
      </w:r>
      <w:r>
        <w:rPr>
          <w:i/>
          <w:spacing w:val="-17"/>
          <w:sz w:val="19"/>
        </w:rPr>
        <w:t> </w:t>
      </w:r>
      <w:r>
        <w:rPr>
          <w:i/>
          <w:sz w:val="19"/>
        </w:rPr>
        <w:t>studie</w:t>
      </w:r>
    </w:p>
    <w:p>
      <w:pPr>
        <w:pStyle w:val="ListParagraph"/>
        <w:numPr>
          <w:ilvl w:val="0"/>
          <w:numId w:val="3"/>
        </w:numPr>
        <w:tabs>
          <w:tab w:pos="585" w:val="left" w:leader="none"/>
        </w:tabs>
        <w:spacing w:line="326" w:lineRule="auto" w:before="83" w:after="0"/>
        <w:ind w:left="584" w:right="424" w:hanging="284"/>
        <w:jc w:val="left"/>
        <w:rPr>
          <w:i/>
          <w:sz w:val="19"/>
        </w:rPr>
      </w:pPr>
      <w:r>
        <w:rPr>
          <w:i/>
          <w:sz w:val="19"/>
        </w:rPr>
        <w:t>posun jízdních pruhů s vyvolaným rozšířením uličního profilu ul. Bubenské a posunem uliční čáry východním směrem odlišně od územní studie, případný posun uliční čáry bude v rozpracovanosti</w:t>
      </w:r>
      <w:r>
        <w:rPr>
          <w:i/>
          <w:spacing w:val="-17"/>
          <w:sz w:val="19"/>
        </w:rPr>
        <w:t> </w:t>
      </w:r>
      <w:r>
        <w:rPr>
          <w:i/>
          <w:sz w:val="19"/>
        </w:rPr>
        <w:t>konzultovaný</w:t>
      </w:r>
    </w:p>
    <w:p>
      <w:pPr>
        <w:spacing w:before="0"/>
        <w:ind w:left="584" w:right="0" w:firstLine="0"/>
        <w:jc w:val="left"/>
        <w:rPr>
          <w:rFonts w:ascii="UnitSlabPro-LightIta" w:hAnsi="UnitSlabPro-LightIta"/>
          <w:i/>
          <w:sz w:val="19"/>
        </w:rPr>
      </w:pPr>
      <w:r>
        <w:rPr>
          <w:rFonts w:ascii="UnitSlabPro-LightIta" w:hAnsi="UnitSlabPro-LightIta"/>
          <w:i/>
          <w:sz w:val="19"/>
        </w:rPr>
        <w:t>s konzultačním výborem</w:t>
      </w:r>
    </w:p>
    <w:p>
      <w:pPr>
        <w:pStyle w:val="ListParagraph"/>
        <w:numPr>
          <w:ilvl w:val="0"/>
          <w:numId w:val="3"/>
        </w:numPr>
        <w:tabs>
          <w:tab w:pos="585" w:val="left" w:leader="none"/>
        </w:tabs>
        <w:spacing w:line="326" w:lineRule="auto" w:before="84" w:after="0"/>
        <w:ind w:left="584" w:right="687" w:hanging="284"/>
        <w:jc w:val="left"/>
        <w:rPr>
          <w:i/>
          <w:sz w:val="19"/>
        </w:rPr>
      </w:pPr>
      <w:r>
        <w:rPr>
          <w:i/>
          <w:sz w:val="19"/>
        </w:rPr>
        <w:t>namodelování snížení intenzity Bubenské ulice (závisí na tom, jak velká by redukce měla být a po dohodě s konzultačním</w:t>
      </w:r>
      <w:r>
        <w:rPr>
          <w:i/>
          <w:spacing w:val="-4"/>
          <w:sz w:val="19"/>
        </w:rPr>
        <w:t> </w:t>
      </w:r>
      <w:r>
        <w:rPr>
          <w:i/>
          <w:sz w:val="19"/>
        </w:rPr>
        <w:t>výborem)</w:t>
      </w:r>
    </w:p>
    <w:p>
      <w:pPr>
        <w:pStyle w:val="ListParagraph"/>
        <w:numPr>
          <w:ilvl w:val="0"/>
          <w:numId w:val="3"/>
        </w:numPr>
        <w:tabs>
          <w:tab w:pos="585" w:val="left" w:leader="none"/>
        </w:tabs>
        <w:spacing w:line="235" w:lineRule="exact" w:before="0" w:after="0"/>
        <w:ind w:left="584" w:right="0" w:hanging="285"/>
        <w:jc w:val="left"/>
        <w:rPr>
          <w:i/>
          <w:sz w:val="19"/>
        </w:rPr>
      </w:pPr>
      <w:r>
        <w:rPr>
          <w:i/>
          <w:sz w:val="19"/>
        </w:rPr>
        <w:t>realizace protihlukových opatření (protihlukové</w:t>
      </w:r>
      <w:r>
        <w:rPr>
          <w:i/>
          <w:spacing w:val="-9"/>
          <w:sz w:val="19"/>
        </w:rPr>
        <w:t> </w:t>
      </w:r>
      <w:r>
        <w:rPr>
          <w:i/>
          <w:sz w:val="19"/>
        </w:rPr>
        <w:t>clony)</w:t>
      </w:r>
    </w:p>
    <w:p>
      <w:pPr>
        <w:spacing w:after="0" w:line="235" w:lineRule="exact"/>
        <w:jc w:val="left"/>
        <w:rPr>
          <w:sz w:val="19"/>
        </w:rPr>
        <w:sectPr>
          <w:type w:val="continuous"/>
          <w:pgSz w:w="11910" w:h="16840"/>
          <w:pgMar w:top="800" w:bottom="1200" w:left="620" w:right="920"/>
          <w:cols w:num="2" w:equalWidth="0">
            <w:col w:w="1308" w:space="40"/>
            <w:col w:w="9022"/>
          </w:cols>
        </w:sectPr>
      </w:pPr>
    </w:p>
    <w:p>
      <w:pPr>
        <w:pStyle w:val="BodyText"/>
        <w:spacing w:line="259" w:lineRule="auto" w:before="18"/>
        <w:ind w:left="1233" w:right="513"/>
        <w:rPr>
          <w:b w:val="0"/>
        </w:rPr>
      </w:pPr>
      <w:r>
        <w:rPr>
          <w:b w:val="0"/>
        </w:rPr>
        <w:t>Zadavatel zpracovateli předá předpokládané intenzity automobilové dopravy a linkové vedení a počet spojů tramvajové dopravy v rámci jednotlivých částí dne.</w:t>
      </w:r>
    </w:p>
    <w:p>
      <w:pPr>
        <w:pStyle w:val="BodyText"/>
        <w:spacing w:line="259" w:lineRule="auto"/>
        <w:ind w:left="1233" w:right="416"/>
        <w:rPr>
          <w:b w:val="0"/>
        </w:rPr>
      </w:pPr>
      <w:r>
        <w:rPr>
          <w:b w:val="0"/>
        </w:rPr>
        <w:t>Účelem studie není vybrat jedno konkrétní řešení, ale prokázat, že technicky i dnes existuje mnoho lepších či horších řešeních, jak lze dosáhnout hlukových limitů, avšak takových, která bude jednoduché odstranit (PHS) v závislosti na předpokládaném vývoji snižování hluku z dopravy, nových technologií nebo změny hlukové legislativy. Cílem studie ale je prověřit možnosti, které jsou v souladu s hygienickými možnostmi, byť by se jednalo o řešení v rozporu s koncepčními dokumenty tvorby veřejného prostoru hl. m. Prahy.</w:t>
      </w:r>
    </w:p>
    <w:p>
      <w:pPr>
        <w:pStyle w:val="BodyText"/>
        <w:spacing w:line="259" w:lineRule="auto"/>
        <w:ind w:left="1233" w:right="566"/>
        <w:jc w:val="both"/>
        <w:rPr>
          <w:b w:val="0"/>
        </w:rPr>
      </w:pPr>
      <w:r>
        <w:rPr>
          <w:b w:val="0"/>
        </w:rPr>
        <w:t>Koncept studie bude projednán jednak v konzultačním výboru složeném ze zástupců IPR, sekretariátů nám. primátora pro územní rozvoj a dopravu, Městskou částí, Dopravním podnikem, Ropidem a TSK. Studie bude předjednána s Hygienickou stanicí HMP.</w:t>
      </w:r>
    </w:p>
    <w:p>
      <w:pPr>
        <w:pStyle w:val="BodyText"/>
        <w:rPr>
          <w:b w:val="0"/>
          <w:sz w:val="24"/>
        </w:rPr>
      </w:pPr>
    </w:p>
    <w:p>
      <w:pPr>
        <w:pStyle w:val="ListParagraph"/>
        <w:numPr>
          <w:ilvl w:val="0"/>
          <w:numId w:val="1"/>
        </w:numPr>
        <w:tabs>
          <w:tab w:pos="770" w:val="left" w:leader="none"/>
        </w:tabs>
        <w:spacing w:line="240" w:lineRule="auto" w:before="196" w:after="0"/>
        <w:ind w:left="769" w:right="0" w:hanging="255"/>
        <w:jc w:val="left"/>
        <w:rPr>
          <w:rFonts w:ascii="UnitPro-Medi" w:hAnsi="UnitPro-Medi"/>
          <w:sz w:val="19"/>
        </w:rPr>
      </w:pPr>
      <w:r>
        <w:rPr>
          <w:rFonts w:ascii="UnitPro-Medi" w:hAnsi="UnitPro-Medi"/>
          <w:spacing w:val="6"/>
          <w:sz w:val="19"/>
        </w:rPr>
        <w:t>D</w:t>
      </w:r>
      <w:r>
        <w:rPr>
          <w:rFonts w:ascii="UnitPro-Medi" w:hAnsi="UnitPro-Medi"/>
          <w:spacing w:val="6"/>
          <w:sz w:val="15"/>
        </w:rPr>
        <w:t>OBA</w:t>
      </w:r>
      <w:r>
        <w:rPr>
          <w:rFonts w:ascii="UnitPro-Medi" w:hAnsi="UnitPro-Medi"/>
          <w:spacing w:val="11"/>
          <w:sz w:val="15"/>
        </w:rPr>
        <w:t> </w:t>
      </w:r>
      <w:r>
        <w:rPr>
          <w:rFonts w:ascii="UnitPro-Medi" w:hAnsi="UnitPro-Medi"/>
          <w:spacing w:val="8"/>
          <w:sz w:val="19"/>
        </w:rPr>
        <w:t>P</w:t>
      </w:r>
      <w:r>
        <w:rPr>
          <w:rFonts w:ascii="UnitPro-Medi" w:hAnsi="UnitPro-Medi"/>
          <w:spacing w:val="8"/>
          <w:sz w:val="15"/>
        </w:rPr>
        <w:t>LNĚNÍ</w:t>
      </w:r>
      <w:r>
        <w:rPr>
          <w:rFonts w:ascii="UnitPro-Medi" w:hAnsi="UnitPro-Medi"/>
          <w:spacing w:val="8"/>
          <w:sz w:val="19"/>
        </w:rPr>
        <w:t>:</w:t>
      </w:r>
    </w:p>
    <w:p>
      <w:pPr>
        <w:pStyle w:val="BodyText"/>
        <w:spacing w:line="259" w:lineRule="auto" w:before="17"/>
        <w:ind w:left="1234" w:right="741"/>
        <w:rPr>
          <w:b w:val="0"/>
        </w:rPr>
      </w:pPr>
      <w:r>
        <w:rPr>
          <w:b w:val="0"/>
        </w:rPr>
        <w:t>Zakázka bude zpracována vrámci jedné etapy s časovou dotací 3 měsíce, nejpozději však do 31. 12. 2021. V rámci zpracování zakázky zhotovitel zajistí projednání konceptu studie viz bod III.</w:t>
      </w:r>
    </w:p>
    <w:p>
      <w:pPr>
        <w:pStyle w:val="BodyText"/>
        <w:rPr>
          <w:b w:val="0"/>
        </w:rPr>
      </w:pPr>
    </w:p>
    <w:p>
      <w:pPr>
        <w:spacing w:after="0"/>
        <w:sectPr>
          <w:type w:val="continuous"/>
          <w:pgSz w:w="11910" w:h="16840"/>
          <w:pgMar w:top="800" w:bottom="1200" w:left="620" w:right="920"/>
        </w:sectPr>
      </w:pPr>
    </w:p>
    <w:p>
      <w:pPr>
        <w:pStyle w:val="BodyText"/>
        <w:spacing w:before="12"/>
        <w:rPr>
          <w:b w:val="0"/>
          <w:sz w:val="19"/>
        </w:rPr>
      </w:pPr>
    </w:p>
    <w:p>
      <w:pPr>
        <w:pStyle w:val="ListParagraph"/>
        <w:numPr>
          <w:ilvl w:val="0"/>
          <w:numId w:val="1"/>
        </w:numPr>
        <w:tabs>
          <w:tab w:pos="770" w:val="left" w:leader="none"/>
        </w:tabs>
        <w:spacing w:line="240" w:lineRule="auto" w:before="0" w:after="0"/>
        <w:ind w:left="769" w:right="0" w:hanging="255"/>
        <w:jc w:val="left"/>
        <w:rPr>
          <w:rFonts w:ascii="UnitPro-Medi"/>
          <w:sz w:val="19"/>
        </w:rPr>
      </w:pPr>
      <w:r>
        <w:rPr>
          <w:rFonts w:ascii="UnitPro-Medi"/>
          <w:spacing w:val="8"/>
          <w:sz w:val="19"/>
        </w:rPr>
        <w:t>P</w:t>
      </w:r>
      <w:r>
        <w:rPr>
          <w:rFonts w:ascii="UnitPro-Medi"/>
          <w:spacing w:val="8"/>
          <w:sz w:val="15"/>
        </w:rPr>
        <w:t>ODKLADY</w:t>
      </w:r>
      <w:r>
        <w:rPr>
          <w:rFonts w:ascii="UnitPro-Medi"/>
          <w:spacing w:val="8"/>
          <w:sz w:val="19"/>
        </w:rPr>
        <w:t>:</w:t>
      </w:r>
    </w:p>
    <w:p>
      <w:pPr>
        <w:pStyle w:val="BodyText"/>
        <w:rPr>
          <w:rFonts w:ascii="UnitPro-Medi"/>
          <w:sz w:val="22"/>
        </w:rPr>
      </w:pPr>
      <w:r>
        <w:rPr/>
        <w:br w:type="column"/>
      </w:r>
      <w:r>
        <w:rPr>
          <w:rFonts w:ascii="UnitPro-Medi"/>
          <w:sz w:val="22"/>
        </w:rPr>
      </w:r>
    </w:p>
    <w:p>
      <w:pPr>
        <w:pStyle w:val="BodyText"/>
        <w:spacing w:before="10"/>
        <w:rPr>
          <w:rFonts w:ascii="UnitPro-Medi"/>
          <w:sz w:val="23"/>
        </w:rPr>
      </w:pPr>
    </w:p>
    <w:p>
      <w:pPr>
        <w:pStyle w:val="ListParagraph"/>
        <w:numPr>
          <w:ilvl w:val="0"/>
          <w:numId w:val="4"/>
        </w:numPr>
        <w:tabs>
          <w:tab w:pos="278" w:val="left" w:leader="none"/>
        </w:tabs>
        <w:spacing w:line="328" w:lineRule="auto" w:before="0" w:after="0"/>
        <w:ind w:left="277" w:right="681" w:hanging="285"/>
        <w:jc w:val="left"/>
        <w:rPr>
          <w:rFonts w:ascii="UnitSlabPro-Light" w:hAnsi="UnitSlabPro-Light"/>
          <w:b w:val="0"/>
          <w:sz w:val="19"/>
        </w:rPr>
      </w:pPr>
      <w:r>
        <w:rPr>
          <w:rFonts w:ascii="UnitSlabPro-Light" w:hAnsi="UnitSlabPro-Light"/>
          <w:b w:val="0"/>
          <w:sz w:val="19"/>
        </w:rPr>
        <w:t>Územní studie Holešovice Bubny – Zátory, dopracování, Sdružení Pelčák a partner architekti – Müller Reimann Architekten,</w:t>
      </w:r>
      <w:r>
        <w:rPr>
          <w:rFonts w:ascii="UnitSlabPro-Light" w:hAnsi="UnitSlabPro-Light"/>
          <w:b w:val="0"/>
          <w:spacing w:val="-18"/>
          <w:sz w:val="19"/>
        </w:rPr>
        <w:t> </w:t>
      </w:r>
      <w:r>
        <w:rPr>
          <w:rFonts w:ascii="UnitSlabPro-Light" w:hAnsi="UnitSlabPro-Light"/>
          <w:b w:val="0"/>
          <w:sz w:val="19"/>
        </w:rPr>
        <w:t>03/2020:</w:t>
      </w:r>
    </w:p>
    <w:p>
      <w:pPr>
        <w:spacing w:after="0" w:line="328" w:lineRule="auto"/>
        <w:jc w:val="left"/>
        <w:rPr>
          <w:rFonts w:ascii="UnitSlabPro-Light" w:hAnsi="UnitSlabPro-Light"/>
          <w:sz w:val="19"/>
        </w:rPr>
        <w:sectPr>
          <w:type w:val="continuous"/>
          <w:pgSz w:w="11910" w:h="16840"/>
          <w:pgMar w:top="800" w:bottom="1200" w:left="620" w:right="920"/>
          <w:cols w:num="2" w:equalWidth="0">
            <w:col w:w="1616" w:space="40"/>
            <w:col w:w="8714"/>
          </w:cols>
        </w:sectPr>
      </w:pPr>
    </w:p>
    <w:p>
      <w:pPr>
        <w:pStyle w:val="BodyText"/>
        <w:rPr>
          <w:rFonts w:ascii="UnitSlabPro-Light"/>
          <w:b w:val="0"/>
        </w:rPr>
      </w:pPr>
    </w:p>
    <w:p>
      <w:pPr>
        <w:pStyle w:val="BodyText"/>
        <w:rPr>
          <w:rFonts w:ascii="UnitSlabPro-Light"/>
          <w:b w:val="0"/>
        </w:rPr>
      </w:pPr>
    </w:p>
    <w:p>
      <w:pPr>
        <w:pStyle w:val="BodyText"/>
        <w:rPr>
          <w:rFonts w:ascii="UnitSlabPro-Light"/>
          <w:b w:val="0"/>
        </w:rPr>
      </w:pPr>
    </w:p>
    <w:p>
      <w:pPr>
        <w:pStyle w:val="BodyText"/>
        <w:spacing w:before="2"/>
        <w:rPr>
          <w:rFonts w:ascii="UnitSlabPro-Light"/>
          <w:b w:val="0"/>
          <w:sz w:val="21"/>
        </w:rPr>
      </w:pPr>
    </w:p>
    <w:p>
      <w:pPr>
        <w:pStyle w:val="ListParagraph"/>
        <w:numPr>
          <w:ilvl w:val="1"/>
          <w:numId w:val="4"/>
        </w:numPr>
        <w:tabs>
          <w:tab w:pos="2674" w:val="left" w:leader="none"/>
        </w:tabs>
        <w:spacing w:line="240" w:lineRule="auto" w:before="0" w:after="0"/>
        <w:ind w:left="2674" w:right="0" w:hanging="278"/>
        <w:jc w:val="left"/>
        <w:rPr>
          <w:rFonts w:ascii="UnitSlabPro-Light" w:hAnsi="UnitSlabPro-Light"/>
          <w:b w:val="0"/>
          <w:sz w:val="19"/>
        </w:rPr>
      </w:pPr>
      <w:r>
        <w:rPr>
          <w:rFonts w:ascii="UnitSlabPro-Light" w:hAnsi="UnitSlabPro-Light"/>
          <w:b w:val="0"/>
          <w:sz w:val="19"/>
        </w:rPr>
        <w:t>Výkres č. G.3.3 a G.3.4a – pdf a</w:t>
      </w:r>
      <w:r>
        <w:rPr>
          <w:rFonts w:ascii="UnitSlabPro-Light" w:hAnsi="UnitSlabPro-Light"/>
          <w:b w:val="0"/>
          <w:spacing w:val="-9"/>
          <w:sz w:val="19"/>
        </w:rPr>
        <w:t> </w:t>
      </w:r>
      <w:r>
        <w:rPr>
          <w:rFonts w:ascii="UnitSlabPro-Light" w:hAnsi="UnitSlabPro-Light"/>
          <w:b w:val="0"/>
          <w:sz w:val="19"/>
        </w:rPr>
        <w:t>dwg</w:t>
      </w:r>
    </w:p>
    <w:p>
      <w:pPr>
        <w:pStyle w:val="ListParagraph"/>
        <w:numPr>
          <w:ilvl w:val="1"/>
          <w:numId w:val="4"/>
        </w:numPr>
        <w:tabs>
          <w:tab w:pos="2674" w:val="left" w:leader="none"/>
        </w:tabs>
        <w:spacing w:line="240" w:lineRule="auto" w:before="84" w:after="0"/>
        <w:ind w:left="2674" w:right="0" w:hanging="330"/>
        <w:jc w:val="left"/>
        <w:rPr>
          <w:rFonts w:ascii="UnitSlabPro-Light" w:hAnsi="UnitSlabPro-Light"/>
          <w:b w:val="0"/>
          <w:sz w:val="19"/>
        </w:rPr>
      </w:pPr>
      <w:r>
        <w:rPr>
          <w:rFonts w:ascii="UnitSlabPro-Light" w:hAnsi="UnitSlabPro-Light"/>
          <w:b w:val="0"/>
          <w:sz w:val="19"/>
        </w:rPr>
        <w:t>Kniha –</w:t>
      </w:r>
      <w:r>
        <w:rPr>
          <w:rFonts w:ascii="UnitSlabPro-Light" w:hAnsi="UnitSlabPro-Light"/>
          <w:b w:val="0"/>
          <w:spacing w:val="-9"/>
          <w:sz w:val="19"/>
        </w:rPr>
        <w:t> </w:t>
      </w:r>
      <w:r>
        <w:rPr>
          <w:rFonts w:ascii="UnitSlabPro-Light" w:hAnsi="UnitSlabPro-Light"/>
          <w:b w:val="0"/>
          <w:sz w:val="19"/>
        </w:rPr>
        <w:t>pdf</w:t>
      </w:r>
    </w:p>
    <w:p>
      <w:pPr>
        <w:pStyle w:val="ListParagraph"/>
        <w:numPr>
          <w:ilvl w:val="0"/>
          <w:numId w:val="4"/>
        </w:numPr>
        <w:tabs>
          <w:tab w:pos="1933" w:val="left" w:leader="none"/>
        </w:tabs>
        <w:spacing w:line="240" w:lineRule="auto" w:before="85" w:after="0"/>
        <w:ind w:left="1932" w:right="0" w:hanging="284"/>
        <w:jc w:val="left"/>
        <w:rPr>
          <w:rFonts w:ascii="UnitSlabPro-Light" w:hAnsi="UnitSlabPro-Light"/>
          <w:b w:val="0"/>
          <w:sz w:val="19"/>
        </w:rPr>
      </w:pPr>
      <w:r>
        <w:rPr>
          <w:rFonts w:ascii="UnitSlabPro-Light" w:hAnsi="UnitSlabPro-Light"/>
          <w:b w:val="0"/>
          <w:sz w:val="19"/>
        </w:rPr>
        <w:t>Studie úprav TT v antonínské ulice Metroprojekt Praha, a. s.,</w:t>
      </w:r>
      <w:r>
        <w:rPr>
          <w:rFonts w:ascii="UnitSlabPro-Light" w:hAnsi="UnitSlabPro-Light"/>
          <w:b w:val="0"/>
          <w:spacing w:val="-24"/>
          <w:sz w:val="19"/>
        </w:rPr>
        <w:t> </w:t>
      </w:r>
      <w:r>
        <w:rPr>
          <w:rFonts w:ascii="UnitSlabPro-Light" w:hAnsi="UnitSlabPro-Light"/>
          <w:b w:val="0"/>
          <w:sz w:val="19"/>
        </w:rPr>
        <w:t>12/2020</w:t>
      </w:r>
    </w:p>
    <w:p>
      <w:pPr>
        <w:pStyle w:val="ListParagraph"/>
        <w:numPr>
          <w:ilvl w:val="0"/>
          <w:numId w:val="4"/>
        </w:numPr>
        <w:tabs>
          <w:tab w:pos="1933" w:val="left" w:leader="none"/>
        </w:tabs>
        <w:spacing w:line="240" w:lineRule="auto" w:before="85" w:after="0"/>
        <w:ind w:left="1932" w:right="0" w:hanging="284"/>
        <w:jc w:val="left"/>
        <w:rPr>
          <w:rFonts w:ascii="UnitSlabPro-Light" w:hAnsi="UnitSlabPro-Light"/>
          <w:b w:val="0"/>
          <w:sz w:val="19"/>
        </w:rPr>
      </w:pPr>
      <w:r>
        <w:rPr>
          <w:rFonts w:ascii="UnitSlabPro-Light" w:hAnsi="UnitSlabPro-Light"/>
          <w:b w:val="0"/>
          <w:sz w:val="19"/>
        </w:rPr>
        <w:t>Dopravně</w:t>
      </w:r>
      <w:r>
        <w:rPr>
          <w:rFonts w:ascii="UnitSlabPro-Light" w:hAnsi="UnitSlabPro-Light"/>
          <w:b w:val="0"/>
          <w:spacing w:val="-4"/>
          <w:sz w:val="19"/>
        </w:rPr>
        <w:t> </w:t>
      </w:r>
      <w:r>
        <w:rPr>
          <w:rFonts w:ascii="UnitSlabPro-Light" w:hAnsi="UnitSlabPro-Light"/>
          <w:b w:val="0"/>
          <w:sz w:val="19"/>
        </w:rPr>
        <w:t>inženýrská</w:t>
      </w:r>
      <w:r>
        <w:rPr>
          <w:rFonts w:ascii="UnitSlabPro-Light" w:hAnsi="UnitSlabPro-Light"/>
          <w:b w:val="0"/>
          <w:spacing w:val="-4"/>
          <w:sz w:val="19"/>
        </w:rPr>
        <w:t> </w:t>
      </w:r>
      <w:r>
        <w:rPr>
          <w:rFonts w:ascii="UnitSlabPro-Light" w:hAnsi="UnitSlabPro-Light"/>
          <w:b w:val="0"/>
          <w:sz w:val="19"/>
        </w:rPr>
        <w:t>studie</w:t>
      </w:r>
      <w:r>
        <w:rPr>
          <w:rFonts w:ascii="UnitSlabPro-Light" w:hAnsi="UnitSlabPro-Light"/>
          <w:b w:val="0"/>
          <w:spacing w:val="-4"/>
          <w:sz w:val="19"/>
        </w:rPr>
        <w:t> </w:t>
      </w:r>
      <w:r>
        <w:rPr>
          <w:rFonts w:ascii="UnitSlabPro-Light" w:hAnsi="UnitSlabPro-Light"/>
          <w:b w:val="0"/>
          <w:sz w:val="19"/>
        </w:rPr>
        <w:t>předpolí</w:t>
      </w:r>
      <w:r>
        <w:rPr>
          <w:rFonts w:ascii="UnitSlabPro-Light" w:hAnsi="UnitSlabPro-Light"/>
          <w:b w:val="0"/>
          <w:spacing w:val="-4"/>
          <w:sz w:val="19"/>
        </w:rPr>
        <w:t> </w:t>
      </w:r>
      <w:r>
        <w:rPr>
          <w:rFonts w:ascii="UnitSlabPro-Light" w:hAnsi="UnitSlabPro-Light"/>
          <w:b w:val="0"/>
          <w:sz w:val="19"/>
        </w:rPr>
        <w:t>Hlávkova</w:t>
      </w:r>
      <w:r>
        <w:rPr>
          <w:rFonts w:ascii="UnitSlabPro-Light" w:hAnsi="UnitSlabPro-Light"/>
          <w:b w:val="0"/>
          <w:spacing w:val="-2"/>
          <w:sz w:val="19"/>
        </w:rPr>
        <w:t> </w:t>
      </w:r>
      <w:r>
        <w:rPr>
          <w:rFonts w:ascii="UnitSlabPro-Light" w:hAnsi="UnitSlabPro-Light"/>
          <w:b w:val="0"/>
          <w:sz w:val="19"/>
        </w:rPr>
        <w:t>mostu,</w:t>
      </w:r>
      <w:r>
        <w:rPr>
          <w:rFonts w:ascii="UnitSlabPro-Light" w:hAnsi="UnitSlabPro-Light"/>
          <w:b w:val="0"/>
          <w:spacing w:val="-4"/>
          <w:sz w:val="19"/>
        </w:rPr>
        <w:t> </w:t>
      </w:r>
      <w:r>
        <w:rPr>
          <w:rFonts w:ascii="UnitSlabPro-Light" w:hAnsi="UnitSlabPro-Light"/>
          <w:b w:val="0"/>
          <w:sz w:val="19"/>
        </w:rPr>
        <w:t>Projekce</w:t>
      </w:r>
      <w:r>
        <w:rPr>
          <w:rFonts w:ascii="UnitSlabPro-Light" w:hAnsi="UnitSlabPro-Light"/>
          <w:b w:val="0"/>
          <w:spacing w:val="-3"/>
          <w:sz w:val="19"/>
        </w:rPr>
        <w:t> </w:t>
      </w:r>
      <w:r>
        <w:rPr>
          <w:rFonts w:ascii="UnitSlabPro-Light" w:hAnsi="UnitSlabPro-Light"/>
          <w:b w:val="0"/>
          <w:sz w:val="19"/>
        </w:rPr>
        <w:t>dopravní</w:t>
      </w:r>
      <w:r>
        <w:rPr>
          <w:rFonts w:ascii="UnitSlabPro-Light" w:hAnsi="UnitSlabPro-Light"/>
          <w:b w:val="0"/>
          <w:spacing w:val="-4"/>
          <w:sz w:val="19"/>
        </w:rPr>
        <w:t> </w:t>
      </w:r>
      <w:r>
        <w:rPr>
          <w:rFonts w:ascii="UnitSlabPro-Light" w:hAnsi="UnitSlabPro-Light"/>
          <w:b w:val="0"/>
          <w:sz w:val="19"/>
        </w:rPr>
        <w:t>Filip</w:t>
      </w:r>
      <w:r>
        <w:rPr>
          <w:rFonts w:ascii="UnitSlabPro-Light" w:hAnsi="UnitSlabPro-Light"/>
          <w:b w:val="0"/>
          <w:spacing w:val="-3"/>
          <w:sz w:val="19"/>
        </w:rPr>
        <w:t> </w:t>
      </w:r>
      <w:r>
        <w:rPr>
          <w:rFonts w:ascii="UnitSlabPro-Light" w:hAnsi="UnitSlabPro-Light"/>
          <w:b w:val="0"/>
          <w:sz w:val="19"/>
        </w:rPr>
        <w:t>11/2020</w:t>
      </w:r>
    </w:p>
    <w:sectPr>
      <w:pgSz w:w="11910" w:h="16840"/>
      <w:pgMar w:header="727" w:footer="1010" w:top="1300" w:bottom="1200" w:left="6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UnitSlabPro-Light">
    <w:altName w:val="UnitSlabPro-Light"/>
    <w:charset w:val="0"/>
    <w:family w:val="modern"/>
    <w:pitch w:val="variable"/>
  </w:font>
  <w:font w:name="UnitPro-Medi">
    <w:altName w:val="UnitPro-Medi"/>
    <w:charset w:val="0"/>
    <w:family w:val="swiss"/>
    <w:pitch w:val="variable"/>
  </w:font>
  <w:font w:name="Calibri">
    <w:altName w:val="Calibri"/>
    <w:charset w:val="EE"/>
    <w:family w:val="swiss"/>
    <w:pitch w:val="variable"/>
  </w:font>
  <w:font w:name="UnitPro-Light">
    <w:altName w:val="UnitPro-Light"/>
    <w:charset w:val="0"/>
    <w:family w:val="swiss"/>
    <w:pitch w:val="variable"/>
  </w:font>
  <w:font w:name="Symbol">
    <w:altName w:val="Symbol"/>
    <w:charset w:val="2"/>
    <w:family w:val="roman"/>
    <w:pitch w:val="variable"/>
  </w:font>
  <w:font w:name="UnitSlabPro-LightIta">
    <w:altName w:val="UnitSlabPro-LightIta"/>
    <w:charset w:val="0"/>
    <w:family w:val="moder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31335">
          <wp:simplePos x="0" y="0"/>
          <wp:positionH relativeFrom="page">
            <wp:posOffset>457200</wp:posOffset>
          </wp:positionH>
          <wp:positionV relativeFrom="page">
            <wp:posOffset>9886950</wp:posOffset>
          </wp:positionV>
          <wp:extent cx="6379565" cy="34899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379565" cy="34899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28.340027pt;margin-top:796.392212pt;width:16.25pt;height:11.35pt;mso-position-horizontal-relative:page;mso-position-vertical-relative:page;z-index:-4096" type="#_x0000_t202" filled="false" stroked="false">
          <v:textbox inset="0,0,0,0">
            <w:txbxContent>
              <w:p>
                <w:pPr>
                  <w:spacing w:before="20"/>
                  <w:ind w:left="40" w:right="0" w:firstLine="0"/>
                  <w:jc w:val="left"/>
                  <w:rPr>
                    <w:b w:val="0"/>
                    <w:sz w:val="15"/>
                  </w:rPr>
                </w:pPr>
                <w:r>
                  <w:rPr/>
                  <w:fldChar w:fldCharType="begin"/>
                </w:r>
                <w:r>
                  <w:rPr>
                    <w:b w:val="0"/>
                    <w:sz w:val="15"/>
                  </w:rPr>
                  <w:instrText> PAGE </w:instrText>
                </w:r>
                <w:r>
                  <w:rPr/>
                  <w:fldChar w:fldCharType="separate"/>
                </w:r>
                <w:r>
                  <w:rPr/>
                  <w:t>3</w:t>
                </w:r>
                <w:r>
                  <w:rPr/>
                  <w:fldChar w:fldCharType="end"/>
                </w:r>
                <w:r>
                  <w:rPr>
                    <w:b w:val="0"/>
                    <w:sz w:val="15"/>
                  </w:rPr>
                  <w:t>   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31383">
          <wp:simplePos x="0" y="0"/>
          <wp:positionH relativeFrom="page">
            <wp:posOffset>461772</wp:posOffset>
          </wp:positionH>
          <wp:positionV relativeFrom="page">
            <wp:posOffset>461772</wp:posOffset>
          </wp:positionV>
          <wp:extent cx="6372606" cy="374142"/>
          <wp:effectExtent l="0" t="0" r="0" b="0"/>
          <wp:wrapNone/>
          <wp:docPr id="5" name="image2.jpeg" descr=""/>
          <wp:cNvGraphicFramePr>
            <a:graphicFrameLocks noChangeAspect="1"/>
          </wp:cNvGraphicFramePr>
          <a:graphic>
            <a:graphicData uri="http://schemas.openxmlformats.org/drawingml/2006/picture">
              <pic:pic>
                <pic:nvPicPr>
                  <pic:cNvPr id="6" name="image2.jpeg"/>
                  <pic:cNvPicPr/>
                </pic:nvPicPr>
                <pic:blipFill>
                  <a:blip r:embed="rId1" cstate="print"/>
                  <a:stretch>
                    <a:fillRect/>
                  </a:stretch>
                </pic:blipFill>
                <pic:spPr>
                  <a:xfrm>
                    <a:off x="0" y="0"/>
                    <a:ext cx="6372606" cy="37414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32" w:hanging="285"/>
      </w:pPr>
      <w:rPr>
        <w:rFonts w:hint="default" w:ascii="Symbol" w:hAnsi="Symbol" w:eastAsia="Symbol" w:cs="Symbol"/>
        <w:w w:val="99"/>
        <w:sz w:val="19"/>
        <w:szCs w:val="19"/>
      </w:rPr>
    </w:lvl>
    <w:lvl w:ilvl="1">
      <w:start w:val="0"/>
      <w:numFmt w:val="bullet"/>
      <w:lvlText w:val="•"/>
      <w:lvlJc w:val="left"/>
      <w:pPr>
        <w:ind w:left="2812" w:hanging="285"/>
      </w:pPr>
      <w:rPr>
        <w:rFonts w:hint="default"/>
      </w:rPr>
    </w:lvl>
    <w:lvl w:ilvl="2">
      <w:start w:val="0"/>
      <w:numFmt w:val="bullet"/>
      <w:lvlText w:val="•"/>
      <w:lvlJc w:val="left"/>
      <w:pPr>
        <w:ind w:left="3684" w:hanging="285"/>
      </w:pPr>
      <w:rPr>
        <w:rFonts w:hint="default"/>
      </w:rPr>
    </w:lvl>
    <w:lvl w:ilvl="3">
      <w:start w:val="0"/>
      <w:numFmt w:val="bullet"/>
      <w:lvlText w:val="•"/>
      <w:lvlJc w:val="left"/>
      <w:pPr>
        <w:ind w:left="4557" w:hanging="285"/>
      </w:pPr>
      <w:rPr>
        <w:rFonts w:hint="default"/>
      </w:rPr>
    </w:lvl>
    <w:lvl w:ilvl="4">
      <w:start w:val="0"/>
      <w:numFmt w:val="bullet"/>
      <w:lvlText w:val="•"/>
      <w:lvlJc w:val="left"/>
      <w:pPr>
        <w:ind w:left="5429" w:hanging="285"/>
      </w:pPr>
      <w:rPr>
        <w:rFonts w:hint="default"/>
      </w:rPr>
    </w:lvl>
    <w:lvl w:ilvl="5">
      <w:start w:val="0"/>
      <w:numFmt w:val="bullet"/>
      <w:lvlText w:val="•"/>
      <w:lvlJc w:val="left"/>
      <w:pPr>
        <w:ind w:left="6302" w:hanging="285"/>
      </w:pPr>
      <w:rPr>
        <w:rFonts w:hint="default"/>
      </w:rPr>
    </w:lvl>
    <w:lvl w:ilvl="6">
      <w:start w:val="0"/>
      <w:numFmt w:val="bullet"/>
      <w:lvlText w:val="•"/>
      <w:lvlJc w:val="left"/>
      <w:pPr>
        <w:ind w:left="7174" w:hanging="285"/>
      </w:pPr>
      <w:rPr>
        <w:rFonts w:hint="default"/>
      </w:rPr>
    </w:lvl>
    <w:lvl w:ilvl="7">
      <w:start w:val="0"/>
      <w:numFmt w:val="bullet"/>
      <w:lvlText w:val="•"/>
      <w:lvlJc w:val="left"/>
      <w:pPr>
        <w:ind w:left="8047" w:hanging="285"/>
      </w:pPr>
      <w:rPr>
        <w:rFonts w:hint="default"/>
      </w:rPr>
    </w:lvl>
    <w:lvl w:ilvl="8">
      <w:start w:val="0"/>
      <w:numFmt w:val="bullet"/>
      <w:lvlText w:val="•"/>
      <w:lvlJc w:val="left"/>
      <w:pPr>
        <w:ind w:left="8919" w:hanging="285"/>
      </w:pPr>
      <w:rPr>
        <w:rFonts w:hint="default"/>
      </w:rPr>
    </w:lvl>
  </w:abstractNum>
  <w:abstractNum w:abstractNumId="3">
    <w:multiLevelType w:val="hybridMultilevel"/>
    <w:lvl w:ilvl="0">
      <w:start w:val="1"/>
      <w:numFmt w:val="decimal"/>
      <w:lvlText w:val="%1."/>
      <w:lvlJc w:val="left"/>
      <w:pPr>
        <w:ind w:left="277" w:hanging="285"/>
        <w:jc w:val="right"/>
      </w:pPr>
      <w:rPr>
        <w:rFonts w:hint="default" w:ascii="UnitSlabPro-Light" w:hAnsi="UnitSlabPro-Light" w:eastAsia="UnitSlabPro-Light" w:cs="UnitSlabPro-Light"/>
        <w:spacing w:val="-1"/>
        <w:w w:val="99"/>
        <w:sz w:val="19"/>
        <w:szCs w:val="19"/>
      </w:rPr>
    </w:lvl>
    <w:lvl w:ilvl="1">
      <w:start w:val="1"/>
      <w:numFmt w:val="lowerRoman"/>
      <w:lvlText w:val="%2."/>
      <w:lvlJc w:val="left"/>
      <w:pPr>
        <w:ind w:left="2674" w:hanging="278"/>
        <w:jc w:val="left"/>
      </w:pPr>
      <w:rPr>
        <w:rFonts w:hint="default" w:ascii="UnitSlabPro-Light" w:hAnsi="UnitSlabPro-Light" w:eastAsia="UnitSlabPro-Light" w:cs="UnitSlabPro-Light"/>
        <w:spacing w:val="-1"/>
        <w:w w:val="99"/>
        <w:sz w:val="19"/>
        <w:szCs w:val="19"/>
      </w:rPr>
    </w:lvl>
    <w:lvl w:ilvl="2">
      <w:start w:val="0"/>
      <w:numFmt w:val="bullet"/>
      <w:lvlText w:val="•"/>
      <w:lvlJc w:val="left"/>
      <w:pPr>
        <w:ind w:left="3349" w:hanging="278"/>
      </w:pPr>
      <w:rPr>
        <w:rFonts w:hint="default"/>
      </w:rPr>
    </w:lvl>
    <w:lvl w:ilvl="3">
      <w:start w:val="0"/>
      <w:numFmt w:val="bullet"/>
      <w:lvlText w:val="•"/>
      <w:lvlJc w:val="left"/>
      <w:pPr>
        <w:ind w:left="4019" w:hanging="278"/>
      </w:pPr>
      <w:rPr>
        <w:rFonts w:hint="default"/>
      </w:rPr>
    </w:lvl>
    <w:lvl w:ilvl="4">
      <w:start w:val="0"/>
      <w:numFmt w:val="bullet"/>
      <w:lvlText w:val="•"/>
      <w:lvlJc w:val="left"/>
      <w:pPr>
        <w:ind w:left="4689" w:hanging="278"/>
      </w:pPr>
      <w:rPr>
        <w:rFonts w:hint="default"/>
      </w:rPr>
    </w:lvl>
    <w:lvl w:ilvl="5">
      <w:start w:val="0"/>
      <w:numFmt w:val="bullet"/>
      <w:lvlText w:val="•"/>
      <w:lvlJc w:val="left"/>
      <w:pPr>
        <w:ind w:left="5359" w:hanging="278"/>
      </w:pPr>
      <w:rPr>
        <w:rFonts w:hint="default"/>
      </w:rPr>
    </w:lvl>
    <w:lvl w:ilvl="6">
      <w:start w:val="0"/>
      <w:numFmt w:val="bullet"/>
      <w:lvlText w:val="•"/>
      <w:lvlJc w:val="left"/>
      <w:pPr>
        <w:ind w:left="6029" w:hanging="278"/>
      </w:pPr>
      <w:rPr>
        <w:rFonts w:hint="default"/>
      </w:rPr>
    </w:lvl>
    <w:lvl w:ilvl="7">
      <w:start w:val="0"/>
      <w:numFmt w:val="bullet"/>
      <w:lvlText w:val="•"/>
      <w:lvlJc w:val="left"/>
      <w:pPr>
        <w:ind w:left="6699" w:hanging="278"/>
      </w:pPr>
      <w:rPr>
        <w:rFonts w:hint="default"/>
      </w:rPr>
    </w:lvl>
    <w:lvl w:ilvl="8">
      <w:start w:val="0"/>
      <w:numFmt w:val="bullet"/>
      <w:lvlText w:val="•"/>
      <w:lvlJc w:val="left"/>
      <w:pPr>
        <w:ind w:left="7369" w:hanging="278"/>
      </w:pPr>
      <w:rPr>
        <w:rFonts w:hint="default"/>
      </w:rPr>
    </w:lvl>
  </w:abstractNum>
  <w:abstractNum w:abstractNumId="2">
    <w:multiLevelType w:val="hybridMultilevel"/>
    <w:lvl w:ilvl="0">
      <w:start w:val="0"/>
      <w:numFmt w:val="bullet"/>
      <w:lvlText w:val=""/>
      <w:lvlJc w:val="left"/>
      <w:pPr>
        <w:ind w:left="584" w:hanging="285"/>
      </w:pPr>
      <w:rPr>
        <w:rFonts w:hint="default" w:ascii="Symbol" w:hAnsi="Symbol" w:eastAsia="Symbol" w:cs="Symbol"/>
        <w:w w:val="99"/>
        <w:sz w:val="19"/>
        <w:szCs w:val="19"/>
      </w:rPr>
    </w:lvl>
    <w:lvl w:ilvl="1">
      <w:start w:val="0"/>
      <w:numFmt w:val="bullet"/>
      <w:lvlText w:val="•"/>
      <w:lvlJc w:val="left"/>
      <w:pPr>
        <w:ind w:left="1423" w:hanging="285"/>
      </w:pPr>
      <w:rPr>
        <w:rFonts w:hint="default"/>
      </w:rPr>
    </w:lvl>
    <w:lvl w:ilvl="2">
      <w:start w:val="0"/>
      <w:numFmt w:val="bullet"/>
      <w:lvlText w:val="•"/>
      <w:lvlJc w:val="left"/>
      <w:pPr>
        <w:ind w:left="2267" w:hanging="285"/>
      </w:pPr>
      <w:rPr>
        <w:rFonts w:hint="default"/>
      </w:rPr>
    </w:lvl>
    <w:lvl w:ilvl="3">
      <w:start w:val="0"/>
      <w:numFmt w:val="bullet"/>
      <w:lvlText w:val="•"/>
      <w:lvlJc w:val="left"/>
      <w:pPr>
        <w:ind w:left="3110" w:hanging="285"/>
      </w:pPr>
      <w:rPr>
        <w:rFonts w:hint="default"/>
      </w:rPr>
    </w:lvl>
    <w:lvl w:ilvl="4">
      <w:start w:val="0"/>
      <w:numFmt w:val="bullet"/>
      <w:lvlText w:val="•"/>
      <w:lvlJc w:val="left"/>
      <w:pPr>
        <w:ind w:left="3954" w:hanging="285"/>
      </w:pPr>
      <w:rPr>
        <w:rFonts w:hint="default"/>
      </w:rPr>
    </w:lvl>
    <w:lvl w:ilvl="5">
      <w:start w:val="0"/>
      <w:numFmt w:val="bullet"/>
      <w:lvlText w:val="•"/>
      <w:lvlJc w:val="left"/>
      <w:pPr>
        <w:ind w:left="4798" w:hanging="285"/>
      </w:pPr>
      <w:rPr>
        <w:rFonts w:hint="default"/>
      </w:rPr>
    </w:lvl>
    <w:lvl w:ilvl="6">
      <w:start w:val="0"/>
      <w:numFmt w:val="bullet"/>
      <w:lvlText w:val="•"/>
      <w:lvlJc w:val="left"/>
      <w:pPr>
        <w:ind w:left="5641" w:hanging="285"/>
      </w:pPr>
      <w:rPr>
        <w:rFonts w:hint="default"/>
      </w:rPr>
    </w:lvl>
    <w:lvl w:ilvl="7">
      <w:start w:val="0"/>
      <w:numFmt w:val="bullet"/>
      <w:lvlText w:val="•"/>
      <w:lvlJc w:val="left"/>
      <w:pPr>
        <w:ind w:left="6485" w:hanging="285"/>
      </w:pPr>
      <w:rPr>
        <w:rFonts w:hint="default"/>
      </w:rPr>
    </w:lvl>
    <w:lvl w:ilvl="8">
      <w:start w:val="0"/>
      <w:numFmt w:val="bullet"/>
      <w:lvlText w:val="•"/>
      <w:lvlJc w:val="left"/>
      <w:pPr>
        <w:ind w:left="7329" w:hanging="285"/>
      </w:pPr>
      <w:rPr>
        <w:rFonts w:hint="default"/>
      </w:rPr>
    </w:lvl>
  </w:abstractNum>
  <w:abstractNum w:abstractNumId="0">
    <w:multiLevelType w:val="hybridMultilevel"/>
    <w:lvl w:ilvl="0">
      <w:start w:val="1"/>
      <w:numFmt w:val="upperRoman"/>
      <w:lvlText w:val="%1."/>
      <w:lvlJc w:val="left"/>
      <w:pPr>
        <w:ind w:left="874" w:hanging="360"/>
        <w:jc w:val="left"/>
      </w:pPr>
      <w:rPr>
        <w:rFonts w:hint="default" w:ascii="UnitPro-Medi" w:hAnsi="UnitPro-Medi" w:eastAsia="UnitPro-Medi" w:cs="UnitPro-Medi"/>
        <w:spacing w:val="0"/>
        <w:w w:val="99"/>
        <w:sz w:val="15"/>
        <w:szCs w:val="15"/>
      </w:rPr>
    </w:lvl>
    <w:lvl w:ilvl="1">
      <w:start w:val="0"/>
      <w:numFmt w:val="bullet"/>
      <w:lvlText w:val="•"/>
      <w:lvlJc w:val="left"/>
      <w:pPr>
        <w:ind w:left="1240" w:hanging="360"/>
      </w:pPr>
      <w:rPr>
        <w:rFonts w:hint="default"/>
      </w:rPr>
    </w:lvl>
    <w:lvl w:ilvl="2">
      <w:start w:val="0"/>
      <w:numFmt w:val="bullet"/>
      <w:lvlText w:val="•"/>
      <w:lvlJc w:val="left"/>
      <w:pPr>
        <w:ind w:left="2287" w:hanging="360"/>
      </w:pPr>
      <w:rPr>
        <w:rFonts w:hint="default"/>
      </w:rPr>
    </w:lvl>
    <w:lvl w:ilvl="3">
      <w:start w:val="0"/>
      <w:numFmt w:val="bullet"/>
      <w:lvlText w:val="•"/>
      <w:lvlJc w:val="left"/>
      <w:pPr>
        <w:ind w:left="3334" w:hanging="360"/>
      </w:pPr>
      <w:rPr>
        <w:rFonts w:hint="default"/>
      </w:rPr>
    </w:lvl>
    <w:lvl w:ilvl="4">
      <w:start w:val="0"/>
      <w:numFmt w:val="bullet"/>
      <w:lvlText w:val="•"/>
      <w:lvlJc w:val="left"/>
      <w:pPr>
        <w:ind w:left="4381" w:hanging="360"/>
      </w:pPr>
      <w:rPr>
        <w:rFonts w:hint="default"/>
      </w:rPr>
    </w:lvl>
    <w:lvl w:ilvl="5">
      <w:start w:val="0"/>
      <w:numFmt w:val="bullet"/>
      <w:lvlText w:val="•"/>
      <w:lvlJc w:val="left"/>
      <w:pPr>
        <w:ind w:left="5428" w:hanging="360"/>
      </w:pPr>
      <w:rPr>
        <w:rFonts w:hint="default"/>
      </w:rPr>
    </w:lvl>
    <w:lvl w:ilvl="6">
      <w:start w:val="0"/>
      <w:numFmt w:val="bullet"/>
      <w:lvlText w:val="•"/>
      <w:lvlJc w:val="left"/>
      <w:pPr>
        <w:ind w:left="6475" w:hanging="360"/>
      </w:pPr>
      <w:rPr>
        <w:rFonts w:hint="default"/>
      </w:rPr>
    </w:lvl>
    <w:lvl w:ilvl="7">
      <w:start w:val="0"/>
      <w:numFmt w:val="bullet"/>
      <w:lvlText w:val="•"/>
      <w:lvlJc w:val="left"/>
      <w:pPr>
        <w:ind w:left="7522" w:hanging="360"/>
      </w:pPr>
      <w:rPr>
        <w:rFonts w:hint="default"/>
      </w:rPr>
    </w:lvl>
    <w:lvl w:ilvl="8">
      <w:start w:val="0"/>
      <w:numFmt w:val="bullet"/>
      <w:lvlText w:val="•"/>
      <w:lvlJc w:val="left"/>
      <w:pPr>
        <w:ind w:left="8570" w:hanging="360"/>
      </w:pPr>
      <w:rPr>
        <w:rFonts w:hint="default"/>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UnitPro-Light" w:hAnsi="UnitPro-Light" w:eastAsia="UnitPro-Light" w:cs="UnitPro-Light"/>
    </w:rPr>
  </w:style>
  <w:style w:styleId="BodyText" w:type="paragraph">
    <w:name w:val="Body Text"/>
    <w:basedOn w:val="Normal"/>
    <w:uiPriority w:val="1"/>
    <w:qFormat/>
    <w:pPr/>
    <w:rPr>
      <w:rFonts w:ascii="UnitPro-Light" w:hAnsi="UnitPro-Light" w:eastAsia="UnitPro-Light" w:cs="UnitPro-Light"/>
      <w:sz w:val="20"/>
      <w:szCs w:val="20"/>
    </w:rPr>
  </w:style>
  <w:style w:styleId="ListParagraph" w:type="paragraph">
    <w:name w:val="List Paragraph"/>
    <w:basedOn w:val="Normal"/>
    <w:uiPriority w:val="1"/>
    <w:qFormat/>
    <w:pPr>
      <w:ind w:left="1932" w:hanging="284"/>
    </w:pPr>
    <w:rPr>
      <w:rFonts w:ascii="UnitSlabPro-LightIta" w:hAnsi="UnitSlabPro-LightIta" w:eastAsia="UnitSlabPro-LightIta" w:cs="UnitSlabPro-LightIt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Tittl-L</dc:creator>
  <dc:title>Microsoft Word - Zadání Akustické studie TT Bubenská_koncept_2021_09_20_FINAL_bez arch návrhu</dc:title>
  <dcterms:created xsi:type="dcterms:W3CDTF">2021-11-15T09:16:15Z</dcterms:created>
  <dcterms:modified xsi:type="dcterms:W3CDTF">2021-11-15T09:16:15Z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PScript5.dll Version 5.2.2</vt:lpwstr>
  </property>
  <property fmtid="{D5CDD505-2E9C-101B-9397-08002B2CF9AE}" pid="4" name="LastSaved">
    <vt:filetime>2021-11-15T00:00:00Z</vt:filetime>
  </property>
</Properties>
</file>