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30" w:h="859" w:wrap="none" w:hAnchor="page" w:x="150" w:y="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  <w:sz w:val="20"/>
          <w:szCs w:val="20"/>
        </w:rPr>
        <w:t xml:space="preserve">edicai s.r.o </w:t>
      </w:r>
      <w:r>
        <w:rPr>
          <w:rStyle w:val="CharStyle3"/>
        </w:rPr>
        <w:t>da 209/182 adec Králové Rapublic</w:t>
      </w:r>
    </w:p>
    <w:p>
      <w:pPr>
        <w:pStyle w:val="Style6"/>
        <w:keepNext/>
        <w:keepLines/>
        <w:framePr w:w="3072" w:h="307" w:wrap="none" w:hAnchor="page" w:x="4734" w:y="12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7"/>
          <w:b/>
          <w:bCs/>
          <w:u w:val="single"/>
        </w:rPr>
        <w:t>RÁMCOVÁ KUPNÍ SMLOUVA</w:t>
      </w:r>
      <w:bookmarkEnd w:id="0"/>
    </w:p>
    <w:p>
      <w:pPr>
        <w:pStyle w:val="Style9"/>
        <w:keepNext w:val="0"/>
        <w:keepLines w:val="0"/>
        <w:framePr w:w="931" w:h="206" w:wrap="none" w:hAnchor="page" w:x="9376" w:y="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10"/>
          <w:sz w:val="16"/>
          <w:szCs w:val="16"/>
        </w:rPr>
        <w:t>2021007257</w:t>
      </w:r>
    </w:p>
    <w:p>
      <w:pPr>
        <w:widowControl w:val="0"/>
        <w:spacing w:line="360" w:lineRule="exact"/>
      </w:pPr>
      <w:r>
        <w:drawing>
          <wp:anchor distT="0" distB="252730" distL="0" distR="0" simplePos="0" relativeHeight="62914690" behindDoc="1" locked="0" layoutInCell="1" allowOverlap="1">
            <wp:simplePos x="0" y="0"/>
            <wp:positionH relativeFrom="page">
              <wp:posOffset>5782310</wp:posOffset>
            </wp:positionH>
            <wp:positionV relativeFrom="margin">
              <wp:posOffset>0</wp:posOffset>
            </wp:positionV>
            <wp:extent cx="1463040" cy="3416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63040" cy="341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267" w:right="495" w:bottom="777" w:left="14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9"/>
        </w:rPr>
        <w:t>uzavřená v souladu s ustanovení § 2079 a násl. zákona č. 89/2012 Sb., občanský</w:t>
        <w:br/>
        <w:t>zákoník, mezi níže uvedenými smluvními stranami</w:t>
      </w:r>
    </w:p>
    <w:tbl>
      <w:tblPr>
        <w:tblOverlap w:val="never"/>
        <w:jc w:val="center"/>
        <w:tblLayout w:type="fixed"/>
      </w:tblPr>
      <w:tblGrid>
        <w:gridCol w:w="2726"/>
        <w:gridCol w:w="6355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MUDr. Hana Albrechtová, ředitelka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spacing w:val="2"/>
                <w:shd w:val="clear" w:color="auto" w:fill="000000"/>
              </w:rPr>
              <w:t>............</w:t>
            </w:r>
            <w:r>
              <w:rPr>
                <w:rStyle w:val="CharStyle24"/>
                <w:spacing w:val="3"/>
                <w:shd w:val="clear" w:color="auto" w:fill="000000"/>
              </w:rPr>
              <w:t>..</w:t>
            </w:r>
            <w:r>
              <w:rPr>
                <w:rStyle w:val="CharStyle24"/>
                <w:shd w:val="clear" w:color="auto" w:fill="000000"/>
              </w:rPr>
              <w:t>​</w:t>
            </w:r>
            <w:r>
              <w:rPr>
                <w:rStyle w:val="CharStyle24"/>
                <w:spacing w:val="2"/>
                <w:shd w:val="clear" w:color="auto" w:fill="000000"/>
              </w:rPr>
              <w:t>..</w:t>
            </w:r>
            <w:r>
              <w:rPr>
                <w:rStyle w:val="CharStyle24"/>
                <w:spacing w:val="3"/>
                <w:shd w:val="clear" w:color="auto" w:fill="000000"/>
              </w:rPr>
              <w:t>............</w:t>
            </w:r>
            <w:r>
              <w:rPr>
                <w:rStyle w:val="CharStyle24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4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CharStyle24"/>
                <w:spacing w:val="2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4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hd w:val="clear" w:color="auto" w:fill="000000"/>
              </w:rPr>
              <w:t>​</w:t>
            </w:r>
            <w:r>
              <w:rPr>
                <w:rStyle w:val="CharStyle24"/>
                <w:spacing w:val="8"/>
                <w:shd w:val="clear" w:color="auto" w:fill="000000"/>
              </w:rPr>
              <w:t>...</w:t>
            </w:r>
            <w:r>
              <w:rPr>
                <w:rStyle w:val="CharStyle24"/>
                <w:spacing w:val="9"/>
                <w:shd w:val="clear" w:color="auto" w:fill="000000"/>
              </w:rPr>
              <w:t>..</w:t>
            </w:r>
            <w:r>
              <w:rPr>
                <w:rStyle w:val="CharStyle24"/>
                <w:shd w:val="clear" w:color="auto" w:fill="000000"/>
              </w:rPr>
              <w:t>​.......​.......​......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IČO.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CZ00346292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Krajský soud v Brně sp. zn. Pr 1245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Bankovní spojeni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 xml:space="preserve">MONETA Money Bank, a.s., č. ú. </w:t>
            </w:r>
            <w:r>
              <w:rPr>
                <w:rStyle w:val="CharStyle24"/>
                <w:spacing w:val="1"/>
                <w:shd w:val="clear" w:color="auto" w:fill="000000"/>
              </w:rPr>
              <w:t>.............</w:t>
            </w:r>
            <w:r>
              <w:rPr>
                <w:rStyle w:val="CharStyle24"/>
                <w:spacing w:val="2"/>
                <w:shd w:val="clear" w:color="auto" w:fill="000000"/>
              </w:rPr>
              <w:t>.............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21"/>
        </w:rPr>
        <w:t xml:space="preserve">(dále jen </w:t>
      </w:r>
      <w:r>
        <w:rPr>
          <w:rStyle w:val="CharStyle21"/>
          <w:b/>
          <w:bCs/>
          <w:i/>
          <w:iCs/>
        </w:rPr>
        <w:t>„kupující“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26"/>
        <w:gridCol w:w="6350"/>
      </w:tblGrid>
      <w:tr>
        <w:trPr>
          <w:trHeight w:val="60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ČI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Teleflex Medical s.r.o.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Pražská třída 209/182, 500 04 Hradec Králové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Martin Hlaváček, jednatel</w:t>
            </w:r>
          </w:p>
        </w:tc>
      </w:tr>
      <w:tr>
        <w:trPr>
          <w:trHeight w:val="7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4"/>
                <w:spacing w:val="2"/>
                <w:shd w:val="clear" w:color="auto" w:fill="000000"/>
              </w:rPr>
              <w:t>....</w:t>
            </w:r>
            <w:r>
              <w:rPr>
                <w:rStyle w:val="CharStyle24"/>
                <w:spacing w:val="3"/>
                <w:shd w:val="clear" w:color="auto" w:fill="000000"/>
              </w:rPr>
              <w:t>....</w:t>
            </w:r>
            <w:r>
              <w:rPr>
                <w:rStyle w:val="CharStyle24"/>
                <w:shd w:val="clear" w:color="auto" w:fill="000000"/>
              </w:rPr>
              <w:t>​</w:t>
            </w:r>
            <w:r>
              <w:rPr>
                <w:rStyle w:val="CharStyle24"/>
                <w:spacing w:val="2"/>
                <w:shd w:val="clear" w:color="auto" w:fill="000000"/>
              </w:rPr>
              <w:t>.......</w:t>
            </w:r>
            <w:r>
              <w:rPr>
                <w:rStyle w:val="CharStyle24"/>
                <w:spacing w:val="3"/>
                <w:shd w:val="clear" w:color="auto" w:fill="000000"/>
              </w:rPr>
              <w:t>.........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4"/>
                <w:spacing w:val="3"/>
                <w:shd w:val="clear" w:color="auto" w:fill="000000"/>
              </w:rPr>
              <w:t>..</w:t>
            </w:r>
            <w:r>
              <w:rPr>
                <w:rStyle w:val="CharStyle24"/>
                <w:spacing w:val="4"/>
                <w:shd w:val="clear" w:color="auto" w:fill="000000"/>
              </w:rPr>
              <w:t>.</w:t>
            </w:r>
            <w:r>
              <w:rPr>
                <w:rStyle w:val="CharStyle24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hd w:val="clear" w:color="auto" w:fill="000000"/>
              </w:rPr>
              <w:t>..</w:t>
            </w:r>
            <w:r>
              <w:rPr>
                <w:rStyle w:val="CharStyle24"/>
                <w:spacing w:val="4"/>
                <w:shd w:val="clear" w:color="auto" w:fill="000000"/>
              </w:rPr>
              <w:t>......</w:t>
            </w:r>
            <w:r>
              <w:rPr>
                <w:rStyle w:val="CharStyle24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4"/>
                <w:spacing w:val="1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CharStyle24"/>
                <w:spacing w:val="2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24"/>
                <w:shd w:val="clear" w:color="auto" w:fill="000000"/>
                <w:lang w:val="en-US" w:eastAsia="en-US" w:bidi="en-US"/>
              </w:rPr>
              <w:t>..​........................................</w:t>
            </w:r>
            <w:r>
              <w:rPr>
                <w:rStyle w:val="CharStyle24"/>
                <w:spacing w:val="1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4"/>
                <w:lang w:val="en-US" w:eastAsia="en-US" w:bidi="en-US"/>
              </w:rPr>
              <w:t xml:space="preserve"> </w:t>
            </w:r>
            <w:r>
              <w:rPr>
                <w:rStyle w:val="CharStyle24"/>
                <w:shd w:val="clear" w:color="auto" w:fill="000000"/>
              </w:rPr>
              <w:t>​</w:t>
            </w:r>
            <w:r>
              <w:rPr>
                <w:rStyle w:val="CharStyle24"/>
                <w:spacing w:val="8"/>
                <w:shd w:val="clear" w:color="auto" w:fill="000000"/>
              </w:rPr>
              <w:t>...</w:t>
            </w:r>
            <w:r>
              <w:rPr>
                <w:rStyle w:val="CharStyle24"/>
                <w:spacing w:val="9"/>
                <w:shd w:val="clear" w:color="auto" w:fill="000000"/>
              </w:rPr>
              <w:t>..</w:t>
            </w:r>
            <w:r>
              <w:rPr>
                <w:rStyle w:val="CharStyle24"/>
                <w:shd w:val="clear" w:color="auto" w:fill="000000"/>
              </w:rPr>
              <w:t>​.......​.......​......</w:t>
            </w:r>
          </w:p>
        </w:tc>
      </w:tr>
      <w:tr>
        <w:trPr>
          <w:trHeight w:val="10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IČO: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DIČ: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24"/>
              </w:rPr>
              <w:t>288 49 809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24"/>
              </w:rPr>
              <w:t>CZ28849809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24"/>
              </w:rPr>
              <w:t>společnost zapsána u Krajského soudu v Hradci Králové, oddíl C, spisová značka 30847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24"/>
              </w:rPr>
              <w:t xml:space="preserve">Unicredit Bank Czech Republic and Slovakia, a.s. Č. účtu: </w:t>
            </w:r>
            <w:r>
              <w:rPr>
                <w:rStyle w:val="CharStyle24"/>
                <w:shd w:val="clear" w:color="auto" w:fill="000000"/>
              </w:rPr>
              <w:t>.............................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1"/>
        </w:rPr>
        <w:t xml:space="preserve">(dále jen </w:t>
      </w:r>
      <w:r>
        <w:rPr>
          <w:rStyle w:val="CharStyle21"/>
          <w:b/>
          <w:bCs/>
          <w:i/>
          <w:iCs/>
        </w:rPr>
        <w:t>„prodávající“)</w:t>
      </w:r>
    </w:p>
    <w:p>
      <w:pPr>
        <w:widowControl w:val="0"/>
        <w:spacing w:after="459" w:line="1" w:lineRule="exact"/>
      </w:pP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40" w:line="276" w:lineRule="auto"/>
        <w:ind w:left="420" w:right="0" w:hanging="420"/>
        <w:jc w:val="both"/>
      </w:pPr>
      <w:r>
        <w:rPr>
          <w:rStyle w:val="CharStyle16"/>
        </w:rPr>
        <w:t xml:space="preserve">Prodávající je oprávněn na základě svého vlastnického práva nakládat s tímto zbožím: </w:t>
      </w:r>
      <w:r>
        <w:rPr>
          <w:rStyle w:val="CharStyle16"/>
          <w:b/>
          <w:bCs/>
        </w:rPr>
        <w:t xml:space="preserve">pomůcky pro intraoseální vstup, </w:t>
      </w:r>
      <w:r>
        <w:rPr>
          <w:rStyle w:val="CharStyle16"/>
        </w:rPr>
        <w:t>jejichž bližší specifikace je uvedena v příloze č. 1 této smlouvy.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20" w:line="290" w:lineRule="auto"/>
        <w:ind w:left="420" w:right="0" w:hanging="420"/>
        <w:jc w:val="both"/>
      </w:pPr>
      <w:r>
        <w:rPr>
          <w:rStyle w:val="CharStyle16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 Prodávající je povinen tuto objednávku potvrdit.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20" w:line="283" w:lineRule="auto"/>
        <w:ind w:left="420" w:right="0" w:hanging="420"/>
        <w:jc w:val="both"/>
      </w:pPr>
      <w:r>
        <w:rPr>
          <w:rStyle w:val="CharStyle16"/>
        </w:rPr>
        <w:t>Součástí dodávky zboží podle čl. 1 této smlouvy je vždy předání veškerých písemných dokladů, které jsou potřebné k používání tohoto zboží. Prodávající je povinen dodat kupujícímu nové zboží s minimální skladovací životností 24 měsíců od doby dodání. Dodané zboží musí splňovat požadavky na jakost, neporušenost baleni a řádné označeni dle platných právních předpisů.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86" w:lineRule="auto"/>
        <w:ind w:left="420" w:right="0" w:hanging="420"/>
        <w:jc w:val="both"/>
      </w:pPr>
      <w:r>
        <w:rPr>
          <w:rStyle w:val="CharStyle16"/>
        </w:rPr>
        <w:t xml:space="preserve">Prodávající se zavazuje plnit svůj závazek k dodání zboží podle čl. 1 této smlouvy vždy nejpozději do </w:t>
      </w:r>
      <w:r>
        <w:rPr>
          <w:rStyle w:val="CharStyle16"/>
          <w:b/>
          <w:bCs/>
        </w:rPr>
        <w:t xml:space="preserve">3 pracovních dní </w:t>
      </w:r>
      <w:r>
        <w:rPr>
          <w:rStyle w:val="CharStyle16"/>
        </w:rPr>
        <w:t>ode dne účinnosti příslušné dílčí kupní smlouvy, nebude-li dohodnuto jinak. Tento závazek se bude považovat za splněný po předání a převzetíT&gt;říslušného zboží. Místem dodáni je centrální sklad v sídle zadavatele.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6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16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6"/>
        </w:rPr>
        <w:t>Kupující se zavazuje zaplatit prodávajícímu za předmět koupě a prodeje podle čl. 1 této smlouvy jednotkovou kupní cenu. Jednotkové ceny zboží jsou uvedeny v příloze č. 1 této smlouvy. Součástí těchto cen jsou veškeré náklady prodávajícího na splněni jeho závazku k dodání zboží podle této smlouvy. Výše uvedené ceny se prodávající zavazuje garantovat po dobu podle čl. 21 této smlouvy.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6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16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6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6"/>
          <w:u w:val="single"/>
          <w:lang w:val="en-US" w:eastAsia="en-US" w:bidi="en-US"/>
        </w:rPr>
        <w:t xml:space="preserve"> </w:t>
      </w:r>
      <w:r>
        <w:rPr>
          <w:rStyle w:val="CharStyle16"/>
          <w:shd w:val="clear" w:color="auto" w:fill="000000"/>
        </w:rPr>
        <w:t>​...</w:t>
      </w:r>
      <w:r>
        <w:rPr>
          <w:rStyle w:val="CharStyle16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6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16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16"/>
          <w:lang w:val="en-US" w:eastAsia="en-US" w:bidi="en-US"/>
        </w:rPr>
        <w:t xml:space="preserve">. </w:t>
      </w:r>
      <w:r>
        <w:rPr>
          <w:rStyle w:val="CharStyle16"/>
        </w:rPr>
        <w:t xml:space="preserve">Na faktuře/daňovém dokladu musí být mimo jiné vždy uvedeno toto číslo veřejné zakázky, ke které se faktura vztahuje: </w:t>
      </w:r>
      <w:r>
        <w:rPr>
          <w:rStyle w:val="CharStyle16"/>
          <w:b/>
          <w:bCs/>
        </w:rPr>
        <w:t>P21V00002391.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6"/>
        </w:rPr>
        <w:t>S převodem zboží je podle čl. 1 této smlouvy spojena záruka za jeho jakost v trvání minimálně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16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 pravdu.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16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6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smlouvy. Pro případ prodlení s odstraněním vady ve lhůtě podle čl. 9 této smlouvy se prodávající zavazuje platit kupujícímu smluvní pokutu ve výši 50,- Kč za každý den prodlení s odstraněním vady. Obé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16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postupné, je kupující oprávněn odstoupit od této smlouvy s účinky ex tunc.</w:t>
      </w:r>
      <w:r>
        <w:br w:type="page"/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16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6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6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6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16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16"/>
        </w:rPr>
        <w:t xml:space="preserve">Tato smlouva nabývá účinnosti po jejím podpisu oběma smluvními stranami dnem jejího uveřejnění v Registru smluv, nejdříve však </w:t>
      </w:r>
      <w:r>
        <w:rPr>
          <w:rStyle w:val="CharStyle16"/>
          <w:b/>
          <w:bCs/>
        </w:rPr>
        <w:t>01. 01. 2022.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0" w:right="0" w:firstLine="0"/>
        <w:jc w:val="both"/>
      </w:pPr>
      <w:r>
        <w:rPr>
          <w:rStyle w:val="CharStyle16"/>
        </w:rPr>
        <w:t xml:space="preserve">Tato smlouva se uzavírá na dobu určitou, a to do </w:t>
      </w:r>
      <w:r>
        <w:rPr>
          <w:rStyle w:val="CharStyle16"/>
          <w:b/>
          <w:bCs/>
        </w:rPr>
        <w:t>31.12. 2023.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480" w:line="290" w:lineRule="auto"/>
        <w:ind w:left="400" w:right="0" w:hanging="400"/>
        <w:jc w:val="both"/>
      </w:pPr>
      <w:r>
        <w:rPr>
          <w:rStyle w:val="CharStyle16"/>
        </w:rPr>
        <w:t>Dáno ve dvou originálních písemných vyhotoveních, z nichž každá ze smluvních stran obdrží po jednom.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46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8" w:right="1338" w:bottom="1000" w:left="147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50800</wp:posOffset>
                </wp:positionV>
                <wp:extent cx="685800" cy="19494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4.049999999999997pt;margin-top:4.pt;width:54.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317500" distB="0" distL="852170" distR="3888105" simplePos="0" relativeHeight="125829380" behindDoc="0" locked="0" layoutInCell="1" allowOverlap="1">
            <wp:simplePos x="0" y="0"/>
            <wp:positionH relativeFrom="page">
              <wp:posOffset>1678305</wp:posOffset>
            </wp:positionH>
            <wp:positionV relativeFrom="margin">
              <wp:posOffset>5908675</wp:posOffset>
            </wp:positionV>
            <wp:extent cx="1682750" cy="110363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682750" cy="1103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margin">
                  <wp:posOffset>6542405</wp:posOffset>
                </wp:positionV>
                <wp:extent cx="722630" cy="45720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 xml:space="preserve">MUDr. Hana ředitelka </w:t>
                            </w:r>
                            <w:r>
                              <w:rPr>
                                <w:rStyle w:val="CharStyle10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4.049999999999997pt;margin-top:515.14999999999998pt;width:56.899999999999999pt;height:36.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 xml:space="preserve">MUDr. Hana ředitelka </w:t>
                      </w:r>
                      <w:r>
                        <w:rPr>
                          <w:rStyle w:val="CharStyle10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445770" distB="301625" distL="3491230" distR="114935" simplePos="0" relativeHeight="125829381" behindDoc="0" locked="0" layoutInCell="1" allowOverlap="1">
            <wp:simplePos x="0" y="0"/>
            <wp:positionH relativeFrom="page">
              <wp:posOffset>4317365</wp:posOffset>
            </wp:positionH>
            <wp:positionV relativeFrom="margin">
              <wp:posOffset>6036945</wp:posOffset>
            </wp:positionV>
            <wp:extent cx="2816225" cy="67056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816225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4286885</wp:posOffset>
                </wp:positionH>
                <wp:positionV relativeFrom="margin">
                  <wp:posOffset>6692265</wp:posOffset>
                </wp:positionV>
                <wp:extent cx="716280" cy="29845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7.55000000000001pt;margin-top:526.95000000000005pt;width:56.399999999999999pt;height:23.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jednatel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CharStyle16"/>
        </w:rPr>
        <w:t>\ Hradci Králové dne ...L?..‘P.’7O21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58" w:right="0" w:bottom="155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58" w:right="1318" w:bottom="1558" w:left="1510" w:header="0" w:footer="3" w:gutter="0"/>
          <w:cols w:space="720"/>
          <w:noEndnote/>
          <w:rtlGutter w:val="0"/>
          <w:docGrid w:linePitch="360"/>
        </w:sectPr>
      </w:pPr>
      <w:r>
        <w:rPr>
          <w:rStyle w:val="CharStyle16"/>
        </w:rPr>
        <w:t>Příloha č. 1 Specifikace, Ceník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bookmarkStart w:id="2" w:name="bookmark2"/>
      <w:r>
        <w:rPr>
          <w:rStyle w:val="CharStyle7"/>
          <w:b/>
          <w:bCs/>
        </w:rPr>
        <w:t>Příloha č. 1 Rámcové kupní smlouvy - Specifikace, ceník</w:t>
      </w:r>
      <w:bookmarkEnd w:id="2"/>
    </w:p>
    <w:tbl>
      <w:tblPr>
        <w:tblOverlap w:val="never"/>
        <w:jc w:val="center"/>
        <w:tblLayout w:type="fixed"/>
      </w:tblPr>
      <w:tblGrid>
        <w:gridCol w:w="619"/>
        <w:gridCol w:w="2002"/>
        <w:gridCol w:w="4925"/>
        <w:gridCol w:w="2400"/>
        <w:gridCol w:w="960"/>
        <w:gridCol w:w="1819"/>
        <w:gridCol w:w="1824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P.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Název zboží,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4748" w:val="left"/>
              </w:tabs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rStyle w:val="CharStyle24"/>
                <w:b/>
                <w:bCs/>
              </w:rPr>
              <w:t>SpeciflkaéeWx^ ‘</w:t>
              <w:tab/>
              <w:t>“í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-ť Výrobce, typ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Jednotky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Jednotková cena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Jednotková cena v Kč včetně DPH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Intraoseální vrtačka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Kompletní sada intraoseální vrtačky typ EZ IO, obsahující tělo vrtačky s akumulátorem, uložení v držáku v pouzdře. Pouzdro na suchý zip, s dvojitým členěním, vnitřním držákem a gumičkovými úchyty pro příslušenství.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440"/>
              <w:jc w:val="left"/>
            </w:pPr>
            <w:r>
              <w:rPr>
                <w:rStyle w:val="CharStyle24"/>
                <w:b/>
                <w:bCs/>
                <w:i/>
                <w:iCs/>
              </w:rPr>
              <w:t>Teleflex Medical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i/>
                <w:iCs/>
              </w:rPr>
              <w:t>EZ-IO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4"/>
              </w:rPr>
              <w:t>7 355,00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4"/>
              </w:rPr>
              <w:t>8 899,55 Kč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2 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Intraoseální jehla - růžová (ZUM)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Intraoseální jehla pro děti (3 - 39kg) k EZ - IO, barva růžová, materiál nerezová ocel/plast, rozměr 15 mm, sterilně baleno po 1 ks, součástí baleni také identifikační štitek na ruku pacienta. Včetně fixátoru IO jehly.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440"/>
              <w:jc w:val="left"/>
            </w:pPr>
            <w:r>
              <w:rPr>
                <w:rStyle w:val="CharStyle24"/>
                <w:b/>
                <w:bCs/>
                <w:i/>
                <w:iCs/>
              </w:rPr>
              <w:t>Teleflex Medical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i/>
                <w:iCs/>
              </w:rPr>
              <w:t>EZ-IO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4"/>
              </w:rPr>
              <w:t>2 153,97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4"/>
              </w:rPr>
              <w:t>2 606,30 Kč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Intraoseální jehla - modrá (ZUM)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Intraoseální jehla pro dospělé nad 40 kg k EZ - IO, barva modrá, materiál nerezová ocel/plast, rozměr 25 mm, sterilně baleno po 1 ks, součásti baleni také identifikační štítek na ruku pacienta. Včetně fixátoru IO jehly.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440"/>
              <w:jc w:val="left"/>
            </w:pPr>
            <w:r>
              <w:rPr>
                <w:rStyle w:val="CharStyle24"/>
                <w:b/>
                <w:bCs/>
                <w:i/>
                <w:iCs/>
              </w:rPr>
              <w:t>Teleflex Medical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i/>
                <w:iCs/>
              </w:rPr>
              <w:t>EZ-IO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4"/>
              </w:rPr>
              <w:t>2 153,97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4"/>
              </w:rPr>
              <w:t>2 606,30 Kč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Intraoseální jehla - žlutá (ZUM)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Intraoseální jehla pro obézní pacienty k EZ - IO, barva žlutá, materiál nerezová ocel/plast, rozměr 45 mm, sterilně baleno po 1 ks, součásti baleni také identifikační štitek na ruku pacienta. Včetně fixátoru IO jehly.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440"/>
              <w:jc w:val="left"/>
            </w:pPr>
            <w:r>
              <w:rPr>
                <w:rStyle w:val="CharStyle24"/>
                <w:b/>
                <w:bCs/>
                <w:i/>
                <w:iCs/>
              </w:rPr>
              <w:t>Teleflex Medical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i/>
                <w:iCs/>
              </w:rPr>
              <w:t>EZ-IO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sz w:val="17"/>
                <w:szCs w:val="17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4"/>
              </w:rPr>
              <w:t>2 407,93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4"/>
              </w:rPr>
              <w:t>2 913,60 Kč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  <w:i/>
          <w:iCs/>
        </w:rPr>
        <w:t>Poznámka: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rStyle w:val="CharStyle3"/>
          <w:i/>
          <w:iCs/>
        </w:rPr>
        <w:t>Intraoseální jehly jsou v číselníku zdravotních pojišťoven účtovány jako zvlášť účtovatelný zdravotnický materiál (ZUM).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3699" w:val="left"/>
        </w:tabs>
        <w:bidi w:val="0"/>
        <w:spacing w:before="0" w:after="0" w:line="240" w:lineRule="auto"/>
        <w:ind w:left="0" w:right="0" w:firstLine="440"/>
        <w:jc w:val="left"/>
      </w:pPr>
      <w:r>
        <w:rPr>
          <w:rStyle w:val="CharStyle16"/>
        </w:rPr>
        <w:t>V Hradci Králové dne</w:t>
        <w:tab/>
      </w:r>
    </w:p>
    <w:p>
      <w:pPr>
        <w:widowControl w:val="0"/>
        <w:spacing w:line="1" w:lineRule="exact"/>
        <w:sectPr>
          <w:footerReference w:type="default" r:id="rId13"/>
          <w:footerReference w:type="even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1534" w:right="1248" w:bottom="0" w:left="1042" w:header="1106" w:footer="3" w:gutter="0"/>
          <w:cols w:space="720"/>
          <w:noEndnote/>
          <w:rtlGutter w:val="0"/>
          <w:docGrid w:linePitch="360"/>
        </w:sectPr>
      </w:pPr>
      <w:r>
        <w:drawing>
          <wp:anchor distT="368300" distB="189230" distL="24130" distR="0" simplePos="0" relativeHeight="125829382" behindDoc="0" locked="0" layoutInCell="1" allowOverlap="1">
            <wp:simplePos x="0" y="0"/>
            <wp:positionH relativeFrom="page">
              <wp:posOffset>972820</wp:posOffset>
            </wp:positionH>
            <wp:positionV relativeFrom="paragraph">
              <wp:posOffset>368300</wp:posOffset>
            </wp:positionV>
            <wp:extent cx="2773680" cy="536575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773680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901700</wp:posOffset>
                </wp:positionV>
                <wp:extent cx="1426210" cy="19177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spacing w:val="5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0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0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0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0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0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4.700000000000003pt;margin-top:71.pt;width:112.3pt;height:15.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spacing w:val="5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0"/>
                          <w:spacing w:val="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0"/>
                          <w:spacing w:val="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0"/>
                          <w:spacing w:val="3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0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0"/>
                          <w:spacing w:val="3"/>
                          <w:shd w:val="clear" w:color="auto" w:fill="000000"/>
                        </w:rPr>
                        <w:t>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34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9860915</wp:posOffset>
                </wp:positionH>
                <wp:positionV relativeFrom="paragraph">
                  <wp:posOffset>12700</wp:posOffset>
                </wp:positionV>
                <wp:extent cx="399415" cy="521335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521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19"/>
                                <w:sz w:val="24"/>
                                <w:szCs w:val="24"/>
                              </w:rPr>
                              <w:t>Teíefie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Pražs</w:t>
                              <w:br/>
                              <w:t>500 C</w:t>
                            </w:r>
                          </w:p>
                        </w:txbxContent>
                      </wps:txbx>
                      <wps:bodyPr upright="1" vert="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76.45000000000005pt;margin-top:1.pt;width:31.449999999999999pt;height:41.050000000000004pt;z-index:-125829370;mso-wrap-distance-left:0;mso-wrap-distance-right:0;mso-position-horizontal-relative:page" filled="f" stroked="f">
                <v:textbox style="layout-flow:vertical"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19"/>
                          <w:sz w:val="24"/>
                          <w:szCs w:val="24"/>
                        </w:rPr>
                        <w:t>Teíefie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Pražs</w:t>
                        <w:br/>
                        <w:t>500 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60"/>
        <w:jc w:val="left"/>
      </w:pPr>
      <w:r>
        <w:rPr>
          <w:rStyle w:val="CharStyle3"/>
          <w:i/>
          <w:iCs/>
        </w:rPr>
        <w:t>VZ 11-21 Pomůcky pro intraoseální vstup 2022 - 2023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rStyle w:val="CharStyle3"/>
          <w:sz w:val="16"/>
          <w:szCs w:val="16"/>
        </w:rPr>
        <w:t>O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534" w:right="1248" w:bottom="0" w:left="104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10139680</wp:posOffset>
              </wp:positionV>
              <wp:extent cx="274320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 Z 11- 21 Pomůcky pro intraoseálni vstup 2022 - 2023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5.75pt;margin-top:798.39999999999998pt;width:216.pt;height:8.4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 Z 11- 21 Pomůcky pro intraoseálni vstup 2022 - 2023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10121900</wp:posOffset>
              </wp:positionV>
              <wp:extent cx="3468370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683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11- 21: Pomůcky pro intraoseální vstup 2022 - 2023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5.75pt;margin-top:797.pt;width:273.10000000000002pt;height:8.90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11- 21: Pomůcky pro intraoseální vstup 2022 - 2023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7">
    <w:name w:val="Nadpis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obrázku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4">
    <w:name w:val="Jiné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spacing w:after="17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obrázku"/>
    <w:basedOn w:val="Normal"/>
    <w:link w:val="CharStyle10"/>
    <w:pPr>
      <w:widowControl w:val="0"/>
      <w:shd w:val="clear" w:color="auto" w:fill="auto"/>
      <w:spacing w:line="24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auto"/>
      <w:spacing w:after="22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auto"/>
      <w:spacing w:after="4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3">
    <w:name w:val="Jiné"/>
    <w:basedOn w:val="Normal"/>
    <w:link w:val="CharStyle24"/>
    <w:pPr>
      <w:widowControl w:val="0"/>
      <w:shd w:val="clear" w:color="auto" w:fill="auto"/>
      <w:spacing w:after="22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4.png"/><Relationship Id="rId16" Type="http://schemas.openxmlformats.org/officeDocument/2006/relationships/image" Target="media/image4.png" TargetMode="External"/></Relationships>
</file>