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24" w:rsidRDefault="00960A3F">
      <w:pPr>
        <w:pStyle w:val="Nadpis1"/>
        <w:spacing w:before="73"/>
        <w:ind w:left="3283" w:right="3147"/>
      </w:pPr>
      <w:r>
        <w:rPr>
          <w:color w:val="808080"/>
        </w:rPr>
        <w:t>Smlouva č. 1190700398 o poskytnutí podpory</w:t>
      </w:r>
    </w:p>
    <w:p w:rsidR="00A27C24" w:rsidRDefault="00960A3F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A27C24" w:rsidRDefault="00A27C24">
      <w:pPr>
        <w:pStyle w:val="Zkladntext"/>
        <w:ind w:left="0"/>
        <w:jc w:val="left"/>
        <w:rPr>
          <w:sz w:val="60"/>
        </w:rPr>
      </w:pPr>
    </w:p>
    <w:p w:rsidR="00A27C24" w:rsidRDefault="00960A3F">
      <w:pPr>
        <w:pStyle w:val="Zkladntext"/>
        <w:ind w:left="242"/>
        <w:jc w:val="left"/>
      </w:pPr>
      <w:r>
        <w:t>Smluvní strany</w:t>
      </w:r>
    </w:p>
    <w:p w:rsidR="00A27C24" w:rsidRDefault="00A27C24">
      <w:pPr>
        <w:pStyle w:val="Zkladntext"/>
        <w:spacing w:before="1"/>
        <w:ind w:left="0"/>
        <w:jc w:val="left"/>
      </w:pPr>
    </w:p>
    <w:p w:rsidR="00A27C24" w:rsidRDefault="00960A3F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A27C24" w:rsidRDefault="00960A3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27C24" w:rsidRDefault="00960A3F">
      <w:pPr>
        <w:pStyle w:val="Zkladntext"/>
        <w:tabs>
          <w:tab w:val="left" w:pos="3122"/>
        </w:tabs>
        <w:spacing w:before="1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27C24" w:rsidRDefault="00960A3F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A27C24" w:rsidRDefault="00960A3F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27C24" w:rsidRDefault="00960A3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27C24" w:rsidRDefault="00960A3F">
      <w:pPr>
        <w:pStyle w:val="Zkladntext"/>
        <w:tabs>
          <w:tab w:val="left" w:pos="3122"/>
        </w:tabs>
        <w:spacing w:before="3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27C24" w:rsidRDefault="00A27C24">
      <w:pPr>
        <w:pStyle w:val="Zkladntext"/>
        <w:spacing w:before="1"/>
        <w:ind w:left="0"/>
        <w:jc w:val="left"/>
      </w:pPr>
    </w:p>
    <w:p w:rsidR="00A27C24" w:rsidRDefault="00960A3F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A27C24" w:rsidRDefault="00A27C24">
      <w:pPr>
        <w:pStyle w:val="Zkladntext"/>
        <w:ind w:left="0"/>
        <w:jc w:val="left"/>
      </w:pPr>
    </w:p>
    <w:p w:rsidR="00A27C24" w:rsidRDefault="00960A3F">
      <w:pPr>
        <w:pStyle w:val="Nadpis2"/>
        <w:ind w:right="0"/>
        <w:jc w:val="left"/>
      </w:pPr>
      <w:r>
        <w:t>Základní škola a Mateřská škola při Fakultní Thomayerově nemocnici, Praha 4, Vídeňská 800</w:t>
      </w:r>
    </w:p>
    <w:p w:rsidR="00A27C24" w:rsidRDefault="00960A3F">
      <w:pPr>
        <w:pStyle w:val="Zkladntext"/>
        <w:spacing w:before="1" w:line="265" w:lineRule="exact"/>
        <w:ind w:left="242"/>
        <w:jc w:val="left"/>
      </w:pPr>
      <w:r>
        <w:t>příspěvková organizace</w:t>
      </w:r>
    </w:p>
    <w:p w:rsidR="00A27C24" w:rsidRDefault="00960A3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Vídeňská 800, 140 00 Praha</w:t>
      </w:r>
      <w:r>
        <w:rPr>
          <w:spacing w:val="1"/>
        </w:rPr>
        <w:t xml:space="preserve"> </w:t>
      </w:r>
      <w:r>
        <w:t>4</w:t>
      </w:r>
    </w:p>
    <w:p w:rsidR="00A27C24" w:rsidRDefault="00960A3F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60446714</w:t>
      </w:r>
    </w:p>
    <w:p w:rsidR="00A27C24" w:rsidRDefault="00960A3F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PaedDr. Ivou K ř i v á n k o v o u,</w:t>
      </w:r>
      <w:r>
        <w:rPr>
          <w:spacing w:val="-3"/>
        </w:rPr>
        <w:t xml:space="preserve"> </w:t>
      </w:r>
      <w:r>
        <w:t>ředitelkou</w:t>
      </w:r>
    </w:p>
    <w:p w:rsidR="00A27C24" w:rsidRDefault="00960A3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96104" w:rsidRPr="00696104">
        <w:rPr>
          <w:highlight w:val="yellow"/>
        </w:rPr>
        <w:t>xxxx</w:t>
      </w:r>
    </w:p>
    <w:p w:rsidR="00696104" w:rsidRDefault="00960A3F">
      <w:pPr>
        <w:pStyle w:val="Zkladntext"/>
        <w:tabs>
          <w:tab w:val="left" w:pos="3122"/>
        </w:tabs>
        <w:spacing w:before="1"/>
        <w:ind w:left="242" w:right="526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96104" w:rsidRPr="00696104">
        <w:rPr>
          <w:highlight w:val="yellow"/>
        </w:rPr>
        <w:t>xxxx</w:t>
      </w:r>
      <w:bookmarkStart w:id="0" w:name="_GoBack"/>
      <w:bookmarkEnd w:id="0"/>
    </w:p>
    <w:p w:rsidR="00A27C24" w:rsidRDefault="00960A3F">
      <w:pPr>
        <w:pStyle w:val="Zkladntext"/>
        <w:tabs>
          <w:tab w:val="left" w:pos="3122"/>
        </w:tabs>
        <w:spacing w:before="1"/>
        <w:ind w:left="242" w:right="5262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27C24" w:rsidRDefault="00A27C24">
      <w:pPr>
        <w:pStyle w:val="Zkladntext"/>
        <w:spacing w:before="11"/>
        <w:ind w:left="0"/>
        <w:jc w:val="left"/>
        <w:rPr>
          <w:sz w:val="19"/>
        </w:rPr>
      </w:pPr>
    </w:p>
    <w:p w:rsidR="00A27C24" w:rsidRDefault="00960A3F">
      <w:pPr>
        <w:pStyle w:val="Zkladntext"/>
        <w:spacing w:before="1"/>
        <w:ind w:left="242"/>
        <w:jc w:val="left"/>
      </w:pPr>
      <w:r>
        <w:t>se dohodly takto:</w:t>
      </w:r>
    </w:p>
    <w:p w:rsidR="00A27C24" w:rsidRDefault="00A27C24">
      <w:pPr>
        <w:pStyle w:val="Zkladntext"/>
        <w:spacing w:before="1"/>
        <w:ind w:left="0"/>
        <w:jc w:val="left"/>
        <w:rPr>
          <w:sz w:val="36"/>
        </w:rPr>
      </w:pPr>
    </w:p>
    <w:p w:rsidR="00A27C24" w:rsidRDefault="00960A3F">
      <w:pPr>
        <w:pStyle w:val="Nadpis2"/>
        <w:ind w:left="3276"/>
      </w:pPr>
      <w:r>
        <w:t>I.</w:t>
      </w:r>
    </w:p>
    <w:p w:rsidR="00A27C24" w:rsidRDefault="00960A3F">
      <w:pPr>
        <w:spacing w:before="1"/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27C24" w:rsidRDefault="00A27C24">
      <w:pPr>
        <w:pStyle w:val="Zkladntext"/>
        <w:spacing w:before="1"/>
        <w:ind w:left="0"/>
        <w:jc w:val="left"/>
        <w:rPr>
          <w:b/>
          <w:sz w:val="18"/>
        </w:rPr>
      </w:pPr>
    </w:p>
    <w:p w:rsidR="00A27C24" w:rsidRDefault="00960A3F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27C24" w:rsidRDefault="00960A3F">
      <w:pPr>
        <w:pStyle w:val="Zkladntext"/>
        <w:spacing w:before="1"/>
        <w:ind w:right="110"/>
      </w:pPr>
      <w:r>
        <w:t>„Smlouva“) se uzavírá na základě Rozhodnutí ministra životního prostředí č. 1190700398 o poskytnutí finančních prostředků ze Státního fondu životního prostředí ČR ze dne 21.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A27C24" w:rsidRDefault="00960A3F">
      <w:pPr>
        <w:pStyle w:val="Zkladntext"/>
        <w:spacing w:line="265" w:lineRule="exact"/>
      </w:pPr>
      <w:r>
        <w:t>„Směrnice MŽP“), platné ke dni podání žádosti.</w:t>
      </w:r>
    </w:p>
    <w:p w:rsidR="00A27C24" w:rsidRDefault="00960A3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A27C24" w:rsidRDefault="00A27C24">
      <w:pPr>
        <w:jc w:val="both"/>
        <w:rPr>
          <w:sz w:val="20"/>
        </w:rPr>
        <w:sectPr w:rsidR="00A27C24">
          <w:footerReference w:type="default" r:id="rId7"/>
          <w:type w:val="continuous"/>
          <w:pgSz w:w="12240" w:h="15840"/>
          <w:pgMar w:top="1060" w:right="1020" w:bottom="1640" w:left="1460" w:header="708" w:footer="1451" w:gutter="0"/>
          <w:pgNumType w:start="1"/>
          <w:cols w:space="708"/>
        </w:sectPr>
      </w:pPr>
    </w:p>
    <w:p w:rsidR="00A27C24" w:rsidRDefault="00960A3F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27C24" w:rsidRDefault="00960A3F">
      <w:pPr>
        <w:pStyle w:val="Nadpis2"/>
        <w:spacing w:before="120"/>
        <w:ind w:left="3019" w:right="0"/>
        <w:jc w:val="left"/>
      </w:pPr>
      <w:r>
        <w:t>„Ámosova zahrada pro děti v nemocnici“</w:t>
      </w:r>
    </w:p>
    <w:p w:rsidR="00A27C24" w:rsidRDefault="00960A3F">
      <w:pPr>
        <w:pStyle w:val="Zkladntext"/>
        <w:spacing w:before="121"/>
        <w:jc w:val="left"/>
      </w:pPr>
      <w:r>
        <w:t>(dále jen „projekt“ nebo „akce“) realizovanou v letech 2020 až 2021. Akce je kombinovaná.</w:t>
      </w:r>
    </w:p>
    <w:p w:rsidR="00A27C24" w:rsidRDefault="00A27C24">
      <w:pPr>
        <w:pStyle w:val="Zkladntext"/>
        <w:spacing w:before="1"/>
        <w:ind w:left="0"/>
        <w:jc w:val="left"/>
        <w:rPr>
          <w:sz w:val="36"/>
        </w:rPr>
      </w:pPr>
    </w:p>
    <w:p w:rsidR="00A27C24" w:rsidRDefault="00960A3F">
      <w:pPr>
        <w:pStyle w:val="Nadpis2"/>
        <w:ind w:left="3276"/>
      </w:pPr>
      <w:r>
        <w:t>II.</w:t>
      </w:r>
    </w:p>
    <w:p w:rsidR="00A27C24" w:rsidRDefault="00960A3F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27C24" w:rsidRDefault="00A27C24">
      <w:pPr>
        <w:pStyle w:val="Zkladntext"/>
        <w:spacing w:before="3"/>
        <w:ind w:left="0"/>
        <w:jc w:val="left"/>
        <w:rPr>
          <w:b/>
          <w:sz w:val="18"/>
        </w:rPr>
      </w:pP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303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500,43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 sta tři tisíc pět set korun českých a čtyřicet tři</w:t>
      </w:r>
      <w:r>
        <w:rPr>
          <w:spacing w:val="-6"/>
          <w:sz w:val="20"/>
        </w:rPr>
        <w:t xml:space="preserve"> </w:t>
      </w:r>
      <w:r>
        <w:rPr>
          <w:sz w:val="20"/>
        </w:rPr>
        <w:t>haléřů).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357 059,33 Kč (z toho 242 968,00 Kč odpovídá investičním výdajům a 114 091,33 Kč o</w:t>
      </w:r>
      <w:r>
        <w:rPr>
          <w:sz w:val="20"/>
        </w:rPr>
        <w:t>dpovídá 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 představuje 85,00 % základu pro stanovení podpory.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akce) překročily nebo pře</w:t>
      </w:r>
      <w:r>
        <w:rPr>
          <w:sz w:val="20"/>
        </w:rPr>
        <w:t>kročí základ pro stanovení podpory 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27C24" w:rsidRDefault="00960A3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 Výzvy.</w:t>
      </w:r>
    </w:p>
    <w:p w:rsidR="00A27C24" w:rsidRDefault="00A27C24">
      <w:pPr>
        <w:pStyle w:val="Zkladntext"/>
        <w:spacing w:before="2"/>
        <w:ind w:left="0"/>
        <w:jc w:val="left"/>
        <w:rPr>
          <w:sz w:val="36"/>
        </w:rPr>
      </w:pPr>
    </w:p>
    <w:p w:rsidR="00A27C24" w:rsidRDefault="00960A3F">
      <w:pPr>
        <w:pStyle w:val="Nadpis2"/>
        <w:ind w:left="3274"/>
      </w:pPr>
      <w:r>
        <w:t>III.</w:t>
      </w:r>
    </w:p>
    <w:p w:rsidR="00A27C24" w:rsidRDefault="00960A3F">
      <w:pPr>
        <w:ind w:left="3272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27C24" w:rsidRDefault="00A27C24">
      <w:pPr>
        <w:pStyle w:val="Zkladntext"/>
        <w:spacing w:before="13"/>
        <w:ind w:left="0"/>
        <w:jc w:val="left"/>
        <w:rPr>
          <w:b/>
          <w:sz w:val="17"/>
        </w:rPr>
      </w:pP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 částek.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A27C24" w:rsidRDefault="00A27C24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27C24">
        <w:trPr>
          <w:trHeight w:val="505"/>
        </w:trPr>
        <w:tc>
          <w:tcPr>
            <w:tcW w:w="4532" w:type="dxa"/>
          </w:tcPr>
          <w:p w:rsidR="00A27C24" w:rsidRDefault="00960A3F">
            <w:pPr>
              <w:pStyle w:val="TableParagraph"/>
              <w:ind w:left="199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A27C24" w:rsidRDefault="00960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27C24">
        <w:trPr>
          <w:trHeight w:val="505"/>
        </w:trPr>
        <w:tc>
          <w:tcPr>
            <w:tcW w:w="4532" w:type="dxa"/>
          </w:tcPr>
          <w:p w:rsidR="00A27C24" w:rsidRDefault="00960A3F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A27C24" w:rsidRDefault="00960A3F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303 500,43</w:t>
            </w:r>
          </w:p>
        </w:tc>
      </w:tr>
    </w:tbl>
    <w:p w:rsidR="00A27C24" w:rsidRDefault="00A27C24">
      <w:pPr>
        <w:pStyle w:val="Zkladntext"/>
        <w:spacing w:before="1"/>
        <w:ind w:left="0"/>
        <w:jc w:val="left"/>
        <w:rPr>
          <w:sz w:val="29"/>
        </w:rPr>
      </w:pP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34"/>
          <w:sz w:val="20"/>
        </w:rPr>
        <w:t xml:space="preserve"> </w:t>
      </w:r>
      <w:r>
        <w:rPr>
          <w:sz w:val="20"/>
        </w:rPr>
        <w:t>ČR“)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žádostí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3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6"/>
          <w:sz w:val="20"/>
        </w:rPr>
        <w:t xml:space="preserve"> </w:t>
      </w:r>
      <w:r>
        <w:rPr>
          <w:sz w:val="20"/>
        </w:rPr>
        <w:t>(bod</w:t>
      </w:r>
      <w:r>
        <w:rPr>
          <w:spacing w:val="32"/>
          <w:sz w:val="20"/>
        </w:rPr>
        <w:t xml:space="preserve"> </w:t>
      </w:r>
      <w:r>
        <w:rPr>
          <w:sz w:val="20"/>
        </w:rPr>
        <w:t>11)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2"/>
          <w:sz w:val="20"/>
        </w:rPr>
        <w:t xml:space="preserve"> </w:t>
      </w:r>
      <w:r>
        <w:rPr>
          <w:sz w:val="20"/>
        </w:rPr>
        <w:t>prokazující</w:t>
      </w:r>
    </w:p>
    <w:p w:rsidR="00A27C24" w:rsidRDefault="00A27C24">
      <w:pPr>
        <w:jc w:val="both"/>
        <w:rPr>
          <w:sz w:val="20"/>
        </w:rPr>
        <w:sectPr w:rsidR="00A27C24">
          <w:pgSz w:w="12240" w:h="15840"/>
          <w:pgMar w:top="1060" w:right="1020" w:bottom="1640" w:left="1460" w:header="0" w:footer="1451" w:gutter="0"/>
          <w:cols w:space="708"/>
        </w:sectPr>
      </w:pPr>
    </w:p>
    <w:p w:rsidR="00A27C24" w:rsidRDefault="00960A3F">
      <w:pPr>
        <w:pStyle w:val="Zkladntext"/>
        <w:spacing w:before="73"/>
      </w:pPr>
      <w:r>
        <w:lastRenderedPageBreak/>
        <w:t>oprávněnost vynaložených finančních prostředků.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 objem  následujícího  roku, 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 Smlouvou, či je plnění některé povinnosti vážně ohroženo.  To platí i pro případ, že příjemce podpory v průběhu realizace akce nehradil nebo nehradí z vlastních zdrojů plně výdaje akce přesahující základ pro </w:t>
      </w:r>
      <w:r>
        <w:rPr>
          <w:sz w:val="20"/>
        </w:rPr>
        <w:t>stanovení podpory. Ustanovení článku V bodu 1 tím není dotčeno.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</w:t>
      </w:r>
      <w:r>
        <w:rPr>
          <w:sz w:val="20"/>
        </w:rPr>
        <w:t>ce</w:t>
      </w:r>
      <w:r>
        <w:rPr>
          <w:spacing w:val="-30"/>
          <w:sz w:val="20"/>
        </w:rPr>
        <w:t xml:space="preserve"> </w:t>
      </w:r>
      <w:r>
        <w:rPr>
          <w:sz w:val="20"/>
        </w:rPr>
        <w:t>akce.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</w:t>
      </w:r>
      <w:r>
        <w:rPr>
          <w:sz w:val="20"/>
        </w:rPr>
        <w:t>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platebního     kalendáře     v AIS     SFŽP     ČR a na základě žádosti o uvolnění f</w:t>
      </w:r>
      <w:r>
        <w:rPr>
          <w:sz w:val="20"/>
        </w:rPr>
        <w:t>inančních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A27C24" w:rsidRDefault="00960A3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A27C24" w:rsidRDefault="00960A3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  bankovních  výpisů  dokladující  uhrazení  faktu</w:t>
      </w:r>
      <w:r>
        <w:rPr>
          <w:sz w:val="20"/>
        </w:rPr>
        <w:t>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 že předložené faktury odpovídají skutečným, účelně vynaloženým a způsobilým výdajům</w:t>
      </w:r>
      <w:r>
        <w:rPr>
          <w:spacing w:val="-23"/>
          <w:sz w:val="20"/>
        </w:rPr>
        <w:t xml:space="preserve"> </w:t>
      </w:r>
      <w:r>
        <w:rPr>
          <w:sz w:val="20"/>
        </w:rPr>
        <w:t>akce.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</w:t>
      </w:r>
      <w:r>
        <w:rPr>
          <w:sz w:val="20"/>
        </w:rPr>
        <w:t>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rozšířit. Příjemce podpory je povinen takové pokyny vydané </w:t>
      </w:r>
      <w:r>
        <w:rPr>
          <w:sz w:val="20"/>
        </w:rPr>
        <w:t>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</w:t>
      </w:r>
      <w:r>
        <w:rPr>
          <w:sz w:val="20"/>
        </w:rPr>
        <w:t>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A27C24" w:rsidRDefault="00960A3F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Pokud byla nebo bude akce nebo její část realizována svépomocí, pak je třeba Fondu předložit rozpis skutečných nezbytných nákladů vynaložených na provedené </w:t>
      </w:r>
      <w:r>
        <w:rPr>
          <w:sz w:val="20"/>
        </w:rPr>
        <w:t>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A27C24" w:rsidRDefault="00A27C24">
      <w:pPr>
        <w:jc w:val="both"/>
        <w:rPr>
          <w:sz w:val="20"/>
        </w:rPr>
        <w:sectPr w:rsidR="00A27C24">
          <w:pgSz w:w="12240" w:h="15840"/>
          <w:pgMar w:top="1060" w:right="1020" w:bottom="1640" w:left="1460" w:header="0" w:footer="1451" w:gutter="0"/>
          <w:cols w:space="708"/>
        </w:sectPr>
      </w:pPr>
    </w:p>
    <w:p w:rsidR="00A27C24" w:rsidRDefault="00A27C24">
      <w:pPr>
        <w:pStyle w:val="Zkladntext"/>
        <w:ind w:left="0"/>
        <w:jc w:val="left"/>
        <w:rPr>
          <w:sz w:val="26"/>
        </w:rPr>
      </w:pPr>
    </w:p>
    <w:p w:rsidR="00A27C24" w:rsidRDefault="00A27C24">
      <w:pPr>
        <w:pStyle w:val="Zkladntext"/>
        <w:spacing w:before="8"/>
        <w:ind w:left="0"/>
        <w:jc w:val="left"/>
        <w:rPr>
          <w:sz w:val="37"/>
        </w:rPr>
      </w:pPr>
    </w:p>
    <w:p w:rsidR="00A27C24" w:rsidRDefault="00960A3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A27C24" w:rsidRDefault="00960A3F">
      <w:pPr>
        <w:spacing w:before="73"/>
        <w:ind w:left="221" w:right="227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27C24" w:rsidRDefault="00960A3F">
      <w:pPr>
        <w:pStyle w:val="Nadpis2"/>
        <w:ind w:left="221" w:right="2280"/>
      </w:pPr>
      <w:r>
        <w:t>Základní závazky a další povinnosti příjemce podpory</w:t>
      </w:r>
    </w:p>
    <w:p w:rsidR="00A27C24" w:rsidRDefault="00A27C24">
      <w:pPr>
        <w:sectPr w:rsidR="00A27C24">
          <w:pgSz w:w="12240" w:h="15840"/>
          <w:pgMar w:top="1060" w:right="1020" w:bottom="164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akce byla provedena podle Fondem odsouhlasené projektové dokumentace projektu „Ámosova zahrada pro děti v nemocnici“ ze dne 1. 4. 2020, včetně případných změn a doplňků těchto dokumentů, pokud je Fond odsouhlasil,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>v období od 9/2020 do 9/2021 pořídil předměty uvedené v aktualizovaném rozpočtu projektu      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12.</w:t>
      </w:r>
      <w:r>
        <w:rPr>
          <w:spacing w:val="-7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2021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vysadil</w:t>
      </w:r>
      <w:r>
        <w:rPr>
          <w:spacing w:val="-7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8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7"/>
          <w:sz w:val="20"/>
        </w:rPr>
        <w:t xml:space="preserve"> </w:t>
      </w:r>
      <w:r>
        <w:rPr>
          <w:sz w:val="20"/>
        </w:rPr>
        <w:t>strom,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</w:t>
      </w:r>
      <w:r>
        <w:rPr>
          <w:sz w:val="20"/>
        </w:rPr>
        <w:t>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</w:t>
      </w:r>
      <w:r>
        <w:rPr>
          <w:sz w:val="20"/>
        </w:rPr>
        <w:t>o dobu 3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A27C24" w:rsidRDefault="00960A3F">
      <w:pPr>
        <w:pStyle w:val="Zkladntext"/>
        <w:spacing w:before="121"/>
        <w:ind w:left="923" w:right="109"/>
      </w:pPr>
      <w:r>
        <w:t>Příjemce podpory bere přitom na vědomí, že pokud toto prohlášení není pravdivé, bude přijetí podpory podle této</w:t>
      </w:r>
      <w:r>
        <w:t xml:space="preserve"> Smlouvy považováno za neoprávněné použití finančních prostředků poskytnutých  ze státního  fondu  ve smyslu zákona č.  218/2000  Sb.,  o rozpočtových  pravidlech  a o změně některých souvisejících zákonů (rozpočtová pravidla), v platném znění, a že mohou </w:t>
      </w:r>
      <w:r>
        <w:t>být uplatněny sankce podle tohoto</w:t>
      </w:r>
      <w:r>
        <w:rPr>
          <w:spacing w:val="-4"/>
        </w:rPr>
        <w:t xml:space="preserve"> </w:t>
      </w:r>
      <w:r>
        <w:t>zákona.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 relevantní, splní povinnost podle čl. 10 písm. k)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 586/1992 Sb., o daních z příjmů, v platném znění). Příjemce podpory    se zavazuje všechny transakce související s akcí odděleně identifikovat od ostatních účetních transakcí, které s akcí nesouvisejí, a zavazuje se v</w:t>
      </w:r>
      <w:r>
        <w:rPr>
          <w:sz w:val="20"/>
        </w:rPr>
        <w:t>ést analytickou evidenci s vazbou k</w:t>
      </w:r>
      <w:r>
        <w:rPr>
          <w:spacing w:val="-19"/>
          <w:sz w:val="20"/>
        </w:rPr>
        <w:t xml:space="preserve"> </w:t>
      </w:r>
      <w:r>
        <w:rPr>
          <w:sz w:val="20"/>
        </w:rPr>
        <w:t>akci,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 dobu od podání žádosti o poskytnu</w:t>
      </w:r>
      <w:r>
        <w:rPr>
          <w:sz w:val="20"/>
        </w:rPr>
        <w:t>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A27C24" w:rsidRDefault="00960A3F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A27C24" w:rsidRDefault="00960A3F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27C24" w:rsidRDefault="00A27C24">
      <w:pPr>
        <w:jc w:val="both"/>
        <w:rPr>
          <w:sz w:val="20"/>
        </w:rPr>
        <w:sectPr w:rsidR="00A27C24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</w:t>
      </w:r>
      <w:r>
        <w:rPr>
          <w:sz w:val="20"/>
        </w:rPr>
        <w:t xml:space="preserve">nikne nárok na odpočet DPH, a to bez ohledu na </w:t>
      </w:r>
      <w:r>
        <w:rPr>
          <w:spacing w:val="2"/>
          <w:sz w:val="20"/>
        </w:rPr>
        <w:t xml:space="preserve">to, </w:t>
      </w:r>
      <w:r>
        <w:rPr>
          <w:sz w:val="20"/>
        </w:rPr>
        <w:t>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A27C24" w:rsidRDefault="00960A3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5"/>
          <w:sz w:val="20"/>
        </w:rPr>
        <w:t xml:space="preserve"> </w:t>
      </w:r>
      <w:r>
        <w:rPr>
          <w:sz w:val="20"/>
        </w:rPr>
        <w:t>2014-2020,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A27C24" w:rsidRDefault="00A27C24">
      <w:pPr>
        <w:pStyle w:val="Zkladntext"/>
        <w:spacing w:before="1"/>
        <w:ind w:left="0"/>
        <w:jc w:val="left"/>
        <w:rPr>
          <w:sz w:val="36"/>
        </w:rPr>
      </w:pPr>
    </w:p>
    <w:p w:rsidR="00A27C24" w:rsidRDefault="00960A3F">
      <w:pPr>
        <w:pStyle w:val="Nadpis2"/>
        <w:spacing w:before="1"/>
        <w:ind w:left="3274"/>
      </w:pPr>
      <w:r>
        <w:t>V.</w:t>
      </w:r>
    </w:p>
    <w:p w:rsidR="00A27C24" w:rsidRDefault="00960A3F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27C24" w:rsidRDefault="00A27C24">
      <w:pPr>
        <w:pStyle w:val="Zkladntext"/>
        <w:spacing w:before="1"/>
        <w:ind w:left="0"/>
        <w:jc w:val="left"/>
        <w:rPr>
          <w:b/>
          <w:sz w:val="18"/>
        </w:rPr>
      </w:pPr>
    </w:p>
    <w:p w:rsidR="00A27C24" w:rsidRDefault="00960A3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</w:t>
      </w:r>
      <w:r>
        <w:rPr>
          <w:sz w:val="20"/>
        </w:rPr>
        <w:t>ory nesplní některý ze závazků stanovených touto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znění.</w:t>
      </w:r>
    </w:p>
    <w:p w:rsidR="00A27C24" w:rsidRDefault="00960A3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 povinností podle článku II bodů 5 nebo 6 nebo podle článku IV bodu 2 písm. a), c), d) nebo e) bude postiženo odvodem ve výši 100 % z poskytnuté podpory.  Porušení povinností podle článku       IV bodu 1 písm. b) za první, druhou  nebo  třetí odrážko</w:t>
      </w:r>
      <w:r>
        <w:rPr>
          <w:sz w:val="20"/>
        </w:rPr>
        <w:t>u bude postiženo  odvodem ve výši 100 %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7C24" w:rsidRDefault="00A27C24">
      <w:pPr>
        <w:jc w:val="both"/>
        <w:rPr>
          <w:sz w:val="20"/>
        </w:rPr>
        <w:sectPr w:rsidR="00A27C24">
          <w:pgSz w:w="12240" w:h="15840"/>
          <w:pgMar w:top="1060" w:right="1020" w:bottom="1640" w:left="1460" w:header="0" w:footer="1451" w:gutter="0"/>
          <w:cols w:space="708"/>
        </w:sectPr>
      </w:pPr>
    </w:p>
    <w:p w:rsidR="00A27C24" w:rsidRDefault="00960A3F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 odrážkou, bude toto porušení postiženo odvodem ve výši 100 % z poskytnuté p</w:t>
      </w:r>
      <w:r>
        <w:rPr>
          <w:sz w:val="20"/>
        </w:rPr>
        <w:t>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A27C24" w:rsidRDefault="00960A3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27C24" w:rsidRDefault="00960A3F">
      <w:pPr>
        <w:pStyle w:val="Odstavecseseznamem"/>
        <w:numPr>
          <w:ilvl w:val="0"/>
          <w:numId w:val="2"/>
        </w:numPr>
        <w:tabs>
          <w:tab w:val="left" w:pos="526"/>
        </w:tabs>
        <w:spacing w:before="123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 podpory.</w:t>
      </w:r>
    </w:p>
    <w:p w:rsidR="00A27C24" w:rsidRDefault="00A27C24">
      <w:pPr>
        <w:pStyle w:val="Zkladntext"/>
        <w:spacing w:before="12"/>
        <w:ind w:left="0"/>
        <w:jc w:val="left"/>
        <w:rPr>
          <w:sz w:val="35"/>
        </w:rPr>
      </w:pPr>
    </w:p>
    <w:p w:rsidR="00A27C24" w:rsidRDefault="00960A3F">
      <w:pPr>
        <w:pStyle w:val="Nadpis2"/>
        <w:ind w:left="3277"/>
      </w:pPr>
      <w:r>
        <w:t>VI.</w:t>
      </w:r>
    </w:p>
    <w:p w:rsidR="00A27C24" w:rsidRDefault="00960A3F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27C24" w:rsidRDefault="00A27C24">
      <w:pPr>
        <w:pStyle w:val="Zkladntext"/>
        <w:spacing w:before="1"/>
        <w:ind w:left="0"/>
        <w:jc w:val="left"/>
        <w:rPr>
          <w:b/>
          <w:sz w:val="18"/>
        </w:rPr>
      </w:pP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</w:t>
      </w:r>
      <w:r>
        <w:rPr>
          <w:sz w:val="20"/>
        </w:rPr>
        <w:t xml:space="preserve"> kterým bude zajištěn její soulad s obecně závaznými předpisy a Směrnicí MŽP. V případě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</w:t>
      </w:r>
      <w:r>
        <w:rPr>
          <w:sz w:val="20"/>
        </w:rPr>
        <w:t>ické) týkající    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4"/>
          <w:sz w:val="20"/>
        </w:rPr>
        <w:t xml:space="preserve"> </w:t>
      </w:r>
      <w:r>
        <w:rPr>
          <w:sz w:val="20"/>
        </w:rPr>
        <w:t>předpokládala.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</w:t>
      </w:r>
      <w:r>
        <w:rPr>
          <w:sz w:val="20"/>
        </w:rPr>
        <w:t>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27C24" w:rsidRDefault="00A27C24">
      <w:pPr>
        <w:jc w:val="both"/>
        <w:rPr>
          <w:sz w:val="20"/>
        </w:rPr>
        <w:sectPr w:rsidR="00A27C24">
          <w:pgSz w:w="12240" w:h="15840"/>
          <w:pgMar w:top="1060" w:right="1020" w:bottom="1640" w:left="1460" w:header="0" w:footer="1451" w:gutter="0"/>
          <w:cols w:space="708"/>
        </w:sectPr>
      </w:pPr>
    </w:p>
    <w:p w:rsidR="00A27C24" w:rsidRDefault="00960A3F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</w:t>
      </w:r>
      <w:r>
        <w:rPr>
          <w:sz w:val="20"/>
        </w:rPr>
        <w:t>stinných exemplářích a podepsána vlastnoručně; každý exemplář má platnost originálu. Každá smluvní strana obdrží jeden exemplář.</w:t>
      </w:r>
    </w:p>
    <w:p w:rsidR="00A27C24" w:rsidRDefault="00A27C24">
      <w:pPr>
        <w:pStyle w:val="Zkladntext"/>
        <w:spacing w:before="3"/>
        <w:ind w:left="0"/>
        <w:jc w:val="left"/>
        <w:rPr>
          <w:sz w:val="36"/>
        </w:rPr>
      </w:pPr>
    </w:p>
    <w:p w:rsidR="00A27C24" w:rsidRDefault="00960A3F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A27C24" w:rsidRDefault="00A27C24">
      <w:pPr>
        <w:pStyle w:val="Zkladntext"/>
        <w:spacing w:before="1"/>
        <w:ind w:left="0"/>
        <w:jc w:val="left"/>
        <w:rPr>
          <w:sz w:val="18"/>
        </w:rPr>
      </w:pPr>
    </w:p>
    <w:p w:rsidR="00A27C24" w:rsidRDefault="00960A3F">
      <w:pPr>
        <w:pStyle w:val="Zkladntext"/>
        <w:ind w:left="242"/>
        <w:jc w:val="left"/>
      </w:pPr>
      <w:r>
        <w:t>dne:</w:t>
      </w:r>
    </w:p>
    <w:p w:rsidR="00A27C24" w:rsidRDefault="00A27C24">
      <w:pPr>
        <w:pStyle w:val="Zkladntext"/>
        <w:ind w:left="0"/>
        <w:jc w:val="left"/>
        <w:rPr>
          <w:sz w:val="26"/>
        </w:rPr>
      </w:pPr>
    </w:p>
    <w:p w:rsidR="00A27C24" w:rsidRDefault="00A27C24">
      <w:pPr>
        <w:pStyle w:val="Zkladntext"/>
        <w:ind w:left="0"/>
        <w:jc w:val="left"/>
        <w:rPr>
          <w:sz w:val="26"/>
        </w:rPr>
      </w:pPr>
    </w:p>
    <w:p w:rsidR="00A27C24" w:rsidRDefault="00A27C24">
      <w:pPr>
        <w:pStyle w:val="Zkladntext"/>
        <w:spacing w:before="1"/>
        <w:ind w:left="0"/>
        <w:jc w:val="left"/>
        <w:rPr>
          <w:sz w:val="29"/>
        </w:rPr>
      </w:pPr>
    </w:p>
    <w:p w:rsidR="00A27C24" w:rsidRDefault="00960A3F">
      <w:pPr>
        <w:pStyle w:val="Zkladntext"/>
        <w:tabs>
          <w:tab w:val="left" w:pos="6723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27C24" w:rsidRDefault="00960A3F">
      <w:pPr>
        <w:pStyle w:val="Zkladntext"/>
        <w:tabs>
          <w:tab w:val="left" w:pos="6723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A27C24">
      <w:pgSz w:w="12240" w:h="15840"/>
      <w:pgMar w:top="1060" w:right="1020" w:bottom="164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3F" w:rsidRDefault="00960A3F">
      <w:r>
        <w:separator/>
      </w:r>
    </w:p>
  </w:endnote>
  <w:endnote w:type="continuationSeparator" w:id="0">
    <w:p w:rsidR="00960A3F" w:rsidRDefault="009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4" w:rsidRDefault="00960A3F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6pt;margin-top:708pt;width:11.4pt;height:15.25pt;z-index:-251658752;mso-position-horizontal-relative:page;mso-position-vertical-relative:page" filled="f" stroked="f">
          <v:textbox inset="0,0,0,0">
            <w:txbxContent>
              <w:p w:rsidR="00A27C24" w:rsidRDefault="00960A3F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96104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3F" w:rsidRDefault="00960A3F">
      <w:r>
        <w:separator/>
      </w:r>
    </w:p>
  </w:footnote>
  <w:footnote w:type="continuationSeparator" w:id="0">
    <w:p w:rsidR="00960A3F" w:rsidRDefault="0096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9EB"/>
    <w:multiLevelType w:val="hybridMultilevel"/>
    <w:tmpl w:val="A16C332E"/>
    <w:lvl w:ilvl="0" w:tplc="B1323E0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948234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542157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182043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544E98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2741B4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CAAF7D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E9A442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E6641A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2A96395"/>
    <w:multiLevelType w:val="hybridMultilevel"/>
    <w:tmpl w:val="1A60140E"/>
    <w:lvl w:ilvl="0" w:tplc="DF76715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6DEA8D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AE8ACC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5421FC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ADE161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5EE4D8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9EACE1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3EC42F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C402C0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3B76F0E"/>
    <w:multiLevelType w:val="hybridMultilevel"/>
    <w:tmpl w:val="87900130"/>
    <w:lvl w:ilvl="0" w:tplc="D21283B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C1C7B4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E74283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508767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F8AE2A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11644A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1AC47F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D1E099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7923C0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C890AF5"/>
    <w:multiLevelType w:val="hybridMultilevel"/>
    <w:tmpl w:val="016CEE60"/>
    <w:lvl w:ilvl="0" w:tplc="7A2A3E1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9A4BF6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CD6BECE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62C20E7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7B84FE0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6CFA41AA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680E5DC8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4168BE36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F42C12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1A46380"/>
    <w:multiLevelType w:val="hybridMultilevel"/>
    <w:tmpl w:val="F1FACB00"/>
    <w:lvl w:ilvl="0" w:tplc="7520D9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D2AA0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F94D80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03063962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C3843086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112290EA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E9DE6804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C8F038AC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A9CC61BA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6DD9660B"/>
    <w:multiLevelType w:val="hybridMultilevel"/>
    <w:tmpl w:val="17683290"/>
    <w:lvl w:ilvl="0" w:tplc="4866F2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F9611F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C3A87B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826AAC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DD07FB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19C7C9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7EC9C2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046A07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588422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7C24"/>
    <w:rsid w:val="00696104"/>
    <w:rsid w:val="00960A3F"/>
    <w:rsid w:val="00A2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695960"/>
  <w15:docId w15:val="{084BFFA6-B711-4F31-8AB8-7B6642C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14455</Characters>
  <Application>Microsoft Office Word</Application>
  <DocSecurity>0</DocSecurity>
  <Lines>120</Lines>
  <Paragraphs>33</Paragraphs>
  <ScaleCrop>false</ScaleCrop>
  <Company>SFZP</Company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2021-11-10T12:07:00Z</dcterms:created>
  <dcterms:modified xsi:type="dcterms:W3CDTF">2021-11-10T12:07:00Z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