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B24CF" w:rsidRPr="007B24CF" w:rsidRDefault="002F47F1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Oscilační mlýn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:rsidTr="00011CA5">
        <w:trPr>
          <w:trHeight w:val="434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3B71F1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HELAGO-CZ, s.r.o.</w:t>
            </w:r>
          </w:p>
        </w:tc>
      </w:tr>
      <w:tr w:rsidR="00B3237A" w:rsidRPr="006F6BBE" w:rsidTr="00011CA5">
        <w:trPr>
          <w:trHeight w:val="192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3B71F1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Kladská 1082/67, 500 03 Hradec Králové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B3237A" w:rsidRPr="00420C0B" w:rsidRDefault="003B71F1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25963961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3237A" w:rsidRPr="00420C0B" w:rsidRDefault="00B3237A" w:rsidP="003B71F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3B71F1">
              <w:rPr>
                <w:rFonts w:ascii="Arial" w:hAnsi="Arial" w:cs="Arial"/>
                <w:sz w:val="21"/>
                <w:szCs w:val="21"/>
              </w:rPr>
              <w:t>25963961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420C0B" w:rsidRDefault="00B3237A" w:rsidP="003B71F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3B71F1">
              <w:rPr>
                <w:rFonts w:ascii="Arial" w:hAnsi="Arial" w:cs="Arial"/>
                <w:sz w:val="21"/>
                <w:szCs w:val="21"/>
              </w:rPr>
              <w:t>Pavlem Kahlem,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71240D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Default="00382D22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A32A45" w:rsidRPr="006F6BBE" w:rsidRDefault="00A32A45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2F47F1" w:rsidRDefault="00DE5A99" w:rsidP="002F47F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="002F47F1">
        <w:rPr>
          <w:rFonts w:cs="Arial"/>
          <w:sz w:val="21"/>
          <w:szCs w:val="21"/>
        </w:rPr>
        <w:t>koupě jsou:</w:t>
      </w:r>
      <w:r w:rsidR="007B24CF">
        <w:rPr>
          <w:rFonts w:cs="Arial"/>
          <w:sz w:val="21"/>
          <w:szCs w:val="21"/>
        </w:rPr>
        <w:t xml:space="preserve"> </w:t>
      </w:r>
    </w:p>
    <w:p w:rsidR="00F252E5" w:rsidRDefault="002F47F1" w:rsidP="002F47F1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2F47F1">
        <w:rPr>
          <w:rFonts w:cs="Arial"/>
          <w:sz w:val="21"/>
          <w:szCs w:val="21"/>
        </w:rPr>
        <w:t>MM 200 - Mlýn oscilační, Retsch</w:t>
      </w:r>
      <w:r>
        <w:rPr>
          <w:rFonts w:cs="Arial"/>
          <w:sz w:val="21"/>
          <w:szCs w:val="21"/>
        </w:rPr>
        <w:t xml:space="preserve"> (1 ks)</w:t>
      </w:r>
    </w:p>
    <w:p w:rsidR="002F47F1" w:rsidRDefault="002F47F1" w:rsidP="002F47F1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2F47F1">
        <w:rPr>
          <w:rFonts w:cs="Arial"/>
          <w:sz w:val="21"/>
          <w:szCs w:val="21"/>
        </w:rPr>
        <w:t>Mlecí nádoba 5 ml z nerez oceli pro MM 200</w:t>
      </w:r>
      <w:r>
        <w:rPr>
          <w:rFonts w:cs="Arial"/>
          <w:sz w:val="21"/>
          <w:szCs w:val="21"/>
        </w:rPr>
        <w:t xml:space="preserve"> (2 ks)</w:t>
      </w:r>
    </w:p>
    <w:p w:rsidR="002F47F1" w:rsidRPr="002F47F1" w:rsidRDefault="002F47F1" w:rsidP="002F47F1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2F47F1">
        <w:rPr>
          <w:rFonts w:cs="Arial"/>
          <w:sz w:val="21"/>
          <w:szCs w:val="21"/>
        </w:rPr>
        <w:t>Mlecí koule z nerez oceli průměr 7 mm</w:t>
      </w:r>
      <w:r>
        <w:rPr>
          <w:rFonts w:cs="Arial"/>
          <w:sz w:val="21"/>
          <w:szCs w:val="21"/>
        </w:rPr>
        <w:t xml:space="preserve"> (4 ks)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2F47F1">
        <w:rPr>
          <w:rFonts w:cs="Arial"/>
          <w:b/>
          <w:sz w:val="21"/>
          <w:szCs w:val="21"/>
        </w:rPr>
        <w:t>5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603  00</w:t>
      </w:r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B3237A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2F47F1" w:rsidTr="00011CA5">
        <w:tc>
          <w:tcPr>
            <w:tcW w:w="4106" w:type="dxa"/>
          </w:tcPr>
          <w:p w:rsidR="00B3237A" w:rsidRPr="002F47F1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:rsidR="00B3237A" w:rsidRPr="002F47F1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B3237A" w:rsidRPr="002F47F1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 xml:space="preserve">Cena za kus bez DPH </w:t>
            </w:r>
          </w:p>
        </w:tc>
        <w:tc>
          <w:tcPr>
            <w:tcW w:w="2043" w:type="dxa"/>
            <w:gridSpan w:val="2"/>
          </w:tcPr>
          <w:p w:rsidR="00B3237A" w:rsidRPr="002F47F1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B3237A" w:rsidRPr="002F47F1" w:rsidTr="00011CA5">
        <w:trPr>
          <w:trHeight w:val="255"/>
        </w:trPr>
        <w:tc>
          <w:tcPr>
            <w:tcW w:w="4106" w:type="dxa"/>
            <w:noWrap/>
          </w:tcPr>
          <w:p w:rsidR="00B3237A" w:rsidRPr="002F47F1" w:rsidRDefault="002F47F1" w:rsidP="002F47F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MM 200 - Mlýn oscilační, Retsch</w:t>
            </w:r>
          </w:p>
        </w:tc>
        <w:tc>
          <w:tcPr>
            <w:tcW w:w="1134" w:type="dxa"/>
            <w:noWrap/>
          </w:tcPr>
          <w:p w:rsidR="00B3237A" w:rsidRPr="002F47F1" w:rsidRDefault="00B3237A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:rsidR="00B3237A" w:rsidRPr="002F47F1" w:rsidRDefault="002F47F1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138.850</w:t>
            </w:r>
            <w:r w:rsidR="00B3237A" w:rsidRPr="002F47F1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2F47F1" w:rsidRDefault="002F47F1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138.850</w:t>
            </w:r>
            <w:r w:rsidR="00B3237A" w:rsidRPr="002F47F1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2F47F1" w:rsidTr="00011CA5">
        <w:trPr>
          <w:trHeight w:val="255"/>
        </w:trPr>
        <w:tc>
          <w:tcPr>
            <w:tcW w:w="4106" w:type="dxa"/>
            <w:noWrap/>
          </w:tcPr>
          <w:p w:rsidR="00B3237A" w:rsidRPr="002F47F1" w:rsidRDefault="002F47F1" w:rsidP="002F47F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Mlecí nádoba 5 ml z nerez oceli pro MM 200</w:t>
            </w:r>
          </w:p>
        </w:tc>
        <w:tc>
          <w:tcPr>
            <w:tcW w:w="1134" w:type="dxa"/>
            <w:noWrap/>
          </w:tcPr>
          <w:p w:rsidR="00B3237A" w:rsidRPr="002F47F1" w:rsidRDefault="007B24CF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2</w:t>
            </w:r>
            <w:r w:rsidR="00B3237A" w:rsidRPr="002F47F1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B3237A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7.650</w:t>
            </w:r>
            <w:r w:rsidR="003D5369" w:rsidRPr="002F47F1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15.300</w:t>
            </w:r>
            <w:r w:rsidR="003D5369" w:rsidRPr="002F47F1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2F47F1" w:rsidRPr="002F47F1" w:rsidTr="00011CA5">
        <w:trPr>
          <w:trHeight w:val="255"/>
        </w:trPr>
        <w:tc>
          <w:tcPr>
            <w:tcW w:w="4106" w:type="dxa"/>
            <w:noWrap/>
          </w:tcPr>
          <w:p w:rsidR="002F47F1" w:rsidRPr="002F47F1" w:rsidRDefault="002F47F1" w:rsidP="002F47F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Mlecí koule z nerez oceli průměr 7 mm</w:t>
            </w:r>
          </w:p>
        </w:tc>
        <w:tc>
          <w:tcPr>
            <w:tcW w:w="1134" w:type="dxa"/>
            <w:noWrap/>
          </w:tcPr>
          <w:p w:rsidR="002F47F1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4 ks</w:t>
            </w:r>
          </w:p>
        </w:tc>
        <w:tc>
          <w:tcPr>
            <w:tcW w:w="1933" w:type="dxa"/>
            <w:noWrap/>
          </w:tcPr>
          <w:p w:rsidR="002F47F1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35,-</w:t>
            </w:r>
          </w:p>
        </w:tc>
        <w:tc>
          <w:tcPr>
            <w:tcW w:w="2043" w:type="dxa"/>
            <w:gridSpan w:val="2"/>
            <w:noWrap/>
          </w:tcPr>
          <w:p w:rsidR="002F47F1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140,-</w:t>
            </w:r>
          </w:p>
        </w:tc>
      </w:tr>
      <w:tr w:rsidR="002F47F1" w:rsidRPr="002F47F1" w:rsidTr="00011CA5">
        <w:trPr>
          <w:trHeight w:val="255"/>
        </w:trPr>
        <w:tc>
          <w:tcPr>
            <w:tcW w:w="4106" w:type="dxa"/>
            <w:noWrap/>
          </w:tcPr>
          <w:p w:rsidR="002F47F1" w:rsidRPr="002F47F1" w:rsidRDefault="002F47F1" w:rsidP="007B24CF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Doprava</w:t>
            </w:r>
          </w:p>
        </w:tc>
        <w:tc>
          <w:tcPr>
            <w:tcW w:w="1134" w:type="dxa"/>
            <w:noWrap/>
          </w:tcPr>
          <w:p w:rsidR="002F47F1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:rsidR="002F47F1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1.350,-</w:t>
            </w:r>
          </w:p>
        </w:tc>
        <w:tc>
          <w:tcPr>
            <w:tcW w:w="2043" w:type="dxa"/>
            <w:gridSpan w:val="2"/>
            <w:noWrap/>
          </w:tcPr>
          <w:p w:rsidR="002F47F1" w:rsidRPr="002F47F1" w:rsidRDefault="002F47F1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1.350,-</w:t>
            </w:r>
          </w:p>
        </w:tc>
      </w:tr>
      <w:tr w:rsidR="00B3237A" w:rsidRPr="002F47F1" w:rsidTr="00011CA5">
        <w:tc>
          <w:tcPr>
            <w:tcW w:w="7214" w:type="dxa"/>
            <w:gridSpan w:val="4"/>
            <w:tcBorders>
              <w:right w:val="nil"/>
            </w:tcBorders>
          </w:tcPr>
          <w:p w:rsidR="00B3237A" w:rsidRPr="002F47F1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2F47F1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:rsidR="00B3237A" w:rsidRPr="002F47F1" w:rsidRDefault="007B24CF" w:rsidP="002F47F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47F1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2F47F1" w:rsidRPr="002F47F1">
              <w:rPr>
                <w:rFonts w:ascii="Arial" w:hAnsi="Arial" w:cs="Arial"/>
                <w:b/>
                <w:sz w:val="21"/>
                <w:szCs w:val="21"/>
              </w:rPr>
              <w:t>55.640</w:t>
            </w:r>
            <w:r w:rsidR="00B3237A" w:rsidRPr="002F47F1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90102A" w:rsidRPr="00E57AA1" w:rsidRDefault="00A54CA4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18799D" w:rsidRDefault="0018799D" w:rsidP="00DE5A99">
      <w:pPr>
        <w:rPr>
          <w:rFonts w:cs="Arial"/>
          <w:sz w:val="21"/>
          <w:szCs w:val="21"/>
        </w:rPr>
      </w:pPr>
    </w:p>
    <w:p w:rsidR="007B24CF" w:rsidRPr="006F6BBE" w:rsidRDefault="007B24CF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A87FD9" w:rsidRDefault="00A87FD9" w:rsidP="00A87F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 w:rsidR="007B24CF"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2F47F1">
        <w:rPr>
          <w:rFonts w:cs="Arial"/>
          <w:b/>
          <w:sz w:val="21"/>
          <w:szCs w:val="21"/>
        </w:rPr>
        <w:t>24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2F47F1">
        <w:rPr>
          <w:rFonts w:cs="Arial"/>
          <w:b/>
          <w:sz w:val="21"/>
          <w:szCs w:val="21"/>
        </w:rPr>
        <w:t>3</w:t>
      </w:r>
      <w:r w:rsidR="00A54CA4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E57AA1">
        <w:rPr>
          <w:rFonts w:cs="Arial"/>
          <w:sz w:val="21"/>
          <w:szCs w:val="21"/>
        </w:rPr>
        <w:t xml:space="preserve">Mgr. </w:t>
      </w:r>
      <w:r w:rsidR="002F47F1">
        <w:rPr>
          <w:rFonts w:cs="Arial"/>
          <w:sz w:val="21"/>
          <w:szCs w:val="21"/>
        </w:rPr>
        <w:t>Filip Oulehle, Ph.D</w:t>
      </w:r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2F47F1">
        <w:rPr>
          <w:rFonts w:cs="Arial"/>
          <w:sz w:val="21"/>
          <w:szCs w:val="21"/>
        </w:rPr>
        <w:t>Ing. Eduard Suda</w:t>
      </w:r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smlouvou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:rsidR="00886DE1" w:rsidRDefault="00886DE1" w:rsidP="003D5369">
      <w:pPr>
        <w:ind w:left="0" w:firstLine="0"/>
        <w:rPr>
          <w:rFonts w:cs="Arial"/>
          <w:sz w:val="21"/>
          <w:szCs w:val="21"/>
        </w:rPr>
      </w:pPr>
    </w:p>
    <w:p w:rsidR="003B71F1" w:rsidRDefault="003B71F1" w:rsidP="003D5369">
      <w:pPr>
        <w:ind w:left="0" w:firstLine="0"/>
        <w:rPr>
          <w:rFonts w:cs="Arial"/>
          <w:sz w:val="21"/>
          <w:szCs w:val="21"/>
        </w:rPr>
      </w:pPr>
    </w:p>
    <w:p w:rsidR="003B71F1" w:rsidRPr="006F6BBE" w:rsidRDefault="003B71F1" w:rsidP="003D5369">
      <w:pPr>
        <w:ind w:left="0" w:firstLine="0"/>
        <w:rPr>
          <w:rFonts w:cs="Arial"/>
          <w:sz w:val="21"/>
          <w:szCs w:val="21"/>
        </w:rPr>
      </w:pPr>
      <w:bookmarkStart w:id="0" w:name="_GoBack"/>
      <w:bookmarkEnd w:id="0"/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3B71F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3B71F1">
              <w:rPr>
                <w:rFonts w:ascii="Arial" w:hAnsi="Arial" w:cs="Arial"/>
                <w:sz w:val="21"/>
                <w:szCs w:val="21"/>
              </w:rPr>
              <w:t> Hradci Králové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2F47F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2F47F1">
              <w:rPr>
                <w:rFonts w:ascii="Arial" w:hAnsi="Arial" w:cs="Arial"/>
                <w:sz w:val="21"/>
                <w:szCs w:val="21"/>
              </w:rPr>
              <w:t>Pavel Kahl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F47F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F47F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7F1">
              <w:rPr>
                <w:rFonts w:ascii="Arial" w:hAnsi="Arial" w:cs="Arial"/>
                <w:sz w:val="21"/>
                <w:szCs w:val="21"/>
              </w:rPr>
              <w:t>HELAGO-CZ, s.r.o.</w:t>
            </w: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51" w:rsidRDefault="00B45E51" w:rsidP="00E837B7">
      <w:pPr>
        <w:spacing w:before="0" w:after="0"/>
      </w:pPr>
      <w:r>
        <w:separator/>
      </w:r>
    </w:p>
  </w:endnote>
  <w:endnote w:type="continuationSeparator" w:id="0">
    <w:p w:rsidR="00B45E51" w:rsidRDefault="00B45E5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B71F1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B71F1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B45E5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B45E5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51" w:rsidRDefault="00B45E51" w:rsidP="00E837B7">
      <w:pPr>
        <w:spacing w:before="0" w:after="0"/>
      </w:pPr>
      <w:r>
        <w:separator/>
      </w:r>
    </w:p>
  </w:footnote>
  <w:footnote w:type="continuationSeparator" w:id="0">
    <w:p w:rsidR="00B45E51" w:rsidRDefault="00B45E5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2F47F1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Oscilační mlýn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2A45" w:rsidRDefault="00A32A45" w:rsidP="00E837B7">
    <w:pPr>
      <w:pStyle w:val="Zhlav"/>
      <w:jc w:val="center"/>
      <w:rPr>
        <w:rFonts w:cs="Arial"/>
      </w:rPr>
    </w:pP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1C93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47F1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B71F1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211CC"/>
    <w:rsid w:val="00527824"/>
    <w:rsid w:val="00544E72"/>
    <w:rsid w:val="0055374D"/>
    <w:rsid w:val="005579B0"/>
    <w:rsid w:val="00564919"/>
    <w:rsid w:val="0057367C"/>
    <w:rsid w:val="00575113"/>
    <w:rsid w:val="00575F0C"/>
    <w:rsid w:val="00576AC1"/>
    <w:rsid w:val="005A2BCE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B0C68"/>
    <w:rsid w:val="009B449A"/>
    <w:rsid w:val="009E4287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4B83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5E51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3247A"/>
    <w:rsid w:val="00C43690"/>
    <w:rsid w:val="00C459DF"/>
    <w:rsid w:val="00C52798"/>
    <w:rsid w:val="00C967DA"/>
    <w:rsid w:val="00CA2907"/>
    <w:rsid w:val="00CC0614"/>
    <w:rsid w:val="00CC3782"/>
    <w:rsid w:val="00CE3DDD"/>
    <w:rsid w:val="00D05A8A"/>
    <w:rsid w:val="00D36E39"/>
    <w:rsid w:val="00D376A3"/>
    <w:rsid w:val="00D643DA"/>
    <w:rsid w:val="00D90138"/>
    <w:rsid w:val="00D92994"/>
    <w:rsid w:val="00D9333D"/>
    <w:rsid w:val="00D97002"/>
    <w:rsid w:val="00DA7E4F"/>
    <w:rsid w:val="00DB6E45"/>
    <w:rsid w:val="00DC1641"/>
    <w:rsid w:val="00DD15CD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57AA1"/>
    <w:rsid w:val="00E64697"/>
    <w:rsid w:val="00E73A9C"/>
    <w:rsid w:val="00E8036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2FD2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461D-B159-4655-91E7-378E7EB8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Michal Minarik</cp:lastModifiedBy>
  <cp:revision>3</cp:revision>
  <cp:lastPrinted>2014-12-09T10:08:00Z</cp:lastPrinted>
  <dcterms:created xsi:type="dcterms:W3CDTF">2021-11-05T14:12:00Z</dcterms:created>
  <dcterms:modified xsi:type="dcterms:W3CDTF">2021-11-05T14:27:00Z</dcterms:modified>
</cp:coreProperties>
</file>