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400" w:firstLine="0"/>
        <w:jc w:val="right"/>
      </w:pPr>
      <w:r>
        <w:rPr>
          <w:rStyle w:val="CharStyle8"/>
        </w:rPr>
        <w:t>2021006910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5"/>
          <w:b/>
          <w:bCs/>
          <w:sz w:val="24"/>
          <w:szCs w:val="24"/>
        </w:rPr>
        <w:t>KUPNÍ SMLOUVA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center"/>
      </w:pPr>
      <w:r>
        <w:rPr>
          <w:rStyle w:val="CharStyle5"/>
        </w:rPr>
        <w:t>uzavřená v souladu s ustanovením § 2079 a násl. zákona č. 89/2012 Sb., občanský zákoník,</w:t>
        <w:br/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3230"/>
        <w:gridCol w:w="5885"/>
      </w:tblGrid>
      <w:tr>
        <w:trPr>
          <w:trHeight w:val="57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300" w:right="0" w:firstLine="20"/>
              <w:jc w:val="left"/>
            </w:pPr>
            <w:r>
              <w:rPr>
                <w:rStyle w:val="CharStyle19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Style w:val="CharStyle19"/>
              </w:rPr>
              <w:t>Kamenice 798/1 d, 625 00 Brno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Style w:val="CharStyle19"/>
              </w:rPr>
              <w:t>MUDr. Hana Albrechtová, ředitelka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300" w:right="0" w:firstLine="20"/>
              <w:jc w:val="left"/>
            </w:pPr>
            <w:r>
              <w:rPr>
                <w:rStyle w:val="CharStyle19"/>
                <w:spacing w:val="2"/>
                <w:shd w:val="clear" w:color="auto" w:fill="000000"/>
              </w:rPr>
              <w:t>.....</w:t>
            </w:r>
            <w:r>
              <w:rPr>
                <w:rStyle w:val="CharStyle19"/>
                <w:spacing w:val="3"/>
                <w:shd w:val="clear" w:color="auto" w:fill="000000"/>
              </w:rPr>
              <w:t>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2"/>
                <w:shd w:val="clear" w:color="auto" w:fill="000000"/>
              </w:rPr>
              <w:t>........</w:t>
            </w:r>
            <w:r>
              <w:rPr>
                <w:rStyle w:val="CharStyle19"/>
                <w:spacing w:val="3"/>
                <w:shd w:val="clear" w:color="auto" w:fill="000000"/>
              </w:rPr>
              <w:t>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2"/>
                <w:shd w:val="clear" w:color="auto" w:fill="000000"/>
              </w:rPr>
              <w:t>...........</w:t>
            </w:r>
            <w:r>
              <w:rPr>
                <w:rStyle w:val="CharStyle19"/>
                <w:spacing w:val="3"/>
                <w:shd w:val="clear" w:color="auto" w:fill="000000"/>
              </w:rPr>
              <w:t>.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9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9"/>
                <w:spacing w:val="1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9"/>
                <w:spacing w:val="2"/>
                <w:u w:val="single"/>
                <w:shd w:val="clear" w:color="auto" w:fill="000000"/>
                <w:lang w:val="en-US" w:eastAsia="en-US" w:bidi="en-US"/>
              </w:rPr>
              <w:t>.....</w:t>
            </w:r>
            <w:r>
              <w:rPr>
                <w:rStyle w:val="CharStyle19"/>
                <w:spacing w:val="8"/>
                <w:shd w:val="clear" w:color="auto" w:fill="000000"/>
                <w:lang w:val="en-US" w:eastAsia="en-US" w:bidi="en-US"/>
              </w:rPr>
              <w:t>.....</w:t>
            </w:r>
            <w:r>
              <w:rPr>
                <w:rStyle w:val="CharStyle19"/>
                <w:spacing w:val="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9"/>
                <w:spacing w:val="4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9"/>
                <w:spacing w:val="5"/>
                <w:u w:val="single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19"/>
                <w:spacing w:val="-12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9"/>
                <w:spacing w:val="4"/>
                <w:u w:val="single"/>
                <w:shd w:val="clear" w:color="auto" w:fill="000000"/>
                <w:lang w:val="en-US" w:eastAsia="en-US" w:bidi="en-US"/>
              </w:rPr>
              <w:t>.....</w:t>
            </w:r>
            <w:r>
              <w:rPr>
                <w:rStyle w:val="CharStyle19"/>
                <w:spacing w:val="5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8"/>
                <w:shd w:val="clear" w:color="auto" w:fill="000000"/>
              </w:rPr>
              <w:t>.....</w:t>
            </w:r>
            <w:r>
              <w:rPr>
                <w:rStyle w:val="CharStyle19"/>
                <w:spacing w:val="9"/>
                <w:shd w:val="clear" w:color="auto" w:fill="000000"/>
              </w:rPr>
              <w:t>.</w:t>
            </w:r>
            <w:r>
              <w:rPr>
                <w:rStyle w:val="CharStyle19"/>
                <w:shd w:val="clear" w:color="auto" w:fill="000000"/>
              </w:rPr>
              <w:t>​...</w:t>
            </w:r>
            <w:r>
              <w:rPr>
                <w:rStyle w:val="CharStyle19"/>
                <w:spacing w:val="1"/>
                <w:shd w:val="clear" w:color="auto" w:fill="000000"/>
              </w:rPr>
              <w:t>......</w:t>
            </w:r>
            <w:r>
              <w:rPr>
                <w:rStyle w:val="CharStyle19"/>
                <w:shd w:val="clear" w:color="auto" w:fill="000000"/>
              </w:rPr>
              <w:t>​.......​</w:t>
            </w:r>
            <w:r>
              <w:rPr>
                <w:rStyle w:val="CharStyle19"/>
                <w:spacing w:val="7"/>
                <w:shd w:val="clear" w:color="auto" w:fill="000000"/>
              </w:rPr>
              <w:t>...</w:t>
            </w:r>
            <w:r>
              <w:rPr>
                <w:rStyle w:val="CharStyle19"/>
                <w:spacing w:val="8"/>
                <w:shd w:val="clear" w:color="auto" w:fill="000000"/>
              </w:rPr>
              <w:t>...</w:t>
            </w:r>
            <w:r>
              <w:rPr>
                <w:rStyle w:val="CharStyle19"/>
                <w:shd w:val="clear" w:color="auto" w:fill="000000"/>
              </w:rPr>
              <w:t>​......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00346292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CZ00346292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Krajský soud v Brně sp. zn. Pr 1245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MONETA Money Bank, a.s., č. ú</w:t>
            </w:r>
            <w:r>
              <w:rPr>
                <w:rStyle w:val="CharStyle19"/>
                <w:shd w:val="clear" w:color="auto" w:fill="000000"/>
              </w:rPr>
              <w:t>..​</w:t>
            </w:r>
            <w:r>
              <w:rPr>
                <w:rStyle w:val="CharStyle19"/>
                <w:spacing w:val="1"/>
                <w:shd w:val="clear" w:color="auto" w:fill="000000"/>
              </w:rPr>
              <w:t>.......</w:t>
            </w:r>
            <w:r>
              <w:rPr>
                <w:rStyle w:val="CharStyle19"/>
                <w:spacing w:val="2"/>
                <w:shd w:val="clear" w:color="auto" w:fill="000000"/>
              </w:rPr>
              <w:t>...................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22"/>
          <w:szCs w:val="22"/>
        </w:rPr>
      </w:pPr>
      <w:r>
        <w:rPr>
          <w:rStyle w:val="CharStyle15"/>
          <w:sz w:val="22"/>
          <w:szCs w:val="22"/>
        </w:rPr>
        <w:t xml:space="preserve">(dále jen </w:t>
      </w:r>
      <w:r>
        <w:rPr>
          <w:rStyle w:val="CharStyle15"/>
          <w:b/>
          <w:bCs/>
          <w:i/>
          <w:iCs/>
          <w:sz w:val="22"/>
          <w:szCs w:val="22"/>
        </w:rPr>
        <w:t>„kupující“</w:t>
      </w: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230"/>
        <w:gridCol w:w="5885"/>
      </w:tblGrid>
      <w:tr>
        <w:trPr>
          <w:trHeight w:val="67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  <w:b/>
                <w:bCs/>
              </w:rPr>
              <w:t>Monttel spol.s r.o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Tř.kapitána Jaroše 37a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Marek Ševčík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  <w:shd w:val="clear" w:color="auto" w:fill="000000"/>
              </w:rPr>
              <w:t>...........​</w:t>
            </w:r>
            <w:r>
              <w:rPr>
                <w:rStyle w:val="CharStyle19"/>
                <w:spacing w:val="5"/>
                <w:shd w:val="clear" w:color="auto" w:fill="000000"/>
              </w:rPr>
              <w:t>..........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65278208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CZ65278208</w:t>
            </w:r>
          </w:p>
        </w:tc>
      </w:tr>
      <w:tr>
        <w:trPr>
          <w:trHeight w:val="7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Zápis v OR: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300" w:right="0" w:firstLine="20"/>
              <w:jc w:val="left"/>
            </w:pPr>
            <w:r>
              <w:rPr>
                <w:rStyle w:val="CharStyle19"/>
              </w:rPr>
              <w:t>Krajský soud v Brně sp. z</w:t>
            </w:r>
            <w:r>
              <w:rPr>
                <w:rStyle w:val="CharStyle19"/>
                <w:shd w:val="clear" w:color="auto" w:fill="000000"/>
              </w:rPr>
              <w:t>..</w:t>
            </w:r>
            <w:r>
              <w:rPr>
                <w:rStyle w:val="CharStyle19"/>
              </w:rPr>
              <w:t xml:space="preserve">. C 23195-KSBR 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1"/>
                <w:shd w:val="clear" w:color="auto" w:fill="000000"/>
              </w:rPr>
              <w:t>........</w:t>
            </w:r>
            <w:r>
              <w:rPr>
                <w:rStyle w:val="CharStyle19"/>
                <w:spacing w:val="2"/>
                <w:shd w:val="clear" w:color="auto" w:fill="000000"/>
              </w:rPr>
              <w:t>...</w:t>
            </w:r>
            <w:r>
              <w:rPr>
                <w:rStyle w:val="CharStyle19"/>
                <w:shd w:val="clear" w:color="auto" w:fill="000000"/>
              </w:rPr>
              <w:t>​...........................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2"/>
          <w:szCs w:val="22"/>
        </w:rPr>
      </w:pPr>
      <w:r>
        <w:rPr>
          <w:rStyle w:val="CharStyle15"/>
          <w:sz w:val="22"/>
          <w:szCs w:val="22"/>
        </w:rPr>
        <w:t xml:space="preserve">(dále jen </w:t>
      </w:r>
      <w:r>
        <w:rPr>
          <w:rStyle w:val="CharStyle15"/>
          <w:b/>
          <w:bCs/>
          <w:i/>
          <w:iCs/>
          <w:sz w:val="22"/>
          <w:szCs w:val="22"/>
        </w:rPr>
        <w:t>„prodávající'</w:t>
      </w:r>
    </w:p>
    <w:p>
      <w:pPr>
        <w:widowControl w:val="0"/>
        <w:spacing w:after="899" w:line="1" w:lineRule="exact"/>
      </w:pP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69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69" w:lineRule="auto"/>
        <w:ind w:left="0" w:right="0" w:firstLine="0"/>
        <w:jc w:val="left"/>
      </w:pPr>
      <w:r>
        <w:rPr>
          <w:rStyle w:val="CharStyle5"/>
        </w:rPr>
        <w:t>Prodávající je oprávněn na základě svého vlastnického práva nakládat se zbožím v podobě: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after="300" w:line="269" w:lineRule="auto"/>
        <w:ind w:left="0" w:right="0" w:firstLine="0"/>
        <w:jc w:val="left"/>
      </w:pPr>
      <w:r>
        <w:rPr>
          <w:rStyle w:val="CharStyle5"/>
        </w:rPr>
        <w:t>ks přístroje gateway-router PATTON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69" w:lineRule="auto"/>
        <w:ind w:left="0" w:right="0" w:firstLine="0"/>
        <w:jc w:val="both"/>
      </w:pPr>
      <w:r>
        <w:rPr>
          <w:rStyle w:val="CharStyle5"/>
        </w:rPr>
        <w:t>Podrobná specifikace tohoto zboží je uvedena v příloze č. 1, která je nedílnou součástí této kupní smlouvy.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69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69" w:lineRule="auto"/>
        <w:ind w:left="0" w:right="0" w:firstLine="0"/>
        <w:jc w:val="both"/>
      </w:pPr>
      <w:r>
        <w:rPr>
          <w:rStyle w:val="CharStyle5"/>
        </w:rPr>
        <w:t xml:space="preserve">Prodávající prodává zboží podle čl. 1 této smlouvy se všemi jeho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kjeho </w:t>
      </w:r>
      <w:r>
        <w:rPr>
          <w:rStyle w:val="CharStyle5"/>
        </w:rPr>
        <w:t>obsluze, a dokladů prokazujících shodu, to vše v českém jazyce, a v tištěné i elektronické podobě, instalace zboží a jeho uvedení do provozu a zaškolení obsluhy.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Prodávající se zavazuje splnit svůj závazek k dodání zboží podle čl. 1 této smlouvy nejpozději 14-ti dnů ode dne účinnosti této smlouvy, a to v místě splnění tohoto závazku, kterým je sídlo kupujícího: Kamenice 798/1 d, 625 00 Brno.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5"/>
        </w:rPr>
        <w:t>Kupující se zavazuje zaplatit prodávajícímu za předmět koupě a prodeje podle čl. 1 této smlouvy celkovou kupní cenu ve výši: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66" w:val="left"/>
        </w:tabs>
        <w:bidi w:val="0"/>
        <w:spacing w:before="0" w:after="40"/>
        <w:ind w:left="0" w:right="0" w:firstLine="0"/>
        <w:jc w:val="center"/>
      </w:pPr>
      <w:r>
        <w:rPr>
          <w:rStyle w:val="CharStyle5"/>
          <w:b/>
          <w:bCs/>
        </w:rPr>
        <w:t xml:space="preserve">- </w:t>
      </w:r>
      <w:r>
        <w:rPr>
          <w:rStyle w:val="CharStyle5"/>
        </w:rPr>
        <w:t xml:space="preserve">Kč bez DPH, tj. </w:t>
      </w:r>
      <w:r>
        <w:rPr>
          <w:rStyle w:val="CharStyle5"/>
          <w:b/>
          <w:bCs/>
        </w:rPr>
        <w:t xml:space="preserve">155.818,- </w:t>
      </w:r>
      <w:r>
        <w:rPr>
          <w:rStyle w:val="CharStyle5"/>
        </w:rPr>
        <w:t>Kč včetně DPH.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</w:t>
      </w:r>
      <w:r>
        <w:rPr>
          <w:rStyle w:val="CharStyle5"/>
          <w:shd w:val="clear" w:color="auto" w:fill="000000"/>
        </w:rPr>
        <w:t>.</w:t>
      </w:r>
      <w:r>
        <w:rPr>
          <w:rStyle w:val="CharStyle5"/>
          <w:shd w:val="clear" w:color="auto" w:fill="000000"/>
          <w:lang w:val="en-US" w:eastAsia="en-US" w:bidi="en-US"/>
        </w:rPr>
        <w:t>​</w:t>
      </w:r>
      <w:r>
        <w:rPr>
          <w:rStyle w:val="CharStyle5"/>
          <w:spacing w:val="1"/>
          <w:shd w:val="clear" w:color="auto" w:fill="000000"/>
          <w:lang w:val="en-US" w:eastAsia="en-US" w:bidi="en-US"/>
        </w:rPr>
        <w:t>......</w:t>
      </w:r>
      <w:r>
        <w:rPr>
          <w:rStyle w:val="CharStyle5"/>
          <w:spacing w:val="2"/>
          <w:shd w:val="clear" w:color="auto" w:fill="000000"/>
          <w:lang w:val="en-US" w:eastAsia="en-US" w:bidi="en-US"/>
        </w:rPr>
        <w:t>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5"/>
          <w:spacing w:val="3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5"/>
          <w:spacing w:val="3"/>
          <w:shd w:val="clear" w:color="auto" w:fill="000000"/>
          <w:lang w:val="en-US" w:eastAsia="en-US" w:bidi="en-US"/>
        </w:rPr>
        <w:t>...</w:t>
      </w:r>
      <w:r>
        <w:rPr>
          <w:rStyle w:val="CharStyle5"/>
          <w:spacing w:val="4"/>
          <w:shd w:val="clear" w:color="auto" w:fill="000000"/>
          <w:lang w:val="en-US" w:eastAsia="en-US" w:bidi="en-US"/>
        </w:rPr>
        <w:t>....</w:t>
      </w:r>
      <w:r>
        <w:rPr>
          <w:rStyle w:val="CharStyle5"/>
          <w:shd w:val="clear" w:color="auto" w:fill="000000"/>
        </w:rPr>
        <w:t>​...</w:t>
      </w:r>
      <w:r>
        <w:rPr>
          <w:rStyle w:val="CharStyle5"/>
          <w:shd w:val="clear" w:color="auto" w:fill="000000"/>
          <w:lang w:val="en-US" w:eastAsia="en-US" w:bidi="en-US"/>
        </w:rPr>
        <w:t>​..............................</w:t>
      </w:r>
      <w:r>
        <w:rPr>
          <w:rStyle w:val="CharStyle5"/>
          <w:spacing w:val="1"/>
          <w:shd w:val="clear" w:color="auto" w:fill="000000"/>
          <w:lang w:val="en-US" w:eastAsia="en-US" w:bidi="en-US"/>
        </w:rPr>
        <w:t>.....</w:t>
      </w:r>
      <w:r>
        <w:rPr>
          <w:rStyle w:val="CharStyle5"/>
          <w:shd w:val="clear" w:color="auto" w:fill="000000"/>
          <w:lang w:val="en-US" w:eastAsia="en-US" w:bidi="en-US"/>
        </w:rPr>
        <w:t>.</w:t>
      </w:r>
      <w:r>
        <w:rPr>
          <w:rStyle w:val="CharStyle5"/>
          <w:b/>
          <w:bCs/>
        </w:rPr>
        <w:t xml:space="preserve">a </w:t>
      </w:r>
      <w:r>
        <w:rPr>
          <w:rStyle w:val="CharStyle5"/>
        </w:rPr>
        <w:t xml:space="preserve">musí obsahovat mimo jiné toto číslo veřejné zakázky: </w:t>
      </w:r>
      <w:r>
        <w:rPr>
          <w:rStyle w:val="CharStyle5"/>
          <w:b/>
          <w:bCs/>
        </w:rPr>
        <w:t xml:space="preserve">P21V00002463. </w:t>
      </w:r>
      <w:r>
        <w:rPr>
          <w:rStyle w:val="CharStyle5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rStyle w:val="CharStyle5"/>
        </w:rPr>
        <w:t>S převodem zboží podle čl. 1 této smlouvy spojena záruka za jeho jakost v trvání 24 měsíců ode dne splnění závazku prodávajícího k dodání tohoto zboží. V rámci této záruky se prodávající zavazuje odstraňovat vady na zboží podle čl. 1 této smlouvy ve lhůtě do 5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both"/>
      </w:pPr>
      <w:r>
        <w:rPr>
          <w:rStyle w:val="CharStyle5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both"/>
      </w:pPr>
      <w:r>
        <w:rPr>
          <w:rStyle w:val="CharStyle5"/>
        </w:rPr>
        <w:t>Není-li touto smlouvou ujednáno jinak, řídí se vzájemný právní vztah mezi kupujícím a prodávajícím při realizaci této smlouvy ustanovením § 2079 a násl. občanského zákoníku.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5"/>
        </w:rPr>
        <w:t>Tuto smlouvu lze změnit nebo zrušit pouze jinou písemnou dohodou obou smluvních stran.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5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rStyle w:val="CharStyle5"/>
        </w:rPr>
        <w:t>Tato smlouva nabývá účinnosti dnem jejího uveřejnění v registru smluv dle čl. 16.</w:t>
      </w:r>
      <w:r>
        <w:br w:type="page"/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left"/>
      </w:pP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pStyle w:val="Style35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40" w:line="271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40" w:line="271" w:lineRule="auto"/>
        <w:ind w:left="0" w:right="0" w:firstLine="0"/>
        <w:jc w:val="left"/>
      </w:pPr>
      <w:r>
        <w:rPr>
          <w:rStyle w:val="CharStyle5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80" w:line="240" w:lineRule="auto"/>
        <w:ind w:left="0" w:right="0" w:firstLine="0"/>
        <w:jc w:val="left"/>
      </w:pPr>
      <w:r>
        <w:rPr>
          <w:rStyle w:val="CharStyle5"/>
        </w:rPr>
        <w:t xml:space="preserve">V Brně dne </w:t>
      </w:r>
      <w:r>
        <w:rPr>
          <w:rStyle w:val="CharStyle5"/>
          <w:color w:val="1E45C4"/>
        </w:rPr>
        <w:t>'ty.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40" w:after="40" w:line="240" w:lineRule="auto"/>
        <w:ind w:left="0" w:right="0" w:firstLine="0"/>
        <w:jc w:val="left"/>
      </w:pPr>
      <w:r>
        <w:drawing>
          <wp:anchor distT="0" distB="277495" distL="129540" distR="114300" simplePos="0" relativeHeight="125829378" behindDoc="0" locked="0" layoutInCell="1" allowOverlap="1">
            <wp:simplePos x="0" y="0"/>
            <wp:positionH relativeFrom="page">
              <wp:posOffset>871855</wp:posOffset>
            </wp:positionH>
            <wp:positionV relativeFrom="margin">
              <wp:posOffset>3615055</wp:posOffset>
            </wp:positionV>
            <wp:extent cx="1987550" cy="44513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87550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margin">
                  <wp:posOffset>4160520</wp:posOffset>
                </wp:positionV>
                <wp:extent cx="1572895" cy="17399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2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7.450000000000003pt;margin-top:327.60000000000002pt;width:123.85000000000001pt;height:13.7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CharStyle5"/>
        </w:rPr>
        <w:t>ředitelka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  <w:i/>
          <w:iCs/>
          <w:sz w:val="22"/>
          <w:szCs w:val="22"/>
        </w:rPr>
        <w:t>Kupující</w:t>
      </w:r>
      <w:r>
        <w:rPr>
          <w:rStyle w:val="CharStyle5"/>
          <w:b/>
          <w:bCs/>
          <w:w w:val="70"/>
          <w:sz w:val="22"/>
          <w:szCs w:val="22"/>
        </w:rPr>
        <w:t xml:space="preserve"> </w:t>
      </w:r>
      <w:r>
        <w:rPr>
          <w:rStyle w:val="CharStyle5"/>
          <w:b/>
          <w:bCs/>
          <w:color w:val="66B2E6"/>
          <w:w w:val="70"/>
          <w:sz w:val="22"/>
          <w:szCs w:val="22"/>
        </w:rPr>
        <w:t>Zdravotnická záchranná služba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49"/>
        </w:rPr>
        <w:t>Jihomoravského kraje, p.o.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1120" w:right="0" w:firstLine="0"/>
        <w:jc w:val="left"/>
      </w:pPr>
      <w:r>
        <w:rPr>
          <w:rStyle w:val="CharStyle49"/>
        </w:rPr>
        <w:t>Kamenice 788/1 d, 625 00 Brno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360"/>
        <w:ind w:left="228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213" w:right="936" w:bottom="1530" w:left="1306" w:header="785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353695" distB="634365" distL="114300" distR="114300" simplePos="0" relativeHeight="125829379" behindDoc="0" locked="0" layoutInCell="1" allowOverlap="1">
            <wp:simplePos x="0" y="0"/>
            <wp:positionH relativeFrom="page">
              <wp:posOffset>4072255</wp:posOffset>
            </wp:positionH>
            <wp:positionV relativeFrom="margin">
              <wp:posOffset>3048000</wp:posOffset>
            </wp:positionV>
            <wp:extent cx="2310130" cy="102997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310130" cy="10299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4154805</wp:posOffset>
                </wp:positionH>
                <wp:positionV relativeFrom="margin">
                  <wp:posOffset>2694305</wp:posOffset>
                </wp:positionV>
                <wp:extent cx="1447800" cy="17399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25.10.2021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7.15000000000003pt;margin-top:212.15000000000001pt;width:114.pt;height:13.7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25.10.2021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54150" distB="0" distL="193675" distR="1464945" simplePos="0" relativeHeight="125829380" behindDoc="0" locked="0" layoutInCell="1" allowOverlap="1">
                <wp:simplePos x="0" y="0"/>
                <wp:positionH relativeFrom="page">
                  <wp:posOffset>4151630</wp:posOffset>
                </wp:positionH>
                <wp:positionV relativeFrom="margin">
                  <wp:posOffset>4148455</wp:posOffset>
                </wp:positionV>
                <wp:extent cx="877570" cy="56070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Marek Ševčík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6.90000000000003pt;margin-top:326.65000000000003pt;width:69.100000000000009pt;height:44.149999999999999pt;z-index:-125829373;mso-wrap-distance-left:15.25pt;mso-wrap-distance-top:114.5pt;mso-wrap-distance-right:115.3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Marek Ševčík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Jednatel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Prodávající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CharStyle49"/>
        </w:rPr>
        <w:t>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Příloha č. 1 Ceník a Technická specifikace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62" w:right="668" w:bottom="4641" w:left="1575" w:header="1034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95300" distB="0" distL="0" distR="0" simplePos="0" relativeHeight="12582938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495300</wp:posOffset>
                </wp:positionV>
                <wp:extent cx="2216150" cy="5397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6150" cy="539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38" w:name="bookmark38"/>
                            <w:r>
                              <w:rPr>
                                <w:rStyle w:val="CharStyle36"/>
                                <w:b/>
                                <w:bCs/>
                              </w:rPr>
                              <w:t>ISDN konektivita ( pro 4 x 30 kanálů)</w:t>
                            </w:r>
                            <w:bookmarkEnd w:id="38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Název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i/>
                                <w:iCs/>
                              </w:rPr>
                              <w:t>systém Patton GW: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3.049999999999997pt;margin-top:39.pt;width:174.5pt;height:42.5pt;z-index:-125829371;mso-wrap-distance-left:0;mso-wrap-distance-top:39.pt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38" w:name="bookmark38"/>
                      <w:r>
                        <w:rPr>
                          <w:rStyle w:val="CharStyle36"/>
                          <w:b/>
                          <w:bCs/>
                        </w:rPr>
                        <w:t>ISDN konektivita ( pro 4 x 30 kanálů)</w:t>
                      </w:r>
                      <w:bookmarkEnd w:id="38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Název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i/>
                          <w:iCs/>
                        </w:rPr>
                        <w:t>systém Patton GW: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7845" distB="368935" distL="0" distR="0" simplePos="0" relativeHeight="125829384" behindDoc="0" locked="0" layoutInCell="1" allowOverlap="1">
                <wp:simplePos x="0" y="0"/>
                <wp:positionH relativeFrom="page">
                  <wp:posOffset>4385945</wp:posOffset>
                </wp:positionH>
                <wp:positionV relativeFrom="paragraph">
                  <wp:posOffset>537845</wp:posOffset>
                </wp:positionV>
                <wp:extent cx="420370" cy="12827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Cena/ks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45.35000000000002pt;margin-top:42.350000000000001pt;width:33.100000000000001pt;height:10.1pt;z-index:-125829369;mso-wrap-distance-left:0;mso-wrap-distance-top:42.350000000000001pt;mso-wrap-distance-right:0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Cena/ks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9100" distB="378460" distL="0" distR="0" simplePos="0" relativeHeight="125829386" behindDoc="0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419100</wp:posOffset>
                </wp:positionV>
                <wp:extent cx="1917065" cy="2374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7065" cy="2374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32"/>
                              <w:gridCol w:w="2587"/>
                            </w:tblGrid>
                            <w:tr>
                              <w:trPr>
                                <w:tblHeader/>
                                <w:trHeight w:val="18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2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Celkem bez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465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harStyle19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DPH</w:t>
                                    <w:tab/>
                                    <w:t>Celkem s DPH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6.35000000000002pt;margin-top:33.pt;width:150.95000000000002pt;height:18.699999999999999pt;z-index:-125829367;mso-wrap-distance-left:0;mso-wrap-distance-top:33.pt;mso-wrap-distance-right:0;mso-wrap-distance-bottom:29.80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32"/>
                        <w:gridCol w:w="2587"/>
                      </w:tblGrid>
                      <w:tr>
                        <w:trPr>
                          <w:tblHeader/>
                          <w:trHeight w:val="18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6"/>
                                <w:szCs w:val="16"/>
                              </w:rPr>
                              <w:t>Celkem bez</w:t>
                            </w:r>
                          </w:p>
                        </w:tc>
                      </w:tr>
                      <w:tr>
                        <w:trPr>
                          <w:trHeight w:val="19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6"/>
                                <w:szCs w:val="1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6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  <w:sz w:val="16"/>
                                <w:szCs w:val="16"/>
                              </w:rPr>
                              <w:t>DPH</w:t>
                              <w:tab/>
                              <w:t>Celkem s DPH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12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62" w:right="0" w:bottom="1462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6562"/>
        <w:gridCol w:w="1771"/>
        <w:gridCol w:w="1301"/>
      </w:tblGrid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34" w:h="696" w:vSpace="1090" w:wrap="notBeside" w:vAnchor="text" w:hAnchor="text" w:x="13" w:y="10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Cena materiálu celkem: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34" w:h="696" w:vSpace="1090" w:wrap="notBeside" w:vAnchor="text" w:hAnchor="text" w:x="13" w:y="10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122 062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34" w:h="696" w:vSpace="1090" w:wrap="notBeside" w:vAnchor="text" w:hAnchor="text" w:x="13" w:y="10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147 695 Kč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34" w:h="696" w:vSpace="1090" w:wrap="notBeside" w:vAnchor="text" w:hAnchor="text" w:x="13" w:y="10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Instalace a konfigurace výše uvedených komponentů, vč. dopravy: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34" w:h="696" w:vSpace="1090" w:wrap="notBeside" w:vAnchor="text" w:hAnchor="text" w:x="13" w:y="10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6 713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9634" w:h="696" w:vSpace="1090" w:wrap="notBeside" w:vAnchor="text" w:hAnchor="text" w:x="13" w:y="10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8 123 Kč</w:t>
            </w:r>
          </w:p>
        </w:tc>
      </w:tr>
    </w:tbl>
    <w:p>
      <w:pPr>
        <w:pStyle w:val="Style14"/>
        <w:keepNext w:val="0"/>
        <w:keepLines w:val="0"/>
        <w:framePr w:w="4786" w:h="763" w:hSpace="12" w:wrap="notBeside" w:vAnchor="text" w:hAnchor="text" w:x="8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Gateway-router PATTON, 4 x E1/PRI, (isdn30) GigEthernet, VolP Channels SIP 4 E1/PRI, VolP Calls , Failover relay, High Precision 5ppm Clock, optional SIP-TLS, SRTP, 1x Gig Ethernet, external Ul power (100-240 VAC) NA/EU</w:t>
      </w:r>
    </w:p>
    <w:p>
      <w:pPr>
        <w:pStyle w:val="Style14"/>
        <w:keepNext w:val="0"/>
        <w:keepLines w:val="0"/>
        <w:framePr w:w="4262" w:h="250" w:hSpace="12" w:wrap="notBeside" w:vAnchor="text" w:hAnchor="text" w:x="5250" w:y="515"/>
        <w:widowControl w:val="0"/>
        <w:shd w:val="clear" w:color="auto" w:fill="auto"/>
        <w:tabs>
          <w:tab w:pos="1930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5"/>
          <w:sz w:val="20"/>
          <w:szCs w:val="20"/>
        </w:rPr>
        <w:t>122 062 Kč 1</w:t>
        <w:tab/>
        <w:t>122 062 Kč 147 695 Kč</w:t>
      </w:r>
    </w:p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  <w:rPr>
          <w:sz w:val="20"/>
          <w:szCs w:val="20"/>
        </w:rPr>
      </w:pPr>
      <w:r>
        <w:rPr>
          <w:rStyle w:val="CharStyle15"/>
          <w:i/>
          <w:iCs/>
          <w:sz w:val="20"/>
          <w:szCs w:val="20"/>
        </w:rPr>
        <w:t>Instalace nezahrnuje práce na kabelovém vedení.</w:t>
      </w:r>
    </w:p>
    <w:tbl>
      <w:tblPr>
        <w:tblOverlap w:val="never"/>
        <w:jc w:val="center"/>
        <w:tblLayout w:type="fixed"/>
      </w:tblPr>
      <w:tblGrid>
        <w:gridCol w:w="8333"/>
        <w:gridCol w:w="1310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70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Cena celkem bez DPH</w:t>
              <w:tab/>
              <w:t>128 775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9"/>
                <w:b/>
                <w:bCs/>
              </w:rPr>
              <w:t>155 818 Kč</w:t>
            </w:r>
          </w:p>
        </w:tc>
      </w:tr>
    </w:tbl>
    <w:p>
      <w:pPr>
        <w:widowControl w:val="0"/>
        <w:spacing w:after="247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0" w:name="bookmark40"/>
      <w:r>
        <w:rPr>
          <w:rStyle w:val="CharStyle36"/>
          <w:b/>
          <w:bCs/>
        </w:rPr>
        <w:t>Příloha č. 1 - Technická specifikace</w:t>
      </w:r>
      <w:bookmarkEnd w:id="40"/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6"/>
          <w:b/>
          <w:bCs/>
        </w:rPr>
        <w:t>Technická specifikace: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Gateway-router PATTON,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4 x E1/PRI, (isdn30) GigEthernet,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VolP Channels SIP 4 E1/PRI,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VolP Calls , Failover relay,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  <w:tab w:pos="690" w:val="left"/>
        </w:tabs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High Precision 5ppm Clock,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optional SIP-TLS, SRTP,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1x Gig Ethernet, external Ul power (100-240 VAC) NA/EU,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left"/>
        <w:rPr>
          <w:sz w:val="20"/>
          <w:szCs w:val="20"/>
        </w:rPr>
      </w:pPr>
      <w:r>
        <w:rPr>
          <w:rStyle w:val="CharStyle5"/>
          <w:sz w:val="20"/>
          <w:szCs w:val="20"/>
        </w:rPr>
        <w:t>Instalace, konfigurace,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62" w:right="668" w:bottom="1462" w:left="157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1015365</wp:posOffset>
              </wp:positionH>
              <wp:positionV relativeFrom="page">
                <wp:posOffset>10234295</wp:posOffset>
              </wp:positionV>
              <wp:extent cx="1825625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56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24_2021: Gateway-router Patton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9.950000000000003pt;margin-top:805.85000000000002pt;width:143.75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20"/>
                        <w:szCs w:val="20"/>
                      </w:rPr>
                      <w:t>24_2021: Gateway-router Patton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775"/>
      <w:numFmt w:val="decimal"/>
      <w:lvlText w:val="%1.%2,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6">
    <w:name w:val="Nadpis #1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9">
    <w:name w:val="Základní text (2)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color w:val="66B2E6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auto"/>
      <w:spacing w:after="80"/>
    </w:pPr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after="2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5">
    <w:name w:val="Nadpis #1"/>
    <w:basedOn w:val="Normal"/>
    <w:link w:val="CharStyle36"/>
    <w:pPr>
      <w:widowControl w:val="0"/>
      <w:shd w:val="clear" w:color="auto" w:fill="auto"/>
      <w:spacing w:after="60" w:line="276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8">
    <w:name w:val="Základní text (2)"/>
    <w:basedOn w:val="Normal"/>
    <w:link w:val="CharStyle49"/>
    <w:pPr>
      <w:widowControl w:val="0"/>
      <w:shd w:val="clear" w:color="auto" w:fill="auto"/>
      <w:spacing w:after="180" w:line="233" w:lineRule="auto"/>
      <w:ind w:left="12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6B2E6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