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BA" w:rsidRDefault="00E27B1D">
      <w:pPr>
        <w:pStyle w:val="Style2"/>
        <w:spacing w:before="600" w:after="340" w:line="240" w:lineRule="auto"/>
        <w:jc w:val="center"/>
      </w:pPr>
      <w:r>
        <w:rPr>
          <w:sz w:val="28"/>
          <w:szCs w:val="28"/>
        </w:rPr>
        <w:t>Smlouva o poskytování služby detekce mimořádných situací,</w:t>
      </w:r>
      <w:r>
        <w:rPr>
          <w:sz w:val="28"/>
          <w:szCs w:val="28"/>
        </w:rPr>
        <w:br/>
      </w:r>
      <w:r>
        <w:rPr>
          <w:i/>
          <w:iCs/>
        </w:rPr>
        <w:t>uzavřená jako inominátní, dle par. 1746, odst. 2, zákona č. 89/2012 Sb., Občanský zákoník, v</w:t>
      </w:r>
      <w:r>
        <w:rPr>
          <w:i/>
          <w:iCs/>
        </w:rPr>
        <w:br/>
        <w:t>platném znění (dále jen: „zákon").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15"/>
        <w:gridCol w:w="6398"/>
      </w:tblGrid>
      <w:tr w:rsidR="00220DBA">
        <w:tblPrEx>
          <w:tblCellMar>
            <w:top w:w="0" w:type="dxa"/>
            <w:bottom w:w="0" w:type="dxa"/>
          </w:tblCellMar>
        </w:tblPrEx>
        <w:trPr>
          <w:trHeight w:hRule="exact" w:val="1277"/>
          <w:jc w:val="center"/>
        </w:trPr>
        <w:tc>
          <w:tcPr>
            <w:tcW w:w="2515" w:type="dxa"/>
            <w:shd w:val="clear" w:color="auto" w:fill="auto"/>
          </w:tcPr>
          <w:p w:rsidR="00220DBA" w:rsidRDefault="00E27B1D">
            <w:pPr>
              <w:pStyle w:val="Style10"/>
              <w:numPr>
                <w:ilvl w:val="0"/>
                <w:numId w:val="1"/>
              </w:numPr>
              <w:tabs>
                <w:tab w:val="left" w:pos="523"/>
              </w:tabs>
              <w:spacing w:after="0" w:line="346" w:lineRule="auto"/>
            </w:pPr>
            <w:r>
              <w:rPr>
                <w:b/>
                <w:bCs/>
              </w:rPr>
              <w:t>Smluvní strany</w:t>
            </w:r>
          </w:p>
          <w:p w:rsidR="00220DBA" w:rsidRDefault="00E27B1D">
            <w:pPr>
              <w:pStyle w:val="Style10"/>
              <w:numPr>
                <w:ilvl w:val="1"/>
                <w:numId w:val="1"/>
              </w:numPr>
              <w:tabs>
                <w:tab w:val="left" w:pos="538"/>
              </w:tabs>
              <w:spacing w:after="0" w:line="346" w:lineRule="auto"/>
            </w:pPr>
            <w:r>
              <w:t xml:space="preserve">Obchodní korporace </w:t>
            </w:r>
            <w:r>
              <w:rPr>
                <w:b/>
                <w:bCs/>
              </w:rPr>
              <w:t xml:space="preserve">Sensowatch s. r. o., </w:t>
            </w:r>
            <w:r>
              <w:t>sídlem:</w:t>
            </w:r>
          </w:p>
        </w:tc>
        <w:tc>
          <w:tcPr>
            <w:tcW w:w="6398" w:type="dxa"/>
            <w:shd w:val="clear" w:color="auto" w:fill="auto"/>
            <w:vAlign w:val="bottom"/>
          </w:tcPr>
          <w:p w:rsidR="00220DBA" w:rsidRDefault="00E27B1D">
            <w:pPr>
              <w:pStyle w:val="Style10"/>
              <w:spacing w:after="60" w:line="240" w:lineRule="auto"/>
              <w:ind w:left="2640"/>
            </w:pPr>
            <w:r>
              <w:t>(číslo</w:t>
            </w:r>
            <w:r>
              <w:t xml:space="preserve"> smlouvy poskytovatele: 00101)</w:t>
            </w:r>
          </w:p>
          <w:p w:rsidR="00220DBA" w:rsidRDefault="00E27B1D">
            <w:pPr>
              <w:pStyle w:val="Style10"/>
              <w:spacing w:after="0" w:line="240" w:lineRule="auto"/>
            </w:pPr>
            <w:r>
              <w:t>Rybná 716/24, Praha 1 Staré Město, 110 00, Česká republika,</w:t>
            </w:r>
          </w:p>
        </w:tc>
      </w:tr>
      <w:tr w:rsidR="00220DBA">
        <w:tblPrEx>
          <w:tblCellMar>
            <w:top w:w="0" w:type="dxa"/>
            <w:bottom w:w="0" w:type="dxa"/>
          </w:tblCellMar>
        </w:tblPrEx>
        <w:trPr>
          <w:trHeight w:hRule="exact" w:val="298"/>
          <w:jc w:val="center"/>
        </w:trPr>
        <w:tc>
          <w:tcPr>
            <w:tcW w:w="2515" w:type="dxa"/>
            <w:shd w:val="clear" w:color="auto" w:fill="auto"/>
          </w:tcPr>
          <w:p w:rsidR="00220DBA" w:rsidRDefault="00E27B1D">
            <w:pPr>
              <w:pStyle w:val="Style10"/>
              <w:spacing w:after="0" w:line="240" w:lineRule="auto"/>
            </w:pPr>
            <w:r>
              <w:t>IČ:</w:t>
            </w:r>
          </w:p>
        </w:tc>
        <w:tc>
          <w:tcPr>
            <w:tcW w:w="6398" w:type="dxa"/>
            <w:shd w:val="clear" w:color="auto" w:fill="auto"/>
          </w:tcPr>
          <w:p w:rsidR="00220DBA" w:rsidRDefault="00E27B1D">
            <w:pPr>
              <w:pStyle w:val="Style10"/>
              <w:spacing w:after="0" w:line="240" w:lineRule="auto"/>
            </w:pPr>
            <w:r>
              <w:t>088 09 780,</w:t>
            </w:r>
          </w:p>
        </w:tc>
      </w:tr>
      <w:tr w:rsidR="00220DBA">
        <w:tblPrEx>
          <w:tblCellMar>
            <w:top w:w="0" w:type="dxa"/>
            <w:bottom w:w="0" w:type="dxa"/>
          </w:tblCellMar>
        </w:tblPrEx>
        <w:trPr>
          <w:trHeight w:hRule="exact" w:val="302"/>
          <w:jc w:val="center"/>
        </w:trPr>
        <w:tc>
          <w:tcPr>
            <w:tcW w:w="2515" w:type="dxa"/>
            <w:shd w:val="clear" w:color="auto" w:fill="auto"/>
          </w:tcPr>
          <w:p w:rsidR="00220DBA" w:rsidRDefault="00E27B1D">
            <w:pPr>
              <w:pStyle w:val="Style10"/>
              <w:spacing w:after="0" w:line="240" w:lineRule="auto"/>
            </w:pPr>
            <w:r>
              <w:t>DIČ:</w:t>
            </w:r>
          </w:p>
        </w:tc>
        <w:tc>
          <w:tcPr>
            <w:tcW w:w="6398" w:type="dxa"/>
            <w:shd w:val="clear" w:color="auto" w:fill="auto"/>
          </w:tcPr>
          <w:p w:rsidR="00220DBA" w:rsidRDefault="00E27B1D">
            <w:pPr>
              <w:pStyle w:val="Style10"/>
              <w:spacing w:after="0" w:line="240" w:lineRule="auto"/>
            </w:pPr>
            <w:r>
              <w:t>CZ 088 09 780,</w:t>
            </w:r>
          </w:p>
        </w:tc>
      </w:tr>
      <w:tr w:rsidR="00220DBA">
        <w:tblPrEx>
          <w:tblCellMar>
            <w:top w:w="0" w:type="dxa"/>
            <w:bottom w:w="0" w:type="dxa"/>
          </w:tblCellMar>
        </w:tblPrEx>
        <w:trPr>
          <w:trHeight w:hRule="exact" w:val="312"/>
          <w:jc w:val="center"/>
        </w:trPr>
        <w:tc>
          <w:tcPr>
            <w:tcW w:w="2515" w:type="dxa"/>
            <w:shd w:val="clear" w:color="auto" w:fill="auto"/>
            <w:vAlign w:val="bottom"/>
          </w:tcPr>
          <w:p w:rsidR="00220DBA" w:rsidRDefault="00E27B1D">
            <w:pPr>
              <w:pStyle w:val="Style10"/>
              <w:spacing w:after="0" w:line="240" w:lineRule="auto"/>
            </w:pPr>
            <w:r>
              <w:t>ID datové schránky:</w:t>
            </w:r>
          </w:p>
        </w:tc>
        <w:tc>
          <w:tcPr>
            <w:tcW w:w="6398" w:type="dxa"/>
            <w:shd w:val="clear" w:color="auto" w:fill="auto"/>
            <w:vAlign w:val="bottom"/>
          </w:tcPr>
          <w:p w:rsidR="00220DBA" w:rsidRDefault="00E27B1D">
            <w:pPr>
              <w:pStyle w:val="Style10"/>
              <w:spacing w:after="0" w:line="240" w:lineRule="auto"/>
            </w:pPr>
            <w:r>
              <w:t>uSqkugz,</w:t>
            </w:r>
          </w:p>
        </w:tc>
      </w:tr>
      <w:tr w:rsidR="00220DBA">
        <w:tblPrEx>
          <w:tblCellMar>
            <w:top w:w="0" w:type="dxa"/>
            <w:bottom w:w="0" w:type="dxa"/>
          </w:tblCellMar>
        </w:tblPrEx>
        <w:trPr>
          <w:trHeight w:hRule="exact" w:val="293"/>
          <w:jc w:val="center"/>
        </w:trPr>
        <w:tc>
          <w:tcPr>
            <w:tcW w:w="2515" w:type="dxa"/>
            <w:shd w:val="clear" w:color="auto" w:fill="auto"/>
          </w:tcPr>
          <w:p w:rsidR="00220DBA" w:rsidRDefault="00E27B1D">
            <w:pPr>
              <w:pStyle w:val="Style10"/>
              <w:spacing w:after="0" w:line="240" w:lineRule="auto"/>
            </w:pPr>
            <w:r>
              <w:t>bankovní spojení:</w:t>
            </w:r>
          </w:p>
        </w:tc>
        <w:tc>
          <w:tcPr>
            <w:tcW w:w="6398" w:type="dxa"/>
            <w:shd w:val="clear" w:color="auto" w:fill="auto"/>
          </w:tcPr>
          <w:p w:rsidR="00220DBA" w:rsidRDefault="00E27B1D">
            <w:pPr>
              <w:pStyle w:val="Style10"/>
              <w:spacing w:after="0" w:line="240" w:lineRule="auto"/>
            </w:pPr>
            <w:r>
              <w:t>Československá obchodní banka, a.s.,</w:t>
            </w:r>
          </w:p>
        </w:tc>
      </w:tr>
      <w:tr w:rsidR="00220DBA">
        <w:tblPrEx>
          <w:tblCellMar>
            <w:top w:w="0" w:type="dxa"/>
            <w:bottom w:w="0" w:type="dxa"/>
          </w:tblCellMar>
        </w:tblPrEx>
        <w:trPr>
          <w:trHeight w:hRule="exact" w:val="595"/>
          <w:jc w:val="center"/>
        </w:trPr>
        <w:tc>
          <w:tcPr>
            <w:tcW w:w="2515" w:type="dxa"/>
            <w:shd w:val="clear" w:color="auto" w:fill="auto"/>
            <w:vAlign w:val="bottom"/>
          </w:tcPr>
          <w:p w:rsidR="00220DBA" w:rsidRDefault="00E27B1D">
            <w:pPr>
              <w:pStyle w:val="Style10"/>
              <w:spacing w:after="0" w:line="312" w:lineRule="auto"/>
            </w:pPr>
            <w:r>
              <w:t>zastoupena:</w:t>
            </w:r>
          </w:p>
        </w:tc>
        <w:tc>
          <w:tcPr>
            <w:tcW w:w="6398" w:type="dxa"/>
            <w:shd w:val="clear" w:color="auto" w:fill="auto"/>
            <w:vAlign w:val="bottom"/>
          </w:tcPr>
          <w:p w:rsidR="00220DBA" w:rsidRDefault="00E27B1D">
            <w:pPr>
              <w:pStyle w:val="Style10"/>
              <w:spacing w:after="0" w:line="240" w:lineRule="auto"/>
            </w:pPr>
            <w:r>
              <w:t>P</w:t>
            </w:r>
            <w:r>
              <w:t>eterem Szénásym, jednatelem společnosti.</w:t>
            </w:r>
          </w:p>
        </w:tc>
      </w:tr>
    </w:tbl>
    <w:p w:rsidR="00220DBA" w:rsidRDefault="00E27B1D">
      <w:pPr>
        <w:pStyle w:val="Style2"/>
        <w:spacing w:after="0" w:line="257" w:lineRule="auto"/>
      </w:pPr>
      <w:r>
        <w:t>Obchodní korporace Sensowatch s. r. o. je zapsána ve veřejném rejstříku vedeném Městským soudem v Praze v oddílu C, vložce 325 231.</w:t>
      </w:r>
    </w:p>
    <w:p w:rsidR="00220DBA" w:rsidRDefault="00E27B1D">
      <w:pPr>
        <w:pStyle w:val="Style2"/>
        <w:spacing w:after="340" w:line="257" w:lineRule="auto"/>
      </w:pPr>
      <w:r>
        <w:t xml:space="preserve">(dále jen: </w:t>
      </w:r>
      <w:r>
        <w:rPr>
          <w:b/>
          <w:bCs/>
        </w:rPr>
        <w:t>„poskytovatel“),</w:t>
      </w:r>
    </w:p>
    <w:p w:rsidR="00220DBA" w:rsidRDefault="00E27B1D">
      <w:pPr>
        <w:pStyle w:val="Style2"/>
        <w:spacing w:after="340" w:line="257" w:lineRule="auto"/>
      </w:pPr>
      <w:r>
        <w:t>a</w:t>
      </w:r>
    </w:p>
    <w:p w:rsidR="00220DBA" w:rsidRDefault="00E27B1D">
      <w:pPr>
        <w:pStyle w:val="Style2"/>
        <w:spacing w:after="140" w:line="257" w:lineRule="auto"/>
      </w:pPr>
      <w:r>
        <w:t>1.2 Pobytové zařízení sociálních služeb</w:t>
      </w:r>
    </w:p>
    <w:p w:rsidR="00220DBA" w:rsidRDefault="00E27B1D">
      <w:pPr>
        <w:pStyle w:val="Style14"/>
        <w:spacing w:after="0" w:line="257" w:lineRule="auto"/>
      </w:pPr>
      <w:r>
        <w:t xml:space="preserve">Domov pro </w:t>
      </w:r>
      <w:r>
        <w:t>seniory Chodov,</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15"/>
        <w:gridCol w:w="6398"/>
      </w:tblGrid>
      <w:tr w:rsidR="00220DBA">
        <w:tblPrEx>
          <w:tblCellMar>
            <w:top w:w="0" w:type="dxa"/>
            <w:bottom w:w="0" w:type="dxa"/>
          </w:tblCellMar>
        </w:tblPrEx>
        <w:trPr>
          <w:trHeight w:hRule="exact" w:val="298"/>
          <w:jc w:val="center"/>
        </w:trPr>
        <w:tc>
          <w:tcPr>
            <w:tcW w:w="2515" w:type="dxa"/>
            <w:shd w:val="clear" w:color="auto" w:fill="auto"/>
          </w:tcPr>
          <w:p w:rsidR="00220DBA" w:rsidRDefault="00E27B1D">
            <w:pPr>
              <w:pStyle w:val="Style10"/>
              <w:spacing w:after="0" w:line="240" w:lineRule="auto"/>
            </w:pPr>
            <w:r>
              <w:t>sídlem:</w:t>
            </w:r>
          </w:p>
        </w:tc>
        <w:tc>
          <w:tcPr>
            <w:tcW w:w="6398" w:type="dxa"/>
            <w:shd w:val="clear" w:color="auto" w:fill="auto"/>
          </w:tcPr>
          <w:p w:rsidR="00220DBA" w:rsidRDefault="00E27B1D">
            <w:pPr>
              <w:pStyle w:val="Style10"/>
              <w:spacing w:after="0" w:line="240" w:lineRule="auto"/>
            </w:pPr>
            <w:r>
              <w:t>Donovalská 2222/31, 14900 Praha 4, Česká republika,</w:t>
            </w:r>
          </w:p>
        </w:tc>
      </w:tr>
      <w:tr w:rsidR="00220DBA">
        <w:tblPrEx>
          <w:tblCellMar>
            <w:top w:w="0" w:type="dxa"/>
            <w:bottom w:w="0" w:type="dxa"/>
          </w:tblCellMar>
        </w:tblPrEx>
        <w:trPr>
          <w:trHeight w:hRule="exact" w:val="302"/>
          <w:jc w:val="center"/>
        </w:trPr>
        <w:tc>
          <w:tcPr>
            <w:tcW w:w="2515" w:type="dxa"/>
            <w:shd w:val="clear" w:color="auto" w:fill="auto"/>
          </w:tcPr>
          <w:p w:rsidR="00220DBA" w:rsidRDefault="00E27B1D">
            <w:pPr>
              <w:pStyle w:val="Style10"/>
              <w:spacing w:after="0" w:line="240" w:lineRule="auto"/>
            </w:pPr>
            <w:r>
              <w:t>IČ:</w:t>
            </w:r>
          </w:p>
        </w:tc>
        <w:tc>
          <w:tcPr>
            <w:tcW w:w="6398" w:type="dxa"/>
            <w:shd w:val="clear" w:color="auto" w:fill="auto"/>
          </w:tcPr>
          <w:p w:rsidR="00220DBA" w:rsidRDefault="00E27B1D">
            <w:pPr>
              <w:pStyle w:val="Style10"/>
              <w:spacing w:after="0" w:line="240" w:lineRule="auto"/>
            </w:pPr>
            <w:r>
              <w:t>708 76 606,</w:t>
            </w:r>
          </w:p>
        </w:tc>
      </w:tr>
      <w:tr w:rsidR="00220DBA">
        <w:tblPrEx>
          <w:tblCellMar>
            <w:top w:w="0" w:type="dxa"/>
            <w:bottom w:w="0" w:type="dxa"/>
          </w:tblCellMar>
        </w:tblPrEx>
        <w:trPr>
          <w:trHeight w:hRule="exact" w:val="1205"/>
          <w:jc w:val="center"/>
        </w:trPr>
        <w:tc>
          <w:tcPr>
            <w:tcW w:w="2515" w:type="dxa"/>
            <w:shd w:val="clear" w:color="auto" w:fill="auto"/>
          </w:tcPr>
          <w:p w:rsidR="009A5697" w:rsidRDefault="00E27B1D">
            <w:pPr>
              <w:pStyle w:val="Style10"/>
              <w:spacing w:after="0" w:line="314" w:lineRule="auto"/>
            </w:pPr>
            <w:r>
              <w:t xml:space="preserve">identifikátor služby ID datové schránky: </w:t>
            </w:r>
          </w:p>
          <w:p w:rsidR="009A5697" w:rsidRDefault="00E27B1D">
            <w:pPr>
              <w:pStyle w:val="Style10"/>
              <w:spacing w:after="0" w:line="314" w:lineRule="auto"/>
            </w:pPr>
            <w:r>
              <w:t xml:space="preserve">bankovní spojení: </w:t>
            </w:r>
          </w:p>
          <w:p w:rsidR="00220DBA" w:rsidRDefault="00220DBA">
            <w:pPr>
              <w:pStyle w:val="Style10"/>
              <w:spacing w:after="0" w:line="314" w:lineRule="auto"/>
            </w:pPr>
          </w:p>
        </w:tc>
        <w:tc>
          <w:tcPr>
            <w:tcW w:w="6398" w:type="dxa"/>
            <w:shd w:val="clear" w:color="auto" w:fill="auto"/>
          </w:tcPr>
          <w:p w:rsidR="009A5697" w:rsidRDefault="00E27B1D">
            <w:pPr>
              <w:pStyle w:val="Style10"/>
              <w:spacing w:after="0" w:line="312" w:lineRule="auto"/>
            </w:pPr>
            <w:r>
              <w:t xml:space="preserve">549 18 25, </w:t>
            </w:r>
          </w:p>
          <w:p w:rsidR="009A5697" w:rsidRDefault="00E27B1D">
            <w:pPr>
              <w:pStyle w:val="Style10"/>
              <w:spacing w:after="0" w:line="312" w:lineRule="auto"/>
            </w:pPr>
            <w:r>
              <w:t xml:space="preserve">btgr7mf </w:t>
            </w:r>
          </w:p>
          <w:p w:rsidR="009A5697" w:rsidRDefault="00E27B1D">
            <w:pPr>
              <w:pStyle w:val="Style10"/>
              <w:spacing w:after="0" w:line="312" w:lineRule="auto"/>
            </w:pPr>
            <w:r>
              <w:t xml:space="preserve">PPF Banka </w:t>
            </w:r>
          </w:p>
          <w:p w:rsidR="00220DBA" w:rsidRDefault="00220DBA">
            <w:pPr>
              <w:pStyle w:val="Style10"/>
              <w:spacing w:after="0" w:line="312" w:lineRule="auto"/>
            </w:pPr>
          </w:p>
        </w:tc>
      </w:tr>
      <w:tr w:rsidR="00220DBA">
        <w:tblPrEx>
          <w:tblCellMar>
            <w:top w:w="0" w:type="dxa"/>
            <w:bottom w:w="0" w:type="dxa"/>
          </w:tblCellMar>
        </w:tblPrEx>
        <w:trPr>
          <w:trHeight w:hRule="exact" w:val="341"/>
          <w:jc w:val="center"/>
        </w:trPr>
        <w:tc>
          <w:tcPr>
            <w:tcW w:w="2515" w:type="dxa"/>
            <w:shd w:val="clear" w:color="auto" w:fill="auto"/>
          </w:tcPr>
          <w:p w:rsidR="00220DBA" w:rsidRDefault="00E27B1D">
            <w:pPr>
              <w:pStyle w:val="Style10"/>
              <w:spacing w:after="0" w:line="240" w:lineRule="auto"/>
            </w:pPr>
            <w:r>
              <w:t>zastoupena:</w:t>
            </w:r>
          </w:p>
        </w:tc>
        <w:tc>
          <w:tcPr>
            <w:tcW w:w="6398" w:type="dxa"/>
            <w:shd w:val="clear" w:color="auto" w:fill="auto"/>
          </w:tcPr>
          <w:p w:rsidR="00220DBA" w:rsidRDefault="00E27B1D">
            <w:pPr>
              <w:pStyle w:val="Style10"/>
              <w:spacing w:after="0" w:line="240" w:lineRule="auto"/>
            </w:pPr>
            <w:r>
              <w:t xml:space="preserve">Mgr. Bc. Ilonou Veselou, </w:t>
            </w:r>
            <w:r>
              <w:t>ředitelkou,</w:t>
            </w:r>
          </w:p>
        </w:tc>
      </w:tr>
    </w:tbl>
    <w:p w:rsidR="00220DBA" w:rsidRDefault="00E27B1D">
      <w:pPr>
        <w:pStyle w:val="Style14"/>
        <w:spacing w:after="40" w:line="240" w:lineRule="auto"/>
      </w:pPr>
      <w:r>
        <w:rPr>
          <w:b w:val="0"/>
          <w:bCs w:val="0"/>
        </w:rPr>
        <w:t xml:space="preserve">(dále jen: </w:t>
      </w:r>
      <w:r>
        <w:t>„klient“),</w:t>
      </w:r>
    </w:p>
    <w:p w:rsidR="00220DBA" w:rsidRDefault="00E27B1D">
      <w:pPr>
        <w:pStyle w:val="Style14"/>
        <w:spacing w:after="0" w:line="240" w:lineRule="auto"/>
      </w:pPr>
      <w:r>
        <w:rPr>
          <w:b w:val="0"/>
          <w:bCs w:val="0"/>
        </w:rPr>
        <w:t xml:space="preserve">(Poskytovatel a klient dále společně též jen </w:t>
      </w:r>
      <w:r>
        <w:t xml:space="preserve">„smluvní strany“ </w:t>
      </w:r>
      <w:r>
        <w:rPr>
          <w:b w:val="0"/>
          <w:bCs w:val="0"/>
        </w:rPr>
        <w:t xml:space="preserve">nebo </w:t>
      </w:r>
      <w:r>
        <w:t>„strany“),</w:t>
      </w:r>
    </w:p>
    <w:p w:rsidR="00220DBA" w:rsidRDefault="00220DBA">
      <w:pPr>
        <w:spacing w:after="459" w:line="1" w:lineRule="exact"/>
      </w:pPr>
    </w:p>
    <w:p w:rsidR="00220DBA" w:rsidRDefault="00E27B1D">
      <w:pPr>
        <w:pStyle w:val="Style2"/>
        <w:spacing w:after="0" w:line="240" w:lineRule="auto"/>
        <w:jc w:val="center"/>
      </w:pPr>
      <w:r>
        <w:t>uzavírají níže uvedeného dne spolu tuto</w:t>
      </w:r>
    </w:p>
    <w:p w:rsidR="00220DBA" w:rsidRDefault="00E27B1D">
      <w:pPr>
        <w:pStyle w:val="Style2"/>
        <w:spacing w:after="240" w:line="240" w:lineRule="auto"/>
        <w:jc w:val="center"/>
        <w:rPr>
          <w:b/>
          <w:bCs/>
        </w:rPr>
      </w:pPr>
      <w:r>
        <w:rPr>
          <w:b/>
          <w:bCs/>
        </w:rPr>
        <w:t>smlouvu o poskytování služby detekce mimořádných situací.</w:t>
      </w:r>
    </w:p>
    <w:p w:rsidR="009A5697" w:rsidRDefault="009A5697">
      <w:pPr>
        <w:pStyle w:val="Style2"/>
        <w:spacing w:after="240" w:line="240" w:lineRule="auto"/>
        <w:jc w:val="center"/>
        <w:rPr>
          <w:b/>
          <w:bCs/>
        </w:rPr>
      </w:pPr>
    </w:p>
    <w:p w:rsidR="009A5697" w:rsidRDefault="009A5697">
      <w:pPr>
        <w:pStyle w:val="Style2"/>
        <w:spacing w:after="240" w:line="240" w:lineRule="auto"/>
        <w:jc w:val="center"/>
        <w:rPr>
          <w:b/>
          <w:bCs/>
        </w:rPr>
      </w:pPr>
    </w:p>
    <w:p w:rsidR="009A5697" w:rsidRDefault="009A5697">
      <w:pPr>
        <w:pStyle w:val="Style2"/>
        <w:spacing w:after="240" w:line="240" w:lineRule="auto"/>
        <w:jc w:val="center"/>
        <w:rPr>
          <w:b/>
          <w:bCs/>
        </w:rPr>
      </w:pPr>
    </w:p>
    <w:p w:rsidR="009A5697" w:rsidRDefault="009A5697">
      <w:pPr>
        <w:pStyle w:val="Style2"/>
        <w:spacing w:after="240" w:line="240" w:lineRule="auto"/>
        <w:jc w:val="center"/>
        <w:rPr>
          <w:b/>
          <w:bCs/>
        </w:rPr>
      </w:pPr>
    </w:p>
    <w:p w:rsidR="009A5697" w:rsidRDefault="009A5697">
      <w:pPr>
        <w:pStyle w:val="Style2"/>
        <w:spacing w:after="240" w:line="240" w:lineRule="auto"/>
        <w:jc w:val="center"/>
      </w:pPr>
    </w:p>
    <w:p w:rsidR="00220DBA" w:rsidRDefault="00E27B1D">
      <w:pPr>
        <w:pStyle w:val="Style17"/>
        <w:keepNext/>
        <w:keepLines/>
        <w:numPr>
          <w:ilvl w:val="0"/>
          <w:numId w:val="2"/>
        </w:numPr>
        <w:tabs>
          <w:tab w:val="left" w:pos="537"/>
        </w:tabs>
      </w:pPr>
      <w:bookmarkStart w:id="0" w:name="bookmark0"/>
      <w:r>
        <w:lastRenderedPageBreak/>
        <w:t>Úvodní ustanovení a předmět smlouvy</w:t>
      </w:r>
      <w:bookmarkEnd w:id="0"/>
    </w:p>
    <w:p w:rsidR="00220DBA" w:rsidRDefault="00E27B1D">
      <w:pPr>
        <w:pStyle w:val="Style2"/>
        <w:numPr>
          <w:ilvl w:val="1"/>
          <w:numId w:val="2"/>
        </w:numPr>
        <w:tabs>
          <w:tab w:val="left" w:pos="537"/>
        </w:tabs>
        <w:ind w:left="520" w:hanging="520"/>
      </w:pPr>
      <w:r>
        <w:t>Poskytovatel je provozovatelem systému monitoringu a detekce mimořádných situací v místnostech obývaných osobami se sníženou pohyblivostí nebo jinou obdobnou indispozicí (dále jen: „SW“), typicky pak v pobytových zařízeních sociálních služeb. SWje bezdráto</w:t>
      </w:r>
      <w:r>
        <w:t>vý a bezkontaktní nástroj, využívající kombinaci senzorů a vyhodnocovacího software pro zjištění situací vyžadujících asistenci ošetřujícího personálu.</w:t>
      </w:r>
    </w:p>
    <w:p w:rsidR="00220DBA" w:rsidRDefault="00E27B1D">
      <w:pPr>
        <w:pStyle w:val="Style2"/>
        <w:numPr>
          <w:ilvl w:val="1"/>
          <w:numId w:val="2"/>
        </w:numPr>
        <w:tabs>
          <w:tab w:val="left" w:pos="537"/>
        </w:tabs>
        <w:spacing w:line="257" w:lineRule="auto"/>
        <w:ind w:left="520" w:hanging="520"/>
      </w:pPr>
      <w:r>
        <w:t>SWje výhradně podpůrným nástrojem, poskytující informace (upozornění) pro rozhodování ošetřujícího perso</w:t>
      </w:r>
      <w:r>
        <w:t>nálu (nebo jiných osob) o nutnosti asistence potřebným osobám. Nenahrazuje tedy zákonné či jiné povinnosti klienta při péči o osoby, vyžadující zvláštní péči.</w:t>
      </w:r>
    </w:p>
    <w:p w:rsidR="00220DBA" w:rsidRDefault="00E27B1D">
      <w:pPr>
        <w:pStyle w:val="Style2"/>
        <w:numPr>
          <w:ilvl w:val="1"/>
          <w:numId w:val="2"/>
        </w:numPr>
        <w:tabs>
          <w:tab w:val="left" w:pos="537"/>
        </w:tabs>
        <w:spacing w:after="220" w:line="257" w:lineRule="auto"/>
        <w:ind w:left="520" w:hanging="520"/>
      </w:pPr>
      <w:r>
        <w:t>Předmětem této smlouvy je závazek poskytovatele dodat klientovi bez zbytečného odkladu po uzavřen</w:t>
      </w:r>
      <w:r>
        <w:t xml:space="preserve">í této smlouvy technické vybavení a závazek klienta technické vybavení převzít do užívání, (dále jen: </w:t>
      </w:r>
      <w:r>
        <w:rPr>
          <w:b/>
          <w:bCs/>
        </w:rPr>
        <w:t xml:space="preserve">„technické vybavení") </w:t>
      </w:r>
      <w:r>
        <w:t>a oproti tomu závazek klienta za poskytnuté technické vybavení hradit pravidelné nájemné a dodržovat též ostatní smluvní ujednání.</w:t>
      </w:r>
    </w:p>
    <w:p w:rsidR="00220DBA" w:rsidRDefault="00E27B1D">
      <w:pPr>
        <w:pStyle w:val="Style17"/>
        <w:keepNext/>
        <w:keepLines/>
        <w:numPr>
          <w:ilvl w:val="0"/>
          <w:numId w:val="2"/>
        </w:numPr>
        <w:tabs>
          <w:tab w:val="left" w:pos="537"/>
        </w:tabs>
      </w:pPr>
      <w:bookmarkStart w:id="1" w:name="bookmark2"/>
      <w:r>
        <w:t>T</w:t>
      </w:r>
      <w:r>
        <w:t>echnické vybavení</w:t>
      </w:r>
      <w:bookmarkEnd w:id="1"/>
    </w:p>
    <w:p w:rsidR="00220DBA" w:rsidRDefault="00E27B1D">
      <w:pPr>
        <w:pStyle w:val="Style2"/>
        <w:numPr>
          <w:ilvl w:val="1"/>
          <w:numId w:val="2"/>
        </w:numPr>
        <w:tabs>
          <w:tab w:val="left" w:pos="537"/>
        </w:tabs>
      </w:pPr>
      <w:r>
        <w:t>Seznam předávaného technického vybavení je uveden v Příloze 02.</w:t>
      </w:r>
    </w:p>
    <w:p w:rsidR="00220DBA" w:rsidRDefault="00E27B1D">
      <w:pPr>
        <w:pStyle w:val="Style2"/>
        <w:numPr>
          <w:ilvl w:val="1"/>
          <w:numId w:val="2"/>
        </w:numPr>
        <w:tabs>
          <w:tab w:val="left" w:pos="537"/>
        </w:tabs>
        <w:spacing w:line="252" w:lineRule="auto"/>
        <w:ind w:left="520" w:hanging="520"/>
      </w:pPr>
      <w:r>
        <w:t>Instalaci technického vybavení provede v místě plnění poskytovatel, a to v čase dle vzájemné dohody stran, vždy však před počátkem poskytování služby dle této smlouvy. Cena z</w:t>
      </w:r>
      <w:r>
        <w:t>a užívání technického vybavení je uvedena v Příloze č. 01 této smlouvy - Ceník poskytnutého technického vybavení.</w:t>
      </w:r>
    </w:p>
    <w:p w:rsidR="00220DBA" w:rsidRDefault="00E27B1D">
      <w:pPr>
        <w:pStyle w:val="Style2"/>
        <w:numPr>
          <w:ilvl w:val="1"/>
          <w:numId w:val="2"/>
        </w:numPr>
        <w:tabs>
          <w:tab w:val="left" w:pos="537"/>
        </w:tabs>
      </w:pPr>
      <w:r>
        <w:t>Nebezpečí škody na technickém vybavení přechází na klienta okamžikem jeho převzetí.</w:t>
      </w:r>
    </w:p>
    <w:p w:rsidR="00220DBA" w:rsidRDefault="00E27B1D">
      <w:pPr>
        <w:pStyle w:val="Style2"/>
        <w:numPr>
          <w:ilvl w:val="1"/>
          <w:numId w:val="2"/>
        </w:numPr>
        <w:tabs>
          <w:tab w:val="left" w:pos="537"/>
        </w:tabs>
        <w:spacing w:line="240" w:lineRule="auto"/>
        <w:ind w:left="520" w:hanging="520"/>
      </w:pPr>
      <w:r>
        <w:t>Cenu za užívání technického vybavení uhradí klient dle pod</w:t>
      </w:r>
      <w:r>
        <w:t>mínek zejm. dle části 4 této smlouvy.</w:t>
      </w:r>
    </w:p>
    <w:p w:rsidR="00220DBA" w:rsidRDefault="00E27B1D">
      <w:pPr>
        <w:pStyle w:val="Style2"/>
        <w:numPr>
          <w:ilvl w:val="1"/>
          <w:numId w:val="2"/>
        </w:numPr>
        <w:tabs>
          <w:tab w:val="left" w:pos="537"/>
        </w:tabs>
        <w:spacing w:after="220" w:line="240" w:lineRule="auto"/>
        <w:ind w:left="520" w:hanging="520"/>
      </w:pPr>
      <w:r>
        <w:t>Přesnou specifikaci (množství, typ, verzi, ...) technického vybavení pro zamýšlený rozsah služby určí poskytovatel.</w:t>
      </w:r>
    </w:p>
    <w:p w:rsidR="00220DBA" w:rsidRDefault="00E27B1D">
      <w:pPr>
        <w:pStyle w:val="Style17"/>
        <w:keepNext/>
        <w:keepLines/>
        <w:numPr>
          <w:ilvl w:val="0"/>
          <w:numId w:val="2"/>
        </w:numPr>
        <w:tabs>
          <w:tab w:val="left" w:pos="537"/>
        </w:tabs>
      </w:pPr>
      <w:bookmarkStart w:id="2" w:name="bookmark4"/>
      <w:r>
        <w:t>Cena a platební podmínky služby</w:t>
      </w:r>
      <w:bookmarkEnd w:id="2"/>
    </w:p>
    <w:p w:rsidR="00220DBA" w:rsidRDefault="00E27B1D">
      <w:pPr>
        <w:pStyle w:val="Style2"/>
        <w:numPr>
          <w:ilvl w:val="1"/>
          <w:numId w:val="2"/>
        </w:numPr>
        <w:tabs>
          <w:tab w:val="left" w:pos="537"/>
        </w:tabs>
        <w:spacing w:line="257" w:lineRule="auto"/>
        <w:ind w:left="520" w:hanging="520"/>
      </w:pPr>
      <w:r>
        <w:t xml:space="preserve">Smluvní strany sjednaly cenu za nájem ve výši, v jaké je uvedena v Příloze č. 01 této smlouvy - Ceník poskytnutého technického vybavení (dále jen: </w:t>
      </w:r>
      <w:r>
        <w:rPr>
          <w:b/>
          <w:bCs/>
        </w:rPr>
        <w:t>„cena“).</w:t>
      </w:r>
    </w:p>
    <w:p w:rsidR="00220DBA" w:rsidRDefault="00E27B1D">
      <w:pPr>
        <w:pStyle w:val="Style2"/>
        <w:numPr>
          <w:ilvl w:val="1"/>
          <w:numId w:val="2"/>
        </w:numPr>
        <w:tabs>
          <w:tab w:val="left" w:pos="537"/>
        </w:tabs>
        <w:ind w:left="520" w:hanging="520"/>
      </w:pPr>
      <w:r>
        <w:t>Cenu se zavazuje klient hradit měsíčně, zpětně, na základě faktury, která může být poskytovatelem vy</w:t>
      </w:r>
      <w:r>
        <w:t>stavena nejdříve prvním dnem kalendářního měsíce, který bezprostředně následuje po kalendářním měsíci, za který je předmětná faktura vystavována. Měsíční platba ceny činí součin aktuálně instalovaného technického vybavení ve smyslu části 3.4.1 této smlouvy</w:t>
      </w:r>
      <w:r>
        <w:t xml:space="preserve"> a dílčích cen ve smyslu předchozího odstavce 4.1 této smlouvy (společně dále jen: </w:t>
      </w:r>
      <w:r>
        <w:rPr>
          <w:b/>
          <w:bCs/>
        </w:rPr>
        <w:t>„měsíční platba“).</w:t>
      </w:r>
    </w:p>
    <w:p w:rsidR="00220DBA" w:rsidRDefault="00E27B1D">
      <w:pPr>
        <w:pStyle w:val="Style2"/>
        <w:numPr>
          <w:ilvl w:val="1"/>
          <w:numId w:val="2"/>
        </w:numPr>
        <w:tabs>
          <w:tab w:val="left" w:pos="537"/>
        </w:tabs>
        <w:ind w:left="520" w:hanging="520"/>
      </w:pPr>
      <w:r>
        <w:t>Jakákoliv platba mezi smluvními stranami bude provedena bezhotovostně, převodem z účtu, přičemž faktura vystavená poskytovatelem musí obsahovat všechny ná</w:t>
      </w:r>
      <w:r>
        <w:t>ležitosti daňového a účetního dokladu. Smluvní strany sjednávají, že pro účely své účetní evidence postačuje faktura v elektronické podobě. Splatnost faktury bude činit patnáct kalendářních dnů, a bude počítána ode dne jejího vystavení. Splatností se rozum</w:t>
      </w:r>
      <w:r>
        <w:t>í den připsání fakturované částky na účet poskytovatele.</w:t>
      </w:r>
    </w:p>
    <w:p w:rsidR="00220DBA" w:rsidRDefault="00E27B1D">
      <w:pPr>
        <w:pStyle w:val="Style2"/>
        <w:numPr>
          <w:ilvl w:val="1"/>
          <w:numId w:val="2"/>
        </w:numPr>
        <w:tabs>
          <w:tab w:val="left" w:pos="537"/>
        </w:tabs>
        <w:ind w:left="520" w:hanging="520"/>
      </w:pPr>
      <w:r>
        <w:t>Klient je oprávněn vrátit do data splatnosti bez zaplacení fakturu, která neobsahuje výše uvedené náležitosti, nebo obsahuje jiné závažné závady ve svém obsahu. Poskytovatel je povinen podle povahy z</w:t>
      </w:r>
      <w:r>
        <w:t>ávad fakturu opravit nebo nově vyhotovit. Oprávněným vrácením faktury přestává běžet původní lhůta splatnosti. Nová lhůta splatnosti v délce nejméně patnácti kalendářních dnů běží opětovně ode dne vystavení nově vyhotovené nebo opravené faktury, nedohodu-l</w:t>
      </w:r>
      <w:r>
        <w:t>i se strany jinak.</w:t>
      </w:r>
    </w:p>
    <w:p w:rsidR="00220DBA" w:rsidRDefault="00E27B1D">
      <w:pPr>
        <w:pStyle w:val="Style2"/>
        <w:numPr>
          <w:ilvl w:val="1"/>
          <w:numId w:val="2"/>
        </w:numPr>
        <w:tabs>
          <w:tab w:val="left" w:pos="537"/>
        </w:tabs>
        <w:spacing w:line="252" w:lineRule="auto"/>
        <w:ind w:left="520" w:hanging="520"/>
      </w:pPr>
      <w:r>
        <w:t>Pro případ prodlení klienta s úhradou faktury, sjednává se mezi stranami úrok z prodlení ve výši 0,05 % z dlužné částky za každý, byť jen započatý den prodlení.</w:t>
      </w:r>
    </w:p>
    <w:p w:rsidR="009A5697" w:rsidRDefault="009A5697" w:rsidP="009A5697">
      <w:pPr>
        <w:pStyle w:val="Style2"/>
        <w:tabs>
          <w:tab w:val="left" w:pos="537"/>
        </w:tabs>
        <w:spacing w:line="252" w:lineRule="auto"/>
      </w:pPr>
    </w:p>
    <w:p w:rsidR="009A5697" w:rsidRDefault="009A5697" w:rsidP="009A5697">
      <w:pPr>
        <w:pStyle w:val="Style2"/>
        <w:tabs>
          <w:tab w:val="left" w:pos="537"/>
        </w:tabs>
        <w:spacing w:line="252" w:lineRule="auto"/>
      </w:pPr>
    </w:p>
    <w:p w:rsidR="00220DBA" w:rsidRDefault="00E27B1D">
      <w:pPr>
        <w:pStyle w:val="Style17"/>
        <w:keepNext/>
        <w:keepLines/>
        <w:numPr>
          <w:ilvl w:val="0"/>
          <w:numId w:val="2"/>
        </w:numPr>
        <w:tabs>
          <w:tab w:val="left" w:pos="529"/>
          <w:tab w:val="left" w:pos="538"/>
        </w:tabs>
        <w:spacing w:line="257" w:lineRule="auto"/>
      </w:pPr>
      <w:bookmarkStart w:id="3" w:name="bookmark6"/>
      <w:r>
        <w:lastRenderedPageBreak/>
        <w:t>Další práva a povinnosti smluvních stran</w:t>
      </w:r>
      <w:bookmarkEnd w:id="3"/>
    </w:p>
    <w:p w:rsidR="00220DBA" w:rsidRDefault="00E27B1D">
      <w:pPr>
        <w:pStyle w:val="Style2"/>
        <w:numPr>
          <w:ilvl w:val="1"/>
          <w:numId w:val="2"/>
        </w:numPr>
        <w:tabs>
          <w:tab w:val="left" w:pos="528"/>
          <w:tab w:val="left" w:pos="529"/>
        </w:tabs>
        <w:spacing w:line="257" w:lineRule="auto"/>
      </w:pPr>
      <w:r>
        <w:t>Poskytovatel je oprávněn:</w:t>
      </w:r>
    </w:p>
    <w:p w:rsidR="00220DBA" w:rsidRDefault="00E27B1D">
      <w:pPr>
        <w:pStyle w:val="Style2"/>
        <w:numPr>
          <w:ilvl w:val="2"/>
          <w:numId w:val="2"/>
        </w:numPr>
        <w:tabs>
          <w:tab w:val="left" w:pos="553"/>
        </w:tabs>
        <w:spacing w:after="40"/>
        <w:ind w:left="540" w:hanging="540"/>
      </w:pPr>
      <w:r>
        <w:t>Zpracováv</w:t>
      </w:r>
      <w:r>
        <w:t>at elektronická data získaná v rámci poskytování služby z technického vybavení, ať již sám nebo prostřednictvím dodavatele infrastruktury, obchodní korporace ZAT a. s., IČO: 451 48 431, sídlem: K Podlesí 541, Příbram VI - Březové Hory, 261 01, Česká republ</w:t>
      </w:r>
      <w:r>
        <w:t xml:space="preserve">ika, příp. jiné osoby, dodávající subdodávky poskytovateli, nutné pro řádné plnění této smlouvy (dále jen: </w:t>
      </w:r>
      <w:r>
        <w:rPr>
          <w:b/>
          <w:bCs/>
        </w:rPr>
        <w:t>„subdodavatel“).</w:t>
      </w:r>
    </w:p>
    <w:p w:rsidR="00220DBA" w:rsidRDefault="00E27B1D">
      <w:pPr>
        <w:pStyle w:val="Style2"/>
        <w:numPr>
          <w:ilvl w:val="2"/>
          <w:numId w:val="2"/>
        </w:numPr>
        <w:tabs>
          <w:tab w:val="left" w:pos="577"/>
        </w:tabs>
        <w:spacing w:after="40" w:line="257" w:lineRule="auto"/>
        <w:ind w:left="540" w:hanging="540"/>
      </w:pPr>
      <w:r>
        <w:t xml:space="preserve">Deaktivovat technické vybavení dle této smlouvy, je-li klient v prodlení s platbou za nájem dle této smlouvy delším patnácti </w:t>
      </w:r>
      <w:r>
        <w:t>kalendářních dnů.</w:t>
      </w:r>
    </w:p>
    <w:p w:rsidR="00220DBA" w:rsidRDefault="00E27B1D">
      <w:pPr>
        <w:pStyle w:val="Style2"/>
        <w:numPr>
          <w:ilvl w:val="1"/>
          <w:numId w:val="2"/>
        </w:numPr>
        <w:tabs>
          <w:tab w:val="left" w:pos="529"/>
        </w:tabs>
        <w:spacing w:line="257" w:lineRule="auto"/>
      </w:pPr>
      <w:r>
        <w:t>Poskytovatel se zavazuje:</w:t>
      </w:r>
    </w:p>
    <w:p w:rsidR="00220DBA" w:rsidRDefault="00E27B1D">
      <w:pPr>
        <w:pStyle w:val="Style2"/>
        <w:numPr>
          <w:ilvl w:val="2"/>
          <w:numId w:val="2"/>
        </w:numPr>
        <w:tabs>
          <w:tab w:val="left" w:pos="558"/>
        </w:tabs>
        <w:spacing w:after="40" w:line="257" w:lineRule="auto"/>
        <w:ind w:left="540" w:hanging="540"/>
      </w:pPr>
      <w:r>
        <w:t>Ochraňovat elektronická data ve smyslu odst. 5.1.1 této smlouvy a zpracovávat je výhradně za podmínek stanovených platnou legislativou a k tomu zavázat též subdodavatele. Pro odstranění pochybností strany konstat</w:t>
      </w:r>
      <w:r>
        <w:t>ují, že při plnění této smlouvy nebude poskytovatel získávat, a tedy ani disponovat s osobními či dokonce citlivými daty jakýchkoliv fyzických osob.</w:t>
      </w:r>
    </w:p>
    <w:p w:rsidR="00220DBA" w:rsidRDefault="00E27B1D">
      <w:pPr>
        <w:pStyle w:val="Style2"/>
        <w:numPr>
          <w:ilvl w:val="1"/>
          <w:numId w:val="2"/>
        </w:numPr>
        <w:tabs>
          <w:tab w:val="left" w:pos="529"/>
        </w:tabs>
        <w:spacing w:line="257" w:lineRule="auto"/>
      </w:pPr>
      <w:r>
        <w:t>Klient je oprávněn:</w:t>
      </w:r>
    </w:p>
    <w:p w:rsidR="00220DBA" w:rsidRDefault="00E27B1D">
      <w:pPr>
        <w:pStyle w:val="Style2"/>
        <w:numPr>
          <w:ilvl w:val="2"/>
          <w:numId w:val="2"/>
        </w:numPr>
        <w:tabs>
          <w:tab w:val="left" w:pos="553"/>
        </w:tabs>
        <w:spacing w:after="40" w:line="262" w:lineRule="auto"/>
        <w:ind w:left="540" w:hanging="540"/>
      </w:pPr>
      <w:r>
        <w:t xml:space="preserve">Konsultovat s poskytovatelem technické zařízení potřebné pro plánované rozšíření či </w:t>
      </w:r>
      <w:r>
        <w:t>změnu služby.</w:t>
      </w:r>
    </w:p>
    <w:p w:rsidR="00220DBA" w:rsidRDefault="00E27B1D">
      <w:pPr>
        <w:pStyle w:val="Style2"/>
        <w:numPr>
          <w:ilvl w:val="1"/>
          <w:numId w:val="2"/>
        </w:numPr>
        <w:tabs>
          <w:tab w:val="left" w:pos="529"/>
        </w:tabs>
        <w:spacing w:line="257" w:lineRule="auto"/>
      </w:pPr>
      <w:r>
        <w:t>Klient se zavazuje:</w:t>
      </w:r>
    </w:p>
    <w:p w:rsidR="00220DBA" w:rsidRDefault="00E27B1D">
      <w:pPr>
        <w:pStyle w:val="Style2"/>
        <w:numPr>
          <w:ilvl w:val="2"/>
          <w:numId w:val="2"/>
        </w:numPr>
        <w:tabs>
          <w:tab w:val="left" w:pos="558"/>
        </w:tabs>
        <w:spacing w:after="40" w:line="257" w:lineRule="auto"/>
        <w:ind w:left="540" w:hanging="540"/>
      </w:pPr>
      <w:r>
        <w:t>Postupovat přísně dle provozních příruček, manuálů a obdobných provozních a technických pokynů poskytovatele a řádně proškolit každou z osob (obvykle zaměstnanců klienta), která bude službu a/nebo technické vybavení obsluh</w:t>
      </w:r>
      <w:r>
        <w:t>ovat, nebo s nimi jakkoliv zacházet.</w:t>
      </w:r>
    </w:p>
    <w:p w:rsidR="00220DBA" w:rsidRDefault="00E27B1D">
      <w:pPr>
        <w:pStyle w:val="Style2"/>
        <w:numPr>
          <w:ilvl w:val="2"/>
          <w:numId w:val="2"/>
        </w:numPr>
        <w:tabs>
          <w:tab w:val="left" w:pos="577"/>
        </w:tabs>
        <w:spacing w:after="40" w:line="262" w:lineRule="auto"/>
        <w:ind w:left="540" w:hanging="540"/>
      </w:pPr>
      <w:r>
        <w:t>Udržovat dodané technické vybavení v plně funkčním stavu, řádně nainstalované, připojené k elektrické síti.</w:t>
      </w:r>
    </w:p>
    <w:p w:rsidR="00220DBA" w:rsidRDefault="00E27B1D">
      <w:pPr>
        <w:pStyle w:val="Style2"/>
        <w:numPr>
          <w:ilvl w:val="2"/>
          <w:numId w:val="2"/>
        </w:numPr>
        <w:tabs>
          <w:tab w:val="left" w:pos="586"/>
        </w:tabs>
        <w:spacing w:after="40" w:line="262" w:lineRule="auto"/>
        <w:ind w:left="540" w:hanging="540"/>
      </w:pPr>
      <w:r>
        <w:t>Zpřístupnit poskytovateli na požádání místo poskytování služby dle této smlouvy stejně jako přímý přístup k tec</w:t>
      </w:r>
      <w:r>
        <w:t>hnickému vybavení.</w:t>
      </w:r>
    </w:p>
    <w:p w:rsidR="00220DBA" w:rsidRDefault="00E27B1D">
      <w:pPr>
        <w:pStyle w:val="Style2"/>
        <w:numPr>
          <w:ilvl w:val="2"/>
          <w:numId w:val="2"/>
        </w:numPr>
        <w:tabs>
          <w:tab w:val="left" w:pos="586"/>
        </w:tabs>
        <w:spacing w:after="40" w:line="262" w:lineRule="auto"/>
        <w:ind w:left="540" w:hanging="540"/>
      </w:pPr>
      <w:r>
        <w:t>Poskytnout na žádost poskytovateli veškerou nezbytnou součinnost, nutnou ke splnění této smlouvy.</w:t>
      </w:r>
    </w:p>
    <w:p w:rsidR="00220DBA" w:rsidRDefault="00E27B1D">
      <w:pPr>
        <w:pStyle w:val="Style2"/>
        <w:numPr>
          <w:ilvl w:val="2"/>
          <w:numId w:val="2"/>
        </w:numPr>
        <w:tabs>
          <w:tab w:val="left" w:pos="586"/>
        </w:tabs>
        <w:spacing w:after="220" w:line="257" w:lineRule="auto"/>
      </w:pPr>
      <w:r>
        <w:t>Uhradit řádně a včas platby sjednané touto smlouvou.</w:t>
      </w:r>
    </w:p>
    <w:p w:rsidR="00220DBA" w:rsidRDefault="00E27B1D">
      <w:pPr>
        <w:pStyle w:val="Style17"/>
        <w:keepNext/>
        <w:keepLines/>
        <w:numPr>
          <w:ilvl w:val="0"/>
          <w:numId w:val="2"/>
        </w:numPr>
        <w:tabs>
          <w:tab w:val="left" w:pos="529"/>
        </w:tabs>
        <w:spacing w:line="257" w:lineRule="auto"/>
      </w:pPr>
      <w:bookmarkStart w:id="4" w:name="bookmark8"/>
      <w:r>
        <w:t>Náhrada újmy, vyšší moc a smluvní pokuta</w:t>
      </w:r>
      <w:bookmarkEnd w:id="4"/>
    </w:p>
    <w:p w:rsidR="00220DBA" w:rsidRDefault="00E27B1D">
      <w:pPr>
        <w:pStyle w:val="Style2"/>
        <w:numPr>
          <w:ilvl w:val="1"/>
          <w:numId w:val="2"/>
        </w:numPr>
        <w:tabs>
          <w:tab w:val="left" w:pos="529"/>
        </w:tabs>
        <w:ind w:left="540" w:hanging="540"/>
      </w:pPr>
      <w:r>
        <w:t xml:space="preserve">Pokud kterákoliv smluvní strana svým právním </w:t>
      </w:r>
      <w:r>
        <w:t>jednáním porušujícím tuto smlouvu, platnou legislativu nebo dobré mravy způsobí druhé smluvní straně majetkovou či nemajetkovou újmu, je taková smluvní strana povinna druhé smluvní straně újmu v celém rozsahu nahradit.</w:t>
      </w:r>
    </w:p>
    <w:p w:rsidR="00220DBA" w:rsidRDefault="00E27B1D">
      <w:pPr>
        <w:pStyle w:val="Style2"/>
        <w:numPr>
          <w:ilvl w:val="1"/>
          <w:numId w:val="2"/>
        </w:numPr>
        <w:tabs>
          <w:tab w:val="left" w:pos="529"/>
        </w:tabs>
        <w:spacing w:line="257" w:lineRule="auto"/>
        <w:ind w:left="540" w:hanging="540"/>
      </w:pPr>
      <w:r>
        <w:t>Žádná smluvní strana není odpovědna z</w:t>
      </w:r>
      <w:r>
        <w:t xml:space="preserve">a jakékoli nesplnění povinnosti, plynoucích ze smlouvy, pokud toto nesplnění či prodlení bylo způsobeno překážkou, která nastala nezávisle na vůli povinné strany a bránila jí ve splnění její povinnosti, jestliže nelze nebo není možné rozumně předpokládat, </w:t>
      </w:r>
      <w:r>
        <w:t xml:space="preserve">že by povinná strana tuto překážku nebo její následky mohla odvrátit nebo překonat, a dále, že v době vzniku závazku tuto překážku nemohla reálně předvídat (dále jen: </w:t>
      </w:r>
      <w:r>
        <w:rPr>
          <w:b/>
          <w:bCs/>
        </w:rPr>
        <w:t>„vyšší moc“).</w:t>
      </w:r>
    </w:p>
    <w:p w:rsidR="00220DBA" w:rsidRDefault="00E27B1D">
      <w:pPr>
        <w:pStyle w:val="Style2"/>
        <w:numPr>
          <w:ilvl w:val="1"/>
          <w:numId w:val="2"/>
        </w:numPr>
        <w:tabs>
          <w:tab w:val="left" w:pos="529"/>
        </w:tabs>
        <w:spacing w:after="0"/>
      </w:pPr>
      <w:r>
        <w:t>Za vyšší moc se pro účely této smlouvy, pokud splňují předpoklady uvedené</w:t>
      </w:r>
    </w:p>
    <w:p w:rsidR="00220DBA" w:rsidRDefault="00E27B1D">
      <w:pPr>
        <w:pStyle w:val="Style2"/>
        <w:ind w:left="540"/>
      </w:pPr>
      <w:r>
        <w:t>v</w:t>
      </w:r>
      <w:r>
        <w:t xml:space="preserve"> předcházejícím odstavci, považují zejména např.: přírodní katastrofy, požáry, poruchy elektronického zařízení a poruchy přístrojů, poruchy dodávek energií a dostupnosti signálu, povodně, vichřice nebo jiné atmosférické poruchy a jevy značného rozsahu, neb</w:t>
      </w:r>
      <w:r>
        <w:t>o občanské nepokoje, stávky či rozhodnutí a normativní akty orgánů veřejné moci, regulace, omezení, zákazy nebo jiné zásahy státu, orgánů státní správy nebo samosprávy, atd.</w:t>
      </w:r>
    </w:p>
    <w:p w:rsidR="00220DBA" w:rsidRDefault="00E27B1D">
      <w:pPr>
        <w:pStyle w:val="Style2"/>
        <w:numPr>
          <w:ilvl w:val="1"/>
          <w:numId w:val="2"/>
        </w:numPr>
        <w:tabs>
          <w:tab w:val="left" w:pos="529"/>
        </w:tabs>
        <w:ind w:left="540" w:hanging="540"/>
      </w:pPr>
      <w:r>
        <w:t>Smluvní strany sjednávají omezení výše náhrady újmy hrazené jednou smluvní stranou</w:t>
      </w:r>
      <w:r>
        <w:t xml:space="preserve"> straně druhé, kdy tato újma se limituje se ve svém celku (tedy po celou dobu trvání této smlouvy) do výše trojnásobku průměrné skutečné měsíční platby klienta za poskytnuté </w:t>
      </w:r>
      <w:r>
        <w:t>služby dle této smlouvy průměrované za tři celé (ukončené) kalendářní měsíce, před</w:t>
      </w:r>
      <w:r>
        <w:t>cházející příp. počátku škodní události, na základě, které má dotčená smluvní strana na náhradu újmy nárok.</w:t>
      </w:r>
    </w:p>
    <w:p w:rsidR="00220DBA" w:rsidRDefault="00E27B1D">
      <w:pPr>
        <w:pStyle w:val="Style2"/>
        <w:numPr>
          <w:ilvl w:val="1"/>
          <w:numId w:val="2"/>
        </w:numPr>
        <w:tabs>
          <w:tab w:val="left" w:pos="534"/>
        </w:tabs>
        <w:spacing w:after="220"/>
        <w:ind w:left="520" w:hanging="520"/>
      </w:pPr>
      <w:r>
        <w:lastRenderedPageBreak/>
        <w:t>Smluvní strany sjednávají jednorázovou smluvní pokutu ve prospěch poskytovatele, kterou je klient povinen uhradit, pokud by z jakýchkoliv důvodů, le</w:t>
      </w:r>
      <w:r>
        <w:t>žících mimo sféru vlivu poskytovatele, klient nedodržel sjednanou dobu účinnosti smlouvy (ve smyslu odst. 7.1 této smlouvy), nebojí jinak hrubě porušil (typicky neplacením sjednané ceny); v tomto případě se smluvní pokuta sjednává ve výši součinu měsíční c</w:t>
      </w:r>
      <w:r>
        <w:t xml:space="preserve">eny nájmu veškerého technického vybavení a počtu (byť jen započatých) kalendářních měsíců, které zbývají do konce účinnosti smlouvy ve smyslu odst. 7.1 této smlouvy. Tato smluvní pokuta je splatná do patnácti kalendářních ode dne, kdy poskytovatel klienta </w:t>
      </w:r>
      <w:r>
        <w:t>k úhradě smluvní pokuty písemně vyzve. Dnem, kdy poskytovateli vznikne nárok na úhradu smluvní pokuty dle tohoto odstavce smlouvy je klient též oprávněn ukončit plnění této smlouvy a deaktivovat a odstranit technické vybavení.</w:t>
      </w:r>
    </w:p>
    <w:p w:rsidR="00220DBA" w:rsidRDefault="00E27B1D">
      <w:pPr>
        <w:pStyle w:val="Style17"/>
        <w:keepNext/>
        <w:keepLines/>
        <w:numPr>
          <w:ilvl w:val="0"/>
          <w:numId w:val="2"/>
        </w:numPr>
        <w:tabs>
          <w:tab w:val="left" w:pos="534"/>
        </w:tabs>
      </w:pPr>
      <w:bookmarkStart w:id="5" w:name="bookmark10"/>
      <w:r>
        <w:t>Platnost a účinnost smlouvy</w:t>
      </w:r>
      <w:bookmarkEnd w:id="5"/>
    </w:p>
    <w:p w:rsidR="00220DBA" w:rsidRDefault="00E27B1D">
      <w:pPr>
        <w:pStyle w:val="Style2"/>
        <w:numPr>
          <w:ilvl w:val="1"/>
          <w:numId w:val="2"/>
        </w:numPr>
        <w:tabs>
          <w:tab w:val="left" w:pos="534"/>
        </w:tabs>
      </w:pPr>
      <w:r>
        <w:t>T</w:t>
      </w:r>
      <w:r>
        <w:t>ato smlouva se sjednává na dobu určitou do 31. 10. 2022.</w:t>
      </w:r>
    </w:p>
    <w:p w:rsidR="00220DBA" w:rsidRDefault="00E27B1D">
      <w:pPr>
        <w:pStyle w:val="Style2"/>
        <w:numPr>
          <w:ilvl w:val="1"/>
          <w:numId w:val="2"/>
        </w:numPr>
        <w:tabs>
          <w:tab w:val="left" w:pos="534"/>
        </w:tabs>
      </w:pPr>
      <w:r>
        <w:t>Platnost smlouvy počíná dnem 1.11.2021.</w:t>
      </w:r>
    </w:p>
    <w:p w:rsidR="00220DBA" w:rsidRDefault="00E27B1D">
      <w:pPr>
        <w:pStyle w:val="Style2"/>
        <w:numPr>
          <w:ilvl w:val="1"/>
          <w:numId w:val="2"/>
        </w:numPr>
        <w:tabs>
          <w:tab w:val="left" w:pos="534"/>
        </w:tabs>
        <w:spacing w:line="257" w:lineRule="auto"/>
        <w:ind w:left="520" w:hanging="520"/>
      </w:pPr>
      <w:r>
        <w:t>Účinnost této smlouvy může být ukončena nebo změněna písemnou dohodou smluvních stran.</w:t>
      </w:r>
    </w:p>
    <w:p w:rsidR="00220DBA" w:rsidRDefault="00E27B1D">
      <w:pPr>
        <w:pStyle w:val="Style2"/>
        <w:numPr>
          <w:ilvl w:val="1"/>
          <w:numId w:val="2"/>
        </w:numPr>
        <w:tabs>
          <w:tab w:val="left" w:pos="534"/>
        </w:tabs>
        <w:ind w:left="520" w:hanging="520"/>
      </w:pPr>
      <w:r>
        <w:t>Každá ze smluvních stran je oprávněna tuto smlouvu též písemně vypovědět</w:t>
      </w:r>
      <w:r>
        <w:t>, a to i bez uvedení důvodu. Výpovědní doba sjednává v délce dvou kalendářních měsíců a výpovědní doba počne běžet prvním dnem kalendářního měsíce, který bezprostředně následuje po kalendářním měsíci, ve kterém byla druhé smluvní straně písemná výpověď dor</w:t>
      </w:r>
      <w:r>
        <w:t>učena.</w:t>
      </w:r>
    </w:p>
    <w:p w:rsidR="00220DBA" w:rsidRDefault="00E27B1D">
      <w:pPr>
        <w:pStyle w:val="Style2"/>
        <w:numPr>
          <w:ilvl w:val="1"/>
          <w:numId w:val="2"/>
        </w:numPr>
        <w:tabs>
          <w:tab w:val="left" w:pos="534"/>
        </w:tabs>
        <w:spacing w:after="220" w:line="257" w:lineRule="auto"/>
        <w:ind w:left="520" w:hanging="520"/>
      </w:pPr>
      <w:r>
        <w:t>Závazky, plynoucí z trvání a plnění smlouvy jsou účinné a vymahatelné i po ukončení účinnosti smlouvy.</w:t>
      </w:r>
    </w:p>
    <w:p w:rsidR="00220DBA" w:rsidRDefault="00E27B1D">
      <w:pPr>
        <w:pStyle w:val="Style17"/>
        <w:keepNext/>
        <w:keepLines/>
        <w:numPr>
          <w:ilvl w:val="0"/>
          <w:numId w:val="2"/>
        </w:numPr>
        <w:tabs>
          <w:tab w:val="left" w:pos="534"/>
        </w:tabs>
      </w:pPr>
      <w:bookmarkStart w:id="6" w:name="bookmark12"/>
      <w:r>
        <w:t>Přílohy smlouvy</w:t>
      </w:r>
      <w:bookmarkEnd w:id="6"/>
    </w:p>
    <w:p w:rsidR="00220DBA" w:rsidRDefault="00E27B1D">
      <w:pPr>
        <w:pStyle w:val="Style2"/>
        <w:numPr>
          <w:ilvl w:val="1"/>
          <w:numId w:val="2"/>
        </w:numPr>
        <w:tabs>
          <w:tab w:val="left" w:pos="534"/>
        </w:tabs>
        <w:spacing w:line="257" w:lineRule="auto"/>
        <w:ind w:left="520" w:hanging="520"/>
      </w:pPr>
      <w:r>
        <w:t xml:space="preserve">Práva a povinnosti smluvních stran, plynoucí z této smlouvy jsou též moderovány (všemi) přílohami této smlouvy (byť na ně nemusí </w:t>
      </w:r>
      <w:r>
        <w:t>být v textu výslovně odkázáno).</w:t>
      </w:r>
    </w:p>
    <w:p w:rsidR="00220DBA" w:rsidRDefault="00E27B1D">
      <w:pPr>
        <w:pStyle w:val="Style2"/>
        <w:numPr>
          <w:ilvl w:val="1"/>
          <w:numId w:val="2"/>
        </w:numPr>
        <w:tabs>
          <w:tab w:val="left" w:pos="534"/>
        </w:tabs>
        <w:spacing w:after="0"/>
      </w:pPr>
      <w:r>
        <w:t>V případě rozporu mezi přílohami a textem smlouvy má přednost ustanovení smlouvy.</w:t>
      </w:r>
    </w:p>
    <w:p w:rsidR="00220DBA" w:rsidRDefault="00E27B1D">
      <w:pPr>
        <w:pStyle w:val="Style2"/>
        <w:ind w:firstLine="520"/>
      </w:pPr>
      <w:r>
        <w:t>V případě rozporu příloh navzájem se postupuje podle přílohy s nižším pořadovým číslem.</w:t>
      </w:r>
    </w:p>
    <w:p w:rsidR="00220DBA" w:rsidRDefault="00E27B1D">
      <w:pPr>
        <w:pStyle w:val="Style2"/>
        <w:numPr>
          <w:ilvl w:val="1"/>
          <w:numId w:val="2"/>
        </w:numPr>
        <w:tabs>
          <w:tab w:val="left" w:pos="534"/>
        </w:tabs>
        <w:spacing w:line="257" w:lineRule="auto"/>
        <w:ind w:left="520" w:hanging="520"/>
      </w:pPr>
      <w:r>
        <w:t>Klient podpisem smlouvy výslovně potvrzuje, že se sezn</w:t>
      </w:r>
      <w:r>
        <w:t>ámil se všemi jejími přílohami, rozumí jim a nepovažuje jejich obsah za rozporný či překvapivý.</w:t>
      </w:r>
    </w:p>
    <w:p w:rsidR="00220DBA" w:rsidRDefault="00E27B1D">
      <w:pPr>
        <w:pStyle w:val="Style2"/>
        <w:numPr>
          <w:ilvl w:val="1"/>
          <w:numId w:val="2"/>
        </w:numPr>
        <w:tabs>
          <w:tab w:val="left" w:pos="534"/>
        </w:tabs>
        <w:ind w:left="520" w:hanging="520"/>
      </w:pPr>
      <w:r>
        <w:t>Strany výslovně sjednávají oprávnění poskytovatele přílohy smlouvy měnit a upravovat; v takovém případě jsou však změny příloh vůči klientovi účinné nejdříve pr</w:t>
      </w:r>
      <w:r>
        <w:t>vním dnem kalendářního měsíce, který bezprostředně následuje po kalendářním měsíci, ve kterém poskytovatel klienta na změnu příloh upozornil.</w:t>
      </w:r>
    </w:p>
    <w:p w:rsidR="00220DBA" w:rsidRDefault="00E27B1D">
      <w:pPr>
        <w:pStyle w:val="Style2"/>
        <w:numPr>
          <w:ilvl w:val="1"/>
          <w:numId w:val="2"/>
        </w:numPr>
        <w:tabs>
          <w:tab w:val="left" w:pos="534"/>
        </w:tabs>
      </w:pPr>
      <w:r>
        <w:t>Součástí této smlouvy jsou následující přílohy:</w:t>
      </w:r>
    </w:p>
    <w:p w:rsidR="00220DBA" w:rsidRDefault="00E27B1D">
      <w:pPr>
        <w:pStyle w:val="Style2"/>
        <w:numPr>
          <w:ilvl w:val="2"/>
          <w:numId w:val="2"/>
        </w:numPr>
        <w:tabs>
          <w:tab w:val="left" w:pos="553"/>
        </w:tabs>
        <w:spacing w:after="40"/>
      </w:pPr>
      <w:r>
        <w:t>Příloha č. 01 - Ceník poskytnutého technického vybavení</w:t>
      </w:r>
    </w:p>
    <w:p w:rsidR="00220DBA" w:rsidRDefault="00E27B1D">
      <w:pPr>
        <w:pStyle w:val="Style2"/>
        <w:numPr>
          <w:ilvl w:val="2"/>
          <w:numId w:val="2"/>
        </w:numPr>
        <w:tabs>
          <w:tab w:val="left" w:pos="577"/>
        </w:tabs>
        <w:spacing w:after="220"/>
      </w:pPr>
      <w:r>
        <w:t>Příloha č.</w:t>
      </w:r>
      <w:r>
        <w:t xml:space="preserve"> 02 - Seznam předávaného technického vybavení</w:t>
      </w:r>
    </w:p>
    <w:p w:rsidR="00220DBA" w:rsidRDefault="00E27B1D">
      <w:pPr>
        <w:pStyle w:val="Style17"/>
        <w:keepNext/>
        <w:keepLines/>
        <w:numPr>
          <w:ilvl w:val="0"/>
          <w:numId w:val="2"/>
        </w:numPr>
        <w:tabs>
          <w:tab w:val="left" w:pos="534"/>
        </w:tabs>
      </w:pPr>
      <w:bookmarkStart w:id="7" w:name="bookmark14"/>
      <w:r>
        <w:t>Závěrečná ustanovení</w:t>
      </w:r>
      <w:bookmarkEnd w:id="7"/>
    </w:p>
    <w:p w:rsidR="00220DBA" w:rsidRDefault="00E27B1D">
      <w:pPr>
        <w:pStyle w:val="Style2"/>
        <w:numPr>
          <w:ilvl w:val="1"/>
          <w:numId w:val="2"/>
        </w:numPr>
        <w:tabs>
          <w:tab w:val="left" w:pos="534"/>
        </w:tabs>
        <w:ind w:left="520" w:hanging="520"/>
      </w:pPr>
      <w:r>
        <w:t>Tato smlouva vznikla též proto, aby předcházela možným budoucím sporům a konfliktům smluvních stran. Smluvní strany též výslovně uzavřením této smlouvy konstatují, že mají a zachovají si do</w:t>
      </w:r>
      <w:r>
        <w:t>brou vůli ke smírnému řešení jakýchkoliv vzájemných budoucích sporů. Smluvní strany se zavazují v případě sporu tento eskalovat až ke statutárním orgánům obou stran, preferovaně k těm osobám, které tuto smlouvu uzavřely (podepsaly). Pokud ani takové jednán</w:t>
      </w:r>
      <w:r>
        <w:t>í nepovede k vyřešení sporné otázky, rozhodnou o sporu mezi smluvními stranami obecné soudy České republiky s místní příslušností dle sídla poskytovatele.</w:t>
      </w:r>
    </w:p>
    <w:p w:rsidR="009A5697" w:rsidRDefault="009A5697" w:rsidP="009A5697">
      <w:pPr>
        <w:pStyle w:val="Style2"/>
        <w:tabs>
          <w:tab w:val="left" w:pos="534"/>
        </w:tabs>
      </w:pPr>
    </w:p>
    <w:p w:rsidR="009A5697" w:rsidRDefault="009A5697" w:rsidP="009A5697">
      <w:pPr>
        <w:pStyle w:val="Style2"/>
        <w:tabs>
          <w:tab w:val="left" w:pos="534"/>
        </w:tabs>
      </w:pPr>
    </w:p>
    <w:p w:rsidR="009A5697" w:rsidRDefault="009A5697" w:rsidP="009A5697">
      <w:pPr>
        <w:pStyle w:val="Style2"/>
        <w:tabs>
          <w:tab w:val="left" w:pos="534"/>
        </w:tabs>
      </w:pPr>
    </w:p>
    <w:p w:rsidR="00220DBA" w:rsidRDefault="00E27B1D">
      <w:pPr>
        <w:pStyle w:val="Style2"/>
        <w:numPr>
          <w:ilvl w:val="1"/>
          <w:numId w:val="2"/>
        </w:numPr>
        <w:tabs>
          <w:tab w:val="left" w:pos="523"/>
        </w:tabs>
        <w:ind w:left="500" w:hanging="500"/>
      </w:pPr>
      <w:r>
        <w:lastRenderedPageBreak/>
        <w:t>Práva a povinnosti smluvních stran, plynoucí ze smlouvy, jejich zajištění, změny a zánik, stejně jako</w:t>
      </w:r>
      <w:r>
        <w:t xml:space="preserve"> otázky smlouvou výslovně neupravené, řídí se výhradně právním řádem České republiky s vyloučením kolizních norem, a to zejména zákonem. Na tuto smlouvu jako celek budiž pohlíženo jako na smlouvu inominátní ve smyslu par. 1746, odst. 2, zákona; část 4. sml</w:t>
      </w:r>
      <w:r>
        <w:t>ouvy řídí se ustanovení o kupní smlouvě ve smyslu par. 2079 a násl. zákona.</w:t>
      </w:r>
    </w:p>
    <w:p w:rsidR="00220DBA" w:rsidRDefault="00E27B1D">
      <w:pPr>
        <w:pStyle w:val="Style2"/>
        <w:numPr>
          <w:ilvl w:val="1"/>
          <w:numId w:val="2"/>
        </w:numPr>
        <w:tabs>
          <w:tab w:val="left" w:pos="523"/>
        </w:tabs>
        <w:spacing w:line="257" w:lineRule="auto"/>
        <w:ind w:left="500" w:hanging="500"/>
      </w:pPr>
      <w:r>
        <w:t xml:space="preserve">Strany prohlašují, že je jim znám úmysl druhé smluvní strany obsažený ve všech ujednáních v této smlouvě, stejně jako význam všech v ní obsažených pojmů, a že veškeré nejasnosti a </w:t>
      </w:r>
      <w:r>
        <w:t>pochybnosti si smluvní strany vzájemně vysvětlily před podpisem této smlouvy, proto strany výslovně vylučují aplikaci par. 557, zákona.</w:t>
      </w:r>
    </w:p>
    <w:p w:rsidR="00220DBA" w:rsidRDefault="00E27B1D">
      <w:pPr>
        <w:pStyle w:val="Style2"/>
        <w:numPr>
          <w:ilvl w:val="1"/>
          <w:numId w:val="2"/>
        </w:numPr>
        <w:tabs>
          <w:tab w:val="left" w:pos="523"/>
        </w:tabs>
        <w:spacing w:line="257" w:lineRule="auto"/>
        <w:ind w:left="500" w:hanging="500"/>
      </w:pPr>
      <w:r>
        <w:t>Strany souhlasně prohlašují, že mají zájem na trvání nedotčených ustanovení smlouvy v případě, že by se jakákoliv její č</w:t>
      </w:r>
      <w:r>
        <w:t>ást stala neplatnou či byla neplatnou absolutně, ledaže bude neplatností stiženo ujednání, které určuje druh, množství, jakost, provedení nebo čas plnění předmětu smlouvy. Zněním tohoto odstavce se nahrazuje a vylučuje aplikaci ustanovení par. 576, zákona.</w:t>
      </w:r>
    </w:p>
    <w:p w:rsidR="00220DBA" w:rsidRDefault="00E27B1D">
      <w:pPr>
        <w:pStyle w:val="Style2"/>
        <w:numPr>
          <w:ilvl w:val="1"/>
          <w:numId w:val="2"/>
        </w:numPr>
        <w:tabs>
          <w:tab w:val="left" w:pos="523"/>
        </w:tabs>
        <w:spacing w:line="262" w:lineRule="auto"/>
        <w:ind w:left="500" w:hanging="500"/>
      </w:pPr>
      <w:r>
        <w:t>Strany tímto přebírají riziko podstatné změny okolností ve smyslu ustanovení par. 1765 a par. 1766 zákona. Stranám tedy nevzniká právo renegociace smlouvy pro případ změny okolností.</w:t>
      </w:r>
    </w:p>
    <w:p w:rsidR="00220DBA" w:rsidRDefault="00E27B1D">
      <w:pPr>
        <w:pStyle w:val="Style2"/>
        <w:numPr>
          <w:ilvl w:val="1"/>
          <w:numId w:val="2"/>
        </w:numPr>
        <w:tabs>
          <w:tab w:val="left" w:pos="523"/>
        </w:tabs>
        <w:spacing w:line="262" w:lineRule="auto"/>
        <w:ind w:left="500" w:hanging="500"/>
      </w:pPr>
      <w:r>
        <w:t>Je-li v této smlouvě určena částka či množství čísly i slovy a jsou-li t</w:t>
      </w:r>
      <w:r>
        <w:t>yto dvě formy v rozporu, platí to, co je uvedeno slovy.</w:t>
      </w:r>
    </w:p>
    <w:p w:rsidR="00220DBA" w:rsidRDefault="00E27B1D">
      <w:pPr>
        <w:pStyle w:val="Style2"/>
        <w:numPr>
          <w:ilvl w:val="1"/>
          <w:numId w:val="2"/>
        </w:numPr>
        <w:tabs>
          <w:tab w:val="left" w:pos="523"/>
        </w:tabs>
        <w:ind w:left="500" w:hanging="500"/>
      </w:pPr>
      <w:r>
        <w:t>Podléhá-li tato smlouva povinnému zveřejnění v Registru smluv, nebo obdobné zásadě veřejnosti, popř. pokud je na straně klienta potřeba dodržet zvláštní procesní úkony v režimu mimo soukromé právo, dá</w:t>
      </w:r>
      <w:r>
        <w:t>vají k tomu obě smluvní strany výslovný souhlas a pověřují výhradně klienta publikací smlouvy a/nebo provedením dalších potřebných procesních a schvalovacích úkonů. Obě smluvní strany udělují svolení ke zveřejnění smlouvy vč. jejích dodatků bez dalších pod</w:t>
      </w:r>
      <w:r>
        <w:t>mínek.</w:t>
      </w:r>
    </w:p>
    <w:p w:rsidR="00220DBA" w:rsidRDefault="00E27B1D">
      <w:pPr>
        <w:pStyle w:val="Style2"/>
        <w:numPr>
          <w:ilvl w:val="1"/>
          <w:numId w:val="2"/>
        </w:numPr>
        <w:tabs>
          <w:tab w:val="left" w:pos="523"/>
        </w:tabs>
        <w:ind w:left="500" w:hanging="500"/>
      </w:pPr>
      <w:r>
        <w:t>Veškeré změny a doplňky této smlouvy lze sjednávat pouze formou písemných dodatků chronologicky číslovaných vzestupnou číselnou řadou. Platnost a účinnost těchto dodatků je podmíněna podpisem obou smluvních stran, jiná ujednání jsou neplatná.</w:t>
      </w:r>
    </w:p>
    <w:p w:rsidR="00220DBA" w:rsidRDefault="00E27B1D">
      <w:pPr>
        <w:pStyle w:val="Style2"/>
        <w:numPr>
          <w:ilvl w:val="1"/>
          <w:numId w:val="2"/>
        </w:numPr>
        <w:tabs>
          <w:tab w:val="left" w:pos="523"/>
        </w:tabs>
        <w:spacing w:line="257" w:lineRule="auto"/>
        <w:ind w:left="500" w:hanging="500"/>
      </w:pPr>
      <w:r>
        <w:t>Tato s</w:t>
      </w:r>
      <w:r>
        <w:t>mlouva se vyhotovuje ve dvou stejnopisech v českém jazyce, z nichž každý má platnost originálu a každá ze smluvních stran obdrží po jednom vyhotovení.</w:t>
      </w:r>
    </w:p>
    <w:p w:rsidR="00220DBA" w:rsidRDefault="00E27B1D">
      <w:pPr>
        <w:pStyle w:val="Style2"/>
        <w:numPr>
          <w:ilvl w:val="1"/>
          <w:numId w:val="2"/>
        </w:numPr>
        <w:tabs>
          <w:tab w:val="left" w:pos="529"/>
        </w:tabs>
        <w:ind w:left="500" w:hanging="500"/>
      </w:pPr>
      <w:r>
        <w:t xml:space="preserve">Tato písemná forma smlouvy představuje úplnou dohodu stran o předmětu a náležitostech smlouvy. Pro </w:t>
      </w:r>
      <w:r>
        <w:t>vyloučení pochybností se strany dohodly, že tato forma smlouvy nahrazuje případná veškerá předchozí jednání, rozhovory a dohody mezi nimi, která se týkala uzavření smlouvy se shodným předmětem. Zároveň strany prohlašují, že smlouva obsahuje veškeré náležit</w:t>
      </w:r>
      <w:r>
        <w:t>osti, které považují za předpoklad pro její uzavření a že všechny náležitosti, o kterých kterákoliv ze stran před uzavřením této smlouvy prohlásila, že dosažení shody o ní je předpokladem uzavření smlouvy, jsou již ve smlouvě obsaženy, nebo na nich před je</w:t>
      </w:r>
      <w:r>
        <w:t>jím uzavřením strana již netrvala.</w:t>
      </w:r>
    </w:p>
    <w:p w:rsidR="00220DBA" w:rsidRDefault="00E27B1D">
      <w:pPr>
        <w:pStyle w:val="Style2"/>
        <w:numPr>
          <w:ilvl w:val="1"/>
          <w:numId w:val="2"/>
        </w:numPr>
        <w:tabs>
          <w:tab w:val="left" w:pos="523"/>
        </w:tabs>
        <w:spacing w:line="257" w:lineRule="auto"/>
        <w:ind w:left="500" w:hanging="500"/>
      </w:pPr>
      <w:r>
        <w:t xml:space="preserve">Obě smluvní strany tímto prohlašují a potvrzují podpisem smlouvy, že veškerá ustanovení a podmínky této smlouvy byly dohodnuty mezi stranami svobodně, vážně a určitě, nikoliv v tísni a za nápadně nevýhodných podmínek, že </w:t>
      </w:r>
      <w:r>
        <w:t>s nimi souhlasí, na důkaz čehož připojují své vlastnoruční nebo elektronické podpisy.</w:t>
      </w:r>
    </w:p>
    <w:p w:rsidR="00220DBA" w:rsidRDefault="00E27B1D">
      <w:pPr>
        <w:pStyle w:val="Style2"/>
        <w:jc w:val="center"/>
        <w:sectPr w:rsidR="00220DBA">
          <w:headerReference w:type="default" r:id="rId8"/>
          <w:footerReference w:type="default" r:id="rId9"/>
          <w:pgSz w:w="11909" w:h="16838"/>
          <w:pgMar w:top="1997" w:right="1414" w:bottom="1353" w:left="1282" w:header="0" w:footer="3" w:gutter="0"/>
          <w:pgNumType w:start="1"/>
          <w:cols w:space="720"/>
          <w:noEndnote/>
          <w:docGrid w:linePitch="360"/>
        </w:sectPr>
      </w:pPr>
      <w:r>
        <w:rPr>
          <w:i/>
          <w:iCs/>
        </w:rPr>
        <w:t xml:space="preserve">(Úmyslně ponecháno </w:t>
      </w:r>
      <w:r>
        <w:rPr>
          <w:i/>
          <w:iCs/>
        </w:rPr>
        <w:t>prázdné; následuje podpisová strana.)</w:t>
      </w:r>
    </w:p>
    <w:p w:rsidR="00220DBA" w:rsidRDefault="00220DBA">
      <w:pPr>
        <w:spacing w:line="240" w:lineRule="exact"/>
        <w:rPr>
          <w:sz w:val="19"/>
          <w:szCs w:val="19"/>
        </w:rPr>
      </w:pPr>
    </w:p>
    <w:p w:rsidR="00220DBA" w:rsidRDefault="00220DBA">
      <w:pPr>
        <w:spacing w:line="240" w:lineRule="exact"/>
        <w:rPr>
          <w:sz w:val="19"/>
          <w:szCs w:val="19"/>
        </w:rPr>
      </w:pPr>
    </w:p>
    <w:p w:rsidR="00220DBA" w:rsidRDefault="00220DBA">
      <w:pPr>
        <w:spacing w:before="119" w:after="119" w:line="240" w:lineRule="exact"/>
        <w:rPr>
          <w:sz w:val="19"/>
          <w:szCs w:val="19"/>
        </w:rPr>
      </w:pPr>
    </w:p>
    <w:p w:rsidR="00220DBA" w:rsidRDefault="00220DBA">
      <w:pPr>
        <w:spacing w:line="1" w:lineRule="exact"/>
        <w:sectPr w:rsidR="00220DBA">
          <w:pgSz w:w="11947" w:h="16872"/>
          <w:pgMar w:top="1509" w:right="1482" w:bottom="1154" w:left="1364" w:header="0" w:footer="3" w:gutter="0"/>
          <w:cols w:space="720"/>
          <w:noEndnote/>
          <w:docGrid w:linePitch="360"/>
        </w:sectPr>
      </w:pPr>
    </w:p>
    <w:p w:rsidR="009A5697" w:rsidRDefault="009A5697">
      <w:pPr>
        <w:pStyle w:val="Style17"/>
        <w:keepNext/>
        <w:keepLines/>
        <w:framePr w:w="3768" w:h="907" w:wrap="none" w:vAnchor="text" w:hAnchor="page" w:x="1374" w:y="21"/>
        <w:spacing w:after="120" w:line="240" w:lineRule="auto"/>
      </w:pPr>
      <w:bookmarkStart w:id="8" w:name="bookmark16"/>
    </w:p>
    <w:p w:rsidR="009A5697" w:rsidRDefault="009A5697">
      <w:pPr>
        <w:pStyle w:val="Style17"/>
        <w:keepNext/>
        <w:keepLines/>
        <w:framePr w:w="3768" w:h="907" w:wrap="none" w:vAnchor="text" w:hAnchor="page" w:x="1374" w:y="21"/>
        <w:spacing w:after="120" w:line="240" w:lineRule="auto"/>
      </w:pPr>
    </w:p>
    <w:p w:rsidR="009A5697" w:rsidRDefault="009A5697">
      <w:pPr>
        <w:pStyle w:val="Style17"/>
        <w:keepNext/>
        <w:keepLines/>
        <w:framePr w:w="3768" w:h="907" w:wrap="none" w:vAnchor="text" w:hAnchor="page" w:x="1374" w:y="21"/>
        <w:spacing w:after="120" w:line="240" w:lineRule="auto"/>
      </w:pPr>
    </w:p>
    <w:p w:rsidR="00220DBA" w:rsidRDefault="00E27B1D">
      <w:pPr>
        <w:pStyle w:val="Style17"/>
        <w:keepNext/>
        <w:keepLines/>
        <w:framePr w:w="3768" w:h="907" w:wrap="none" w:vAnchor="text" w:hAnchor="page" w:x="1374" w:y="21"/>
        <w:spacing w:after="120" w:line="240" w:lineRule="auto"/>
      </w:pPr>
      <w:r>
        <w:t>10 Podpisy smluvních stran</w:t>
      </w:r>
      <w:bookmarkEnd w:id="8"/>
    </w:p>
    <w:p w:rsidR="00220DBA" w:rsidRDefault="00E27B1D">
      <w:pPr>
        <w:pStyle w:val="Style2"/>
        <w:framePr w:w="3768" w:h="907" w:wrap="none" w:vAnchor="text" w:hAnchor="page" w:x="1374" w:y="21"/>
        <w:numPr>
          <w:ilvl w:val="1"/>
          <w:numId w:val="3"/>
        </w:numPr>
        <w:tabs>
          <w:tab w:val="left" w:pos="523"/>
        </w:tabs>
        <w:spacing w:after="60" w:line="240" w:lineRule="auto"/>
      </w:pPr>
      <w:r>
        <w:t>Poskytovatel</w:t>
      </w:r>
    </w:p>
    <w:p w:rsidR="00220DBA" w:rsidRDefault="00E27B1D">
      <w:pPr>
        <w:pStyle w:val="Style2"/>
        <w:framePr w:w="3768" w:h="907" w:wrap="none" w:vAnchor="text" w:hAnchor="page" w:x="1374" w:y="21"/>
        <w:tabs>
          <w:tab w:val="left" w:leader="dot" w:pos="3720"/>
        </w:tabs>
        <w:spacing w:after="80" w:line="240" w:lineRule="auto"/>
      </w:pPr>
      <w:r>
        <w:t>V Praze, dne</w:t>
      </w:r>
      <w:r>
        <w:tab/>
      </w:r>
    </w:p>
    <w:p w:rsidR="009A5697" w:rsidRDefault="009A5697">
      <w:pPr>
        <w:pStyle w:val="Style2"/>
        <w:framePr w:w="3763" w:h="547" w:wrap="none" w:vAnchor="text" w:hAnchor="page" w:x="1365" w:y="3025"/>
        <w:spacing w:after="60" w:line="240" w:lineRule="auto"/>
      </w:pPr>
    </w:p>
    <w:p w:rsidR="009A5697" w:rsidRDefault="009A5697">
      <w:pPr>
        <w:pStyle w:val="Style2"/>
        <w:framePr w:w="3763" w:h="547" w:wrap="none" w:vAnchor="text" w:hAnchor="page" w:x="1365" w:y="3025"/>
        <w:spacing w:after="60" w:line="240" w:lineRule="auto"/>
      </w:pPr>
      <w:bookmarkStart w:id="9" w:name="_GoBack"/>
      <w:bookmarkEnd w:id="9"/>
    </w:p>
    <w:p w:rsidR="009A5697" w:rsidRDefault="009A5697">
      <w:pPr>
        <w:pStyle w:val="Style2"/>
        <w:framePr w:w="3763" w:h="547" w:wrap="none" w:vAnchor="text" w:hAnchor="page" w:x="1365" w:y="3025"/>
        <w:spacing w:after="60" w:line="240" w:lineRule="auto"/>
      </w:pPr>
    </w:p>
    <w:p w:rsidR="009A5697" w:rsidRDefault="009A5697">
      <w:pPr>
        <w:pStyle w:val="Style2"/>
        <w:framePr w:w="3763" w:h="547" w:wrap="none" w:vAnchor="text" w:hAnchor="page" w:x="1365" w:y="3025"/>
        <w:spacing w:after="60" w:line="240" w:lineRule="auto"/>
      </w:pPr>
    </w:p>
    <w:p w:rsidR="00220DBA" w:rsidRDefault="00E27B1D">
      <w:pPr>
        <w:pStyle w:val="Style2"/>
        <w:framePr w:w="3763" w:h="547" w:wrap="none" w:vAnchor="text" w:hAnchor="page" w:x="1365" w:y="3025"/>
        <w:spacing w:after="60" w:line="240" w:lineRule="auto"/>
      </w:pPr>
      <w:r>
        <w:t>10.2 Klient</w:t>
      </w:r>
    </w:p>
    <w:p w:rsidR="00220DBA" w:rsidRDefault="00E27B1D">
      <w:pPr>
        <w:pStyle w:val="Style2"/>
        <w:framePr w:w="3763" w:h="547" w:wrap="none" w:vAnchor="text" w:hAnchor="page" w:x="1365" w:y="3025"/>
        <w:tabs>
          <w:tab w:val="left" w:leader="dot" w:pos="3720"/>
        </w:tabs>
        <w:spacing w:after="0" w:line="240" w:lineRule="auto"/>
      </w:pPr>
      <w:r>
        <w:t>V Praze, dne</w:t>
      </w:r>
      <w:r>
        <w:tab/>
      </w:r>
    </w:p>
    <w:p w:rsidR="00220DBA" w:rsidRDefault="00E27B1D">
      <w:pPr>
        <w:pStyle w:val="Style2"/>
        <w:framePr w:w="1805" w:h="749" w:wrap="none" w:vAnchor="text" w:hAnchor="page" w:x="7715" w:y="2070"/>
        <w:spacing w:after="0"/>
        <w:jc w:val="center"/>
      </w:pPr>
      <w:r>
        <w:t>Peter Szénásy</w:t>
      </w:r>
      <w:r>
        <w:br/>
        <w:t>jednatel</w:t>
      </w:r>
      <w:r>
        <w:br/>
        <w:t>Sensowatch s. r. o.</w:t>
      </w:r>
    </w:p>
    <w:p w:rsidR="00220DBA" w:rsidRDefault="00E27B1D">
      <w:pPr>
        <w:pStyle w:val="Style2"/>
        <w:framePr w:w="2568" w:h="754" w:wrap="none" w:vAnchor="text" w:hAnchor="page" w:x="7336" w:y="4734"/>
        <w:spacing w:after="0" w:line="257" w:lineRule="auto"/>
        <w:jc w:val="center"/>
      </w:pPr>
      <w:r>
        <w:t>Mgr. Bc. Ilona Veselá,</w:t>
      </w:r>
      <w:r>
        <w:br/>
        <w:t>ředitelka</w:t>
      </w:r>
      <w:r>
        <w:br/>
        <w:t>Domov pro seniory Chodov</w:t>
      </w:r>
    </w:p>
    <w:p w:rsidR="00220DBA" w:rsidRDefault="00220DBA">
      <w:pPr>
        <w:spacing w:line="360" w:lineRule="exact"/>
      </w:pPr>
    </w:p>
    <w:p w:rsidR="00220DBA" w:rsidRDefault="00220DBA">
      <w:pPr>
        <w:spacing w:line="360" w:lineRule="exact"/>
      </w:pPr>
    </w:p>
    <w:p w:rsidR="00220DBA" w:rsidRDefault="00220DBA">
      <w:pPr>
        <w:spacing w:line="360" w:lineRule="exact"/>
      </w:pPr>
    </w:p>
    <w:p w:rsidR="00220DBA" w:rsidRDefault="00220DBA">
      <w:pPr>
        <w:spacing w:line="360" w:lineRule="exact"/>
      </w:pPr>
    </w:p>
    <w:p w:rsidR="00220DBA" w:rsidRDefault="00220DBA">
      <w:pPr>
        <w:spacing w:line="360" w:lineRule="exact"/>
      </w:pPr>
    </w:p>
    <w:p w:rsidR="00220DBA" w:rsidRDefault="00220DBA">
      <w:pPr>
        <w:spacing w:line="360" w:lineRule="exact"/>
      </w:pPr>
    </w:p>
    <w:p w:rsidR="00220DBA" w:rsidRDefault="00220DBA">
      <w:pPr>
        <w:spacing w:line="360" w:lineRule="exact"/>
      </w:pPr>
    </w:p>
    <w:p w:rsidR="00220DBA" w:rsidRDefault="00220DBA">
      <w:pPr>
        <w:spacing w:line="360" w:lineRule="exact"/>
      </w:pPr>
    </w:p>
    <w:p w:rsidR="00220DBA" w:rsidRDefault="00220DBA">
      <w:pPr>
        <w:spacing w:line="360" w:lineRule="exact"/>
      </w:pPr>
    </w:p>
    <w:p w:rsidR="00220DBA" w:rsidRDefault="00220DBA">
      <w:pPr>
        <w:spacing w:line="360" w:lineRule="exact"/>
      </w:pPr>
    </w:p>
    <w:p w:rsidR="00220DBA" w:rsidRDefault="00220DBA">
      <w:pPr>
        <w:spacing w:line="360" w:lineRule="exact"/>
      </w:pPr>
    </w:p>
    <w:p w:rsidR="00220DBA" w:rsidRDefault="00220DBA">
      <w:pPr>
        <w:spacing w:line="360" w:lineRule="exact"/>
      </w:pPr>
    </w:p>
    <w:p w:rsidR="00220DBA" w:rsidRDefault="00220DBA">
      <w:pPr>
        <w:spacing w:line="360" w:lineRule="exact"/>
      </w:pPr>
    </w:p>
    <w:p w:rsidR="00220DBA" w:rsidRDefault="00220DBA">
      <w:pPr>
        <w:spacing w:after="445" w:line="1" w:lineRule="exact"/>
      </w:pPr>
    </w:p>
    <w:p w:rsidR="00220DBA" w:rsidRDefault="00220DBA">
      <w:pPr>
        <w:spacing w:line="1" w:lineRule="exact"/>
      </w:pPr>
    </w:p>
    <w:sectPr w:rsidR="00220DBA">
      <w:type w:val="continuous"/>
      <w:pgSz w:w="11947" w:h="16872"/>
      <w:pgMar w:top="1509" w:right="1482" w:bottom="1154" w:left="13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B1D" w:rsidRDefault="00E27B1D">
      <w:r>
        <w:separator/>
      </w:r>
    </w:p>
  </w:endnote>
  <w:endnote w:type="continuationSeparator" w:id="0">
    <w:p w:rsidR="00E27B1D" w:rsidRDefault="00E2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BA" w:rsidRDefault="00E27B1D">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6468110</wp:posOffset>
              </wp:positionH>
              <wp:positionV relativeFrom="page">
                <wp:posOffset>10058400</wp:posOffset>
              </wp:positionV>
              <wp:extent cx="234950"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234950" cy="115570"/>
                      </a:xfrm>
                      <a:prstGeom prst="rect">
                        <a:avLst/>
                      </a:prstGeom>
                      <a:noFill/>
                    </wps:spPr>
                    <wps:txbx>
                      <w:txbxContent>
                        <w:p w:rsidR="00220DBA" w:rsidRDefault="00E27B1D">
                          <w:pPr>
                            <w:pStyle w:val="Style6"/>
                            <w:rPr>
                              <w:sz w:val="19"/>
                              <w:szCs w:val="19"/>
                            </w:rPr>
                          </w:pPr>
                          <w:r>
                            <w:fldChar w:fldCharType="begin"/>
                          </w:r>
                          <w:r>
                            <w:instrText xml:space="preserve"> PAGE \* MERGEFORMAT </w:instrText>
                          </w:r>
                          <w:r>
                            <w:fldChar w:fldCharType="separate"/>
                          </w:r>
                          <w:r w:rsidR="009A5697" w:rsidRPr="009A5697">
                            <w:rPr>
                              <w:i/>
                              <w:iCs/>
                              <w:noProof/>
                              <w:sz w:val="19"/>
                              <w:szCs w:val="19"/>
                              <w:lang w:val="cs-CZ" w:eastAsia="cs-CZ" w:bidi="cs-CZ"/>
                            </w:rPr>
                            <w:t>5</w:t>
                          </w:r>
                          <w:r>
                            <w:rPr>
                              <w:i/>
                              <w:iCs/>
                              <w:sz w:val="19"/>
                              <w:szCs w:val="19"/>
                              <w:lang w:val="cs-CZ" w:eastAsia="cs-CZ" w:bidi="cs-CZ"/>
                            </w:rPr>
                            <w:fldChar w:fldCharType="end"/>
                          </w:r>
                          <w:r>
                            <w:rPr>
                              <w:i/>
                              <w:iCs/>
                              <w:sz w:val="19"/>
                              <w:szCs w:val="19"/>
                              <w:lang w:val="cs-CZ" w:eastAsia="cs-CZ" w:bidi="cs-CZ"/>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09.3pt;margin-top:11in;width:18.5pt;height:9.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" filled="f" stroked="f">
              <v:textbox style="mso-fit-shape-to-text:t" inset="0,0,0,0">
                <w:txbxContent>
                  <w:p w:rsidR="00220DBA" w:rsidRDefault="00E27B1D">
                    <w:pPr>
                      <w:pStyle w:val="Style6"/>
                      <w:rPr>
                        <w:sz w:val="19"/>
                        <w:szCs w:val="19"/>
                      </w:rPr>
                    </w:pPr>
                    <w:r>
                      <w:fldChar w:fldCharType="begin"/>
                    </w:r>
                    <w:r>
                      <w:instrText xml:space="preserve"> PAGE \* MERGEFORMAT </w:instrText>
                    </w:r>
                    <w:r>
                      <w:fldChar w:fldCharType="separate"/>
                    </w:r>
                    <w:r w:rsidR="009A5697" w:rsidRPr="009A5697">
                      <w:rPr>
                        <w:i/>
                        <w:iCs/>
                        <w:noProof/>
                        <w:sz w:val="19"/>
                        <w:szCs w:val="19"/>
                        <w:lang w:val="cs-CZ" w:eastAsia="cs-CZ" w:bidi="cs-CZ"/>
                      </w:rPr>
                      <w:t>5</w:t>
                    </w:r>
                    <w:r>
                      <w:rPr>
                        <w:i/>
                        <w:iCs/>
                        <w:sz w:val="19"/>
                        <w:szCs w:val="19"/>
                        <w:lang w:val="cs-CZ" w:eastAsia="cs-CZ" w:bidi="cs-CZ"/>
                      </w:rPr>
                      <w:fldChar w:fldCharType="end"/>
                    </w:r>
                    <w:r>
                      <w:rPr>
                        <w:i/>
                        <w:iCs/>
                        <w:sz w:val="19"/>
                        <w:szCs w:val="19"/>
                        <w:lang w:val="cs-CZ" w:eastAsia="cs-CZ" w:bidi="cs-CZ"/>
                      </w:rPr>
                      <w:t>/8</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884555</wp:posOffset>
              </wp:positionH>
              <wp:positionV relativeFrom="page">
                <wp:posOffset>10012680</wp:posOffset>
              </wp:positionV>
              <wp:extent cx="5843270" cy="0"/>
              <wp:effectExtent l="0" t="0" r="0" b="0"/>
              <wp:wrapNone/>
              <wp:docPr id="5" name="Shape 5"/>
              <wp:cNvGraphicFramePr/>
              <a:graphic xmlns:a="http://schemas.openxmlformats.org/drawingml/2006/main">
                <a:graphicData uri="http://schemas.microsoft.com/office/word/2010/wordprocessingShape">
                  <wps:wsp>
                    <wps:cNvCnPr/>
                    <wps:spPr>
                      <a:xfrm>
                        <a:off x="0" y="0"/>
                        <a:ext cx="5843270" cy="0"/>
                      </a:xfrm>
                      <a:prstGeom prst="straightConnector1">
                        <a:avLst/>
                      </a:prstGeom>
                      <a:ln w="12700">
                        <a:solidFill/>
                      </a:ln>
                    </wps:spPr>
                    <wps:bodyPr/>
                  </wps:wsp>
                </a:graphicData>
              </a:graphic>
            </wp:anchor>
          </w:drawing>
        </mc:Choice>
        <mc:Fallback>
          <w:pict>
            <v:shape o:spt="32" o:oned="true" path="m,l21600,21600e" style="position:absolute;margin-left:69.650000000000006pt;margin-top:788.39999999999998pt;width:460.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B1D" w:rsidRDefault="00E27B1D"/>
  </w:footnote>
  <w:footnote w:type="continuationSeparator" w:id="0">
    <w:p w:rsidR="00E27B1D" w:rsidRDefault="00E27B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BA" w:rsidRDefault="00E27B1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1753235</wp:posOffset>
              </wp:positionH>
              <wp:positionV relativeFrom="page">
                <wp:posOffset>749300</wp:posOffset>
              </wp:positionV>
              <wp:extent cx="1261745" cy="133985"/>
              <wp:effectExtent l="0" t="0" r="0" b="0"/>
              <wp:wrapNone/>
              <wp:docPr id="1" name="Shape 1"/>
              <wp:cNvGraphicFramePr/>
              <a:graphic xmlns:a="http://schemas.openxmlformats.org/drawingml/2006/main">
                <a:graphicData uri="http://schemas.microsoft.com/office/word/2010/wordprocessingShape">
                  <wps:wsp>
                    <wps:cNvSpPr txBox="1"/>
                    <wps:spPr>
                      <a:xfrm>
                        <a:off x="0" y="0"/>
                        <a:ext cx="1261745" cy="133985"/>
                      </a:xfrm>
                      <a:prstGeom prst="rect">
                        <a:avLst/>
                      </a:prstGeom>
                      <a:noFill/>
                    </wps:spPr>
                    <wps:txbx>
                      <w:txbxContent>
                        <w:p w:rsidR="00220DBA" w:rsidRDefault="00E27B1D">
                          <w:pPr>
                            <w:pStyle w:val="Style6"/>
                            <w:rPr>
                              <w:sz w:val="28"/>
                              <w:szCs w:val="28"/>
                            </w:rPr>
                          </w:pPr>
                          <w:r>
                            <w:rPr>
                              <w:rFonts w:ascii="Arial" w:eastAsia="Arial" w:hAnsi="Arial" w:cs="Arial"/>
                              <w:b/>
                              <w:bCs/>
                              <w:sz w:val="28"/>
                              <w:szCs w:val="28"/>
                            </w:rPr>
                            <w:t>SENSOWATCH</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38.05000000000001pt;margin-top:59.pt;width:99.350000000000009pt;height:10.5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000000"/>
                        <w:spacing w:val="0"/>
                        <w:w w:val="100"/>
                        <w:position w:val="0"/>
                        <w:sz w:val="28"/>
                        <w:szCs w:val="28"/>
                        <w:shd w:val="clear" w:color="auto" w:fill="auto"/>
                      </w:rPr>
                      <w:t>SENSOWATCH</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8345E"/>
    <w:multiLevelType w:val="multilevel"/>
    <w:tmpl w:val="79CC2536"/>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3A64D5"/>
    <w:multiLevelType w:val="multilevel"/>
    <w:tmpl w:val="33BC40F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78767D"/>
    <w:multiLevelType w:val="multilevel"/>
    <w:tmpl w:val="E7BA507C"/>
    <w:lvl w:ilvl="0">
      <w:start w:val="10"/>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220DBA"/>
    <w:rsid w:val="00220DBA"/>
    <w:rsid w:val="009A5697"/>
    <w:rsid w:val="00E27B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0"/>
      <w:szCs w:val="20"/>
      <w:u w:val="none"/>
    </w:rPr>
  </w:style>
  <w:style w:type="character" w:customStyle="1" w:styleId="CharStyle7">
    <w:name w:val="Char Style 7"/>
    <w:basedOn w:val="Standardnpsmoodstavce"/>
    <w:link w:val="Style6"/>
    <w:rPr>
      <w:b w:val="0"/>
      <w:bCs w:val="0"/>
      <w:i w:val="0"/>
      <w:iCs w:val="0"/>
      <w:smallCaps w:val="0"/>
      <w:strike w:val="0"/>
      <w:sz w:val="20"/>
      <w:szCs w:val="20"/>
      <w:u w:val="none"/>
      <w:lang w:val="en-US" w:eastAsia="en-US" w:bidi="en-US"/>
    </w:rPr>
  </w:style>
  <w:style w:type="character" w:customStyle="1" w:styleId="CharStyle11">
    <w:name w:val="Char Style 11"/>
    <w:basedOn w:val="Standardnpsmoodstavce"/>
    <w:link w:val="Style10"/>
    <w:rPr>
      <w:rFonts w:ascii="Arial" w:eastAsia="Arial" w:hAnsi="Arial" w:cs="Arial"/>
      <w:b w:val="0"/>
      <w:bCs w:val="0"/>
      <w:i w:val="0"/>
      <w:iCs w:val="0"/>
      <w:smallCaps w:val="0"/>
      <w:strike w:val="0"/>
      <w:sz w:val="20"/>
      <w:szCs w:val="20"/>
      <w:u w:val="none"/>
    </w:rPr>
  </w:style>
  <w:style w:type="character" w:customStyle="1" w:styleId="CharStyle15">
    <w:name w:val="Char Style 15"/>
    <w:basedOn w:val="Standardnpsmoodstavce"/>
    <w:link w:val="Style14"/>
    <w:rPr>
      <w:rFonts w:ascii="Arial" w:eastAsia="Arial" w:hAnsi="Arial" w:cs="Arial"/>
      <w:b/>
      <w:bCs/>
      <w:i w:val="0"/>
      <w:iCs w:val="0"/>
      <w:smallCaps w:val="0"/>
      <w:strike w:val="0"/>
      <w:sz w:val="20"/>
      <w:szCs w:val="20"/>
      <w:u w:val="none"/>
    </w:rPr>
  </w:style>
  <w:style w:type="character" w:customStyle="1" w:styleId="CharStyle18">
    <w:name w:val="Char Style 18"/>
    <w:basedOn w:val="Standardnpsmoodstavce"/>
    <w:link w:val="Style17"/>
    <w:rPr>
      <w:rFonts w:ascii="Arial" w:eastAsia="Arial" w:hAnsi="Arial" w:cs="Arial"/>
      <w:b/>
      <w:bCs/>
      <w:i w:val="0"/>
      <w:iCs w:val="0"/>
      <w:smallCaps w:val="0"/>
      <w:strike w:val="0"/>
      <w:sz w:val="20"/>
      <w:szCs w:val="20"/>
      <w:u w:val="none"/>
    </w:rPr>
  </w:style>
  <w:style w:type="paragraph" w:customStyle="1" w:styleId="Style2">
    <w:name w:val="Style 2"/>
    <w:basedOn w:val="Normln"/>
    <w:link w:val="CharStyle3"/>
    <w:pPr>
      <w:spacing w:after="100" w:line="254" w:lineRule="auto"/>
    </w:pPr>
    <w:rPr>
      <w:rFonts w:ascii="Arial" w:eastAsia="Arial" w:hAnsi="Arial" w:cs="Arial"/>
      <w:sz w:val="20"/>
      <w:szCs w:val="20"/>
    </w:rPr>
  </w:style>
  <w:style w:type="paragraph" w:customStyle="1" w:styleId="Style6">
    <w:name w:val="Style 6"/>
    <w:basedOn w:val="Normln"/>
    <w:link w:val="CharStyle7"/>
    <w:rPr>
      <w:sz w:val="20"/>
      <w:szCs w:val="20"/>
      <w:lang w:val="en-US" w:eastAsia="en-US" w:bidi="en-US"/>
    </w:rPr>
  </w:style>
  <w:style w:type="paragraph" w:customStyle="1" w:styleId="Style10">
    <w:name w:val="Style 10"/>
    <w:basedOn w:val="Normln"/>
    <w:link w:val="CharStyle11"/>
    <w:pPr>
      <w:spacing w:after="100" w:line="254" w:lineRule="auto"/>
    </w:pPr>
    <w:rPr>
      <w:rFonts w:ascii="Arial" w:eastAsia="Arial" w:hAnsi="Arial" w:cs="Arial"/>
      <w:sz w:val="20"/>
      <w:szCs w:val="20"/>
    </w:rPr>
  </w:style>
  <w:style w:type="paragraph" w:customStyle="1" w:styleId="Style14">
    <w:name w:val="Style 14"/>
    <w:basedOn w:val="Normln"/>
    <w:link w:val="CharStyle15"/>
    <w:pPr>
      <w:spacing w:after="20" w:line="247" w:lineRule="auto"/>
    </w:pPr>
    <w:rPr>
      <w:rFonts w:ascii="Arial" w:eastAsia="Arial" w:hAnsi="Arial" w:cs="Arial"/>
      <w:b/>
      <w:bCs/>
      <w:sz w:val="20"/>
      <w:szCs w:val="20"/>
    </w:rPr>
  </w:style>
  <w:style w:type="paragraph" w:customStyle="1" w:styleId="Style17">
    <w:name w:val="Style 17"/>
    <w:basedOn w:val="Normln"/>
    <w:link w:val="CharStyle18"/>
    <w:pPr>
      <w:spacing w:after="100" w:line="254" w:lineRule="auto"/>
      <w:outlineLvl w:val="0"/>
    </w:pPr>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0"/>
      <w:szCs w:val="20"/>
      <w:u w:val="none"/>
    </w:rPr>
  </w:style>
  <w:style w:type="character" w:customStyle="1" w:styleId="CharStyle7">
    <w:name w:val="Char Style 7"/>
    <w:basedOn w:val="Standardnpsmoodstavce"/>
    <w:link w:val="Style6"/>
    <w:rPr>
      <w:b w:val="0"/>
      <w:bCs w:val="0"/>
      <w:i w:val="0"/>
      <w:iCs w:val="0"/>
      <w:smallCaps w:val="0"/>
      <w:strike w:val="0"/>
      <w:sz w:val="20"/>
      <w:szCs w:val="20"/>
      <w:u w:val="none"/>
      <w:lang w:val="en-US" w:eastAsia="en-US" w:bidi="en-US"/>
    </w:rPr>
  </w:style>
  <w:style w:type="character" w:customStyle="1" w:styleId="CharStyle11">
    <w:name w:val="Char Style 11"/>
    <w:basedOn w:val="Standardnpsmoodstavce"/>
    <w:link w:val="Style10"/>
    <w:rPr>
      <w:rFonts w:ascii="Arial" w:eastAsia="Arial" w:hAnsi="Arial" w:cs="Arial"/>
      <w:b w:val="0"/>
      <w:bCs w:val="0"/>
      <w:i w:val="0"/>
      <w:iCs w:val="0"/>
      <w:smallCaps w:val="0"/>
      <w:strike w:val="0"/>
      <w:sz w:val="20"/>
      <w:szCs w:val="20"/>
      <w:u w:val="none"/>
    </w:rPr>
  </w:style>
  <w:style w:type="character" w:customStyle="1" w:styleId="CharStyle15">
    <w:name w:val="Char Style 15"/>
    <w:basedOn w:val="Standardnpsmoodstavce"/>
    <w:link w:val="Style14"/>
    <w:rPr>
      <w:rFonts w:ascii="Arial" w:eastAsia="Arial" w:hAnsi="Arial" w:cs="Arial"/>
      <w:b/>
      <w:bCs/>
      <w:i w:val="0"/>
      <w:iCs w:val="0"/>
      <w:smallCaps w:val="0"/>
      <w:strike w:val="0"/>
      <w:sz w:val="20"/>
      <w:szCs w:val="20"/>
      <w:u w:val="none"/>
    </w:rPr>
  </w:style>
  <w:style w:type="character" w:customStyle="1" w:styleId="CharStyle18">
    <w:name w:val="Char Style 18"/>
    <w:basedOn w:val="Standardnpsmoodstavce"/>
    <w:link w:val="Style17"/>
    <w:rPr>
      <w:rFonts w:ascii="Arial" w:eastAsia="Arial" w:hAnsi="Arial" w:cs="Arial"/>
      <w:b/>
      <w:bCs/>
      <w:i w:val="0"/>
      <w:iCs w:val="0"/>
      <w:smallCaps w:val="0"/>
      <w:strike w:val="0"/>
      <w:sz w:val="20"/>
      <w:szCs w:val="20"/>
      <w:u w:val="none"/>
    </w:rPr>
  </w:style>
  <w:style w:type="paragraph" w:customStyle="1" w:styleId="Style2">
    <w:name w:val="Style 2"/>
    <w:basedOn w:val="Normln"/>
    <w:link w:val="CharStyle3"/>
    <w:pPr>
      <w:spacing w:after="100" w:line="254" w:lineRule="auto"/>
    </w:pPr>
    <w:rPr>
      <w:rFonts w:ascii="Arial" w:eastAsia="Arial" w:hAnsi="Arial" w:cs="Arial"/>
      <w:sz w:val="20"/>
      <w:szCs w:val="20"/>
    </w:rPr>
  </w:style>
  <w:style w:type="paragraph" w:customStyle="1" w:styleId="Style6">
    <w:name w:val="Style 6"/>
    <w:basedOn w:val="Normln"/>
    <w:link w:val="CharStyle7"/>
    <w:rPr>
      <w:sz w:val="20"/>
      <w:szCs w:val="20"/>
      <w:lang w:val="en-US" w:eastAsia="en-US" w:bidi="en-US"/>
    </w:rPr>
  </w:style>
  <w:style w:type="paragraph" w:customStyle="1" w:styleId="Style10">
    <w:name w:val="Style 10"/>
    <w:basedOn w:val="Normln"/>
    <w:link w:val="CharStyle11"/>
    <w:pPr>
      <w:spacing w:after="100" w:line="254" w:lineRule="auto"/>
    </w:pPr>
    <w:rPr>
      <w:rFonts w:ascii="Arial" w:eastAsia="Arial" w:hAnsi="Arial" w:cs="Arial"/>
      <w:sz w:val="20"/>
      <w:szCs w:val="20"/>
    </w:rPr>
  </w:style>
  <w:style w:type="paragraph" w:customStyle="1" w:styleId="Style14">
    <w:name w:val="Style 14"/>
    <w:basedOn w:val="Normln"/>
    <w:link w:val="CharStyle15"/>
    <w:pPr>
      <w:spacing w:after="20" w:line="247" w:lineRule="auto"/>
    </w:pPr>
    <w:rPr>
      <w:rFonts w:ascii="Arial" w:eastAsia="Arial" w:hAnsi="Arial" w:cs="Arial"/>
      <w:b/>
      <w:bCs/>
      <w:sz w:val="20"/>
      <w:szCs w:val="20"/>
    </w:rPr>
  </w:style>
  <w:style w:type="paragraph" w:customStyle="1" w:styleId="Style17">
    <w:name w:val="Style 17"/>
    <w:basedOn w:val="Normln"/>
    <w:link w:val="CharStyle18"/>
    <w:pPr>
      <w:spacing w:after="100" w:line="254" w:lineRule="auto"/>
      <w:outlineLvl w:val="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12654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Homolová Jana</dc:creator>
  <cp:lastModifiedBy>Homolová Jana</cp:lastModifiedBy>
  <cp:revision>2</cp:revision>
  <dcterms:created xsi:type="dcterms:W3CDTF">2021-11-08T14:53:00Z</dcterms:created>
  <dcterms:modified xsi:type="dcterms:W3CDTF">2021-11-08T14:53:00Z</dcterms:modified>
</cp:coreProperties>
</file>