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506C" w:rsidRDefault="00277AAC">
      <w:pPr>
        <w:spacing w:after="108" w:line="259" w:lineRule="auto"/>
        <w:ind w:left="283" w:right="0" w:firstLine="0"/>
        <w:jc w:val="left"/>
      </w:pPr>
      <w:r>
        <w:rPr>
          <w:rFonts w:ascii="Times New Roman" w:eastAsia="Times New Roman" w:hAnsi="Times New Roman" w:cs="Times New Roman"/>
        </w:rPr>
        <w:t xml:space="preserve"> </w:t>
      </w:r>
    </w:p>
    <w:p w:rsidR="00E4506C" w:rsidRDefault="00277AAC">
      <w:pPr>
        <w:spacing w:after="1" w:line="338" w:lineRule="auto"/>
        <w:ind w:left="283" w:right="0" w:firstLine="0"/>
        <w:jc w:val="left"/>
      </w:pPr>
      <w:r>
        <w:rPr>
          <w:b/>
        </w:rPr>
        <w:t xml:space="preserve">KALKULACE NABÍDKOVÉ CENY PRO VEŘEJNOU ZAKÁZKU MALÉHO ROZSAHU  „Rekonstrukce multifunkčního sálu v budově NZM Praha - TDS a BOZP“ </w:t>
      </w:r>
    </w:p>
    <w:p w:rsidR="00E4506C" w:rsidRDefault="00277AAC">
      <w:pPr>
        <w:spacing w:after="148" w:line="259" w:lineRule="auto"/>
        <w:ind w:left="283" w:right="0" w:firstLine="0"/>
        <w:jc w:val="left"/>
      </w:pPr>
      <w:r>
        <w:t xml:space="preserve"> </w:t>
      </w:r>
    </w:p>
    <w:p w:rsidR="00E4506C" w:rsidRDefault="00277AAC">
      <w:pPr>
        <w:spacing w:after="27"/>
        <w:ind w:left="283" w:right="0" w:firstLine="0"/>
      </w:pPr>
      <w:r>
        <w:rPr>
          <w:rFonts w:ascii="Segoe UI Symbol" w:eastAsia="Segoe UI Symbol" w:hAnsi="Segoe UI Symbol" w:cs="Segoe UI Symbol"/>
        </w:rPr>
        <w:t>•</w:t>
      </w:r>
      <w:r>
        <w:rPr>
          <w:rFonts w:ascii="Arial" w:eastAsia="Arial" w:hAnsi="Arial" w:cs="Arial"/>
        </w:rPr>
        <w:t xml:space="preserve"> </w:t>
      </w:r>
      <w:r>
        <w:t xml:space="preserve">Službami a činnostmi TDS se rozumí práce spojené s přípravou investiční akce, kontrolou a koordinací provedení a její vyhodnocení. Služby a činnosti TDS jsou rozčleněny do tří samostatných etap: </w:t>
      </w:r>
    </w:p>
    <w:p w:rsidR="00E4506C" w:rsidRDefault="00277AAC">
      <w:pPr>
        <w:ind w:left="1071" w:right="0"/>
      </w:pPr>
      <w:r>
        <w:rPr>
          <w:rFonts w:ascii="Franklin Gothic Book" w:eastAsia="Franklin Gothic Book" w:hAnsi="Franklin Gothic Book" w:cs="Franklin Gothic Book"/>
        </w:rPr>
        <w:t>a)</w:t>
      </w:r>
      <w:r>
        <w:rPr>
          <w:rFonts w:ascii="Arial" w:eastAsia="Arial" w:hAnsi="Arial" w:cs="Arial"/>
        </w:rPr>
        <w:t xml:space="preserve"> </w:t>
      </w:r>
      <w:r>
        <w:t xml:space="preserve">před zahájením Investiční akce (seznámení se s projektovou dokumentací, dalšími podklady nezbytnými k provedení díla a předání místa plnění zhotoviteli) </w:t>
      </w:r>
    </w:p>
    <w:p w:rsidR="00E4506C" w:rsidRDefault="00277AAC">
      <w:pPr>
        <w:pStyle w:val="Nadpis1"/>
        <w:ind w:left="6377"/>
      </w:pPr>
      <w:r>
        <w:t xml:space="preserve">12.000,00 Kč </w:t>
      </w:r>
    </w:p>
    <w:p w:rsidR="00E4506C" w:rsidRDefault="00277AAC">
      <w:pPr>
        <w:spacing w:after="14" w:line="259" w:lineRule="auto"/>
        <w:ind w:left="3726" w:right="0" w:firstLine="0"/>
        <w:jc w:val="center"/>
      </w:pPr>
      <w:r>
        <w:rPr>
          <w:i/>
        </w:rPr>
        <w:t xml:space="preserve"> </w:t>
      </w:r>
    </w:p>
    <w:p w:rsidR="00E4506C" w:rsidRDefault="00277AAC">
      <w:pPr>
        <w:ind w:left="1071" w:right="0"/>
      </w:pPr>
      <w:r>
        <w:rPr>
          <w:rFonts w:ascii="Franklin Gothic Book" w:eastAsia="Franklin Gothic Book" w:hAnsi="Franklin Gothic Book" w:cs="Franklin Gothic Book"/>
        </w:rPr>
        <w:t>b)</w:t>
      </w:r>
      <w:r>
        <w:rPr>
          <w:rFonts w:ascii="Arial" w:eastAsia="Arial" w:hAnsi="Arial" w:cs="Arial"/>
        </w:rPr>
        <w:t xml:space="preserve"> </w:t>
      </w:r>
      <w:r>
        <w:t xml:space="preserve">v průběhu realizace Investiční akce (kontrola provádění prací, organizace a řízení kontrolních dní nejméně 1 x týdně, kontrola stavebního deníku a faktur vystavených zhotovitelem příp. další činnosti související s realizací akce) </w:t>
      </w:r>
    </w:p>
    <w:p w:rsidR="00E4506C" w:rsidRDefault="00277AAC">
      <w:pPr>
        <w:pStyle w:val="Nadpis1"/>
        <w:ind w:left="6248"/>
      </w:pPr>
      <w:r>
        <w:t xml:space="preserve">135.000,00 Kč </w:t>
      </w:r>
    </w:p>
    <w:p w:rsidR="00E4506C" w:rsidRDefault="00277AAC">
      <w:pPr>
        <w:spacing w:after="14" w:line="259" w:lineRule="auto"/>
        <w:ind w:left="3456" w:right="0" w:firstLine="0"/>
        <w:jc w:val="center"/>
      </w:pPr>
      <w:r>
        <w:rPr>
          <w:i/>
        </w:rPr>
        <w:t xml:space="preserve"> </w:t>
      </w:r>
    </w:p>
    <w:p w:rsidR="00E4506C" w:rsidRDefault="00277AAC">
      <w:pPr>
        <w:spacing w:after="110"/>
        <w:ind w:left="1071" w:right="0"/>
      </w:pPr>
      <w:r>
        <w:rPr>
          <w:rFonts w:ascii="Franklin Gothic Book" w:eastAsia="Franklin Gothic Book" w:hAnsi="Franklin Gothic Book" w:cs="Franklin Gothic Book"/>
        </w:rPr>
        <w:t>c)</w:t>
      </w:r>
      <w:r>
        <w:rPr>
          <w:rFonts w:ascii="Arial" w:eastAsia="Arial" w:hAnsi="Arial" w:cs="Arial"/>
        </w:rPr>
        <w:t xml:space="preserve"> </w:t>
      </w:r>
      <w:r>
        <w:t xml:space="preserve">po dokončení Investiční akce (přejímka hotového díla, kontrola odstranění vad a nedodělků, kontrola dokladů předaných zhotovitelem) </w:t>
      </w:r>
    </w:p>
    <w:p w:rsidR="00E4506C" w:rsidRDefault="00277AAC">
      <w:pPr>
        <w:pStyle w:val="Nadpis1"/>
        <w:spacing w:after="148"/>
        <w:ind w:left="6377"/>
      </w:pPr>
      <w:r>
        <w:t xml:space="preserve">20.000,00 Kč </w:t>
      </w:r>
    </w:p>
    <w:p w:rsidR="00E4506C" w:rsidRDefault="00277AAC">
      <w:pPr>
        <w:spacing w:after="27"/>
        <w:ind w:left="283" w:right="0" w:firstLine="0"/>
      </w:pPr>
      <w:r>
        <w:rPr>
          <w:rFonts w:ascii="Segoe UI Symbol" w:eastAsia="Segoe UI Symbol" w:hAnsi="Segoe UI Symbol" w:cs="Segoe UI Symbol"/>
        </w:rPr>
        <w:t>•</w:t>
      </w:r>
      <w:r>
        <w:rPr>
          <w:rFonts w:ascii="Arial" w:eastAsia="Arial" w:hAnsi="Arial" w:cs="Arial"/>
        </w:rPr>
        <w:t xml:space="preserve"> </w:t>
      </w:r>
      <w:r>
        <w:t xml:space="preserve">Službami a činnostmi koordinátory BOZP se rozumí zejména plnění povinností vyplývajících z příslušných ustanovení zákona č. 309/2006 Sb., (zákon o zajištění dalších podmínek bezpečnosti a ochrany zdraví při práci). Služby a činnost koordinátora BOZP jsou rozčleněny do tří samostatných etap: </w:t>
      </w:r>
    </w:p>
    <w:p w:rsidR="00E4506C" w:rsidRDefault="00277AAC">
      <w:pPr>
        <w:ind w:left="1071" w:right="0"/>
      </w:pPr>
      <w:r>
        <w:t>a)</w:t>
      </w:r>
      <w:r>
        <w:rPr>
          <w:rFonts w:ascii="Arial" w:eastAsia="Arial" w:hAnsi="Arial" w:cs="Arial"/>
        </w:rPr>
        <w:t xml:space="preserve"> </w:t>
      </w:r>
      <w:r>
        <w:t xml:space="preserve">před zahájením Investiční akce (zpracování a podání oznámení o zahájení stavby oblastnímu inspektorátu práce – OIP, zpracování plánu BOZP), </w:t>
      </w:r>
    </w:p>
    <w:p w:rsidR="00E4506C" w:rsidRDefault="00277AAC">
      <w:pPr>
        <w:pStyle w:val="Nadpis1"/>
        <w:ind w:left="6377"/>
      </w:pPr>
      <w:r>
        <w:t xml:space="preserve">15.000,00 Kč </w:t>
      </w:r>
    </w:p>
    <w:p w:rsidR="00E4506C" w:rsidRDefault="00277AAC">
      <w:pPr>
        <w:spacing w:after="13" w:line="259" w:lineRule="auto"/>
        <w:ind w:left="3745" w:right="0" w:firstLine="0"/>
        <w:jc w:val="center"/>
      </w:pPr>
      <w:r>
        <w:rPr>
          <w:i/>
        </w:rPr>
        <w:t xml:space="preserve"> </w:t>
      </w:r>
    </w:p>
    <w:p w:rsidR="00E4506C" w:rsidRDefault="00277AAC">
      <w:pPr>
        <w:numPr>
          <w:ilvl w:val="0"/>
          <w:numId w:val="1"/>
        </w:numPr>
        <w:ind w:right="0" w:hanging="360"/>
      </w:pPr>
      <w:r>
        <w:t xml:space="preserve">v průběhu realizace Investiční akce (kontrola dodržování BOZP, návrhy na odstranění nedostatků), </w:t>
      </w:r>
    </w:p>
    <w:p w:rsidR="00E4506C" w:rsidRDefault="00277AAC">
      <w:pPr>
        <w:spacing w:line="259" w:lineRule="auto"/>
        <w:ind w:left="6377" w:right="0" w:hanging="10"/>
        <w:jc w:val="left"/>
      </w:pPr>
      <w:r>
        <w:rPr>
          <w:i/>
        </w:rPr>
        <w:t xml:space="preserve">55.000,00 Kč </w:t>
      </w:r>
    </w:p>
    <w:p w:rsidR="00E4506C" w:rsidRDefault="00277AAC">
      <w:pPr>
        <w:spacing w:after="14" w:line="259" w:lineRule="auto"/>
        <w:ind w:left="3745" w:right="0" w:firstLine="0"/>
        <w:jc w:val="center"/>
      </w:pPr>
      <w:r>
        <w:rPr>
          <w:i/>
        </w:rPr>
        <w:t xml:space="preserve"> </w:t>
      </w:r>
    </w:p>
    <w:p w:rsidR="00E4506C" w:rsidRDefault="00277AAC">
      <w:pPr>
        <w:numPr>
          <w:ilvl w:val="0"/>
          <w:numId w:val="1"/>
        </w:numPr>
        <w:spacing w:after="226"/>
        <w:ind w:right="0" w:hanging="360"/>
      </w:pPr>
      <w:r>
        <w:t xml:space="preserve">po dokončení Investiční akce (zpracování závěrečné zprávy koordinátora BOZP). </w:t>
      </w:r>
    </w:p>
    <w:p w:rsidR="00E4506C" w:rsidRDefault="00277AAC">
      <w:pPr>
        <w:pStyle w:val="Nadpis1"/>
        <w:ind w:left="6377"/>
      </w:pPr>
      <w:r>
        <w:t xml:space="preserve"> 8.000,00 Kč </w:t>
      </w:r>
    </w:p>
    <w:p w:rsidR="00E4506C" w:rsidRDefault="00277AAC">
      <w:pPr>
        <w:spacing w:line="259" w:lineRule="auto"/>
        <w:ind w:left="3745" w:right="0" w:firstLine="0"/>
        <w:jc w:val="center"/>
      </w:pPr>
      <w:r>
        <w:rPr>
          <w:i/>
        </w:rPr>
        <w:t xml:space="preserve"> </w:t>
      </w:r>
    </w:p>
    <w:p w:rsidR="00E4506C" w:rsidRDefault="00277AAC">
      <w:pPr>
        <w:spacing w:line="259" w:lineRule="auto"/>
        <w:ind w:left="3745" w:right="0" w:firstLine="0"/>
        <w:jc w:val="center"/>
      </w:pP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4045636</wp:posOffset>
                </wp:positionH>
                <wp:positionV relativeFrom="paragraph">
                  <wp:posOffset>189383</wp:posOffset>
                </wp:positionV>
                <wp:extent cx="1512893" cy="206453"/>
                <wp:effectExtent l="0" t="0" r="0" b="0"/>
                <wp:wrapSquare wrapText="bothSides"/>
                <wp:docPr id="979" name="Group 9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12893" cy="206453"/>
                          <a:chOff x="160655" y="218822"/>
                          <a:chExt cx="1512893" cy="206453"/>
                        </a:xfrm>
                      </wpg:grpSpPr>
                      <wps:wsp>
                        <wps:cNvPr id="140" name="Rectangle 140"/>
                        <wps:cNvSpPr/>
                        <wps:spPr>
                          <a:xfrm>
                            <a:off x="160655" y="218822"/>
                            <a:ext cx="1512893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4506C" w:rsidRDefault="00277AAC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Ing</w:t>
                              </w:r>
                              <w:r w:rsidR="007D4816">
                                <w:t>. P</w:t>
                              </w:r>
                              <w:r>
                                <w:t>etr Bukovský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1" name="Rectangle 141"/>
                        <wps:cNvSpPr/>
                        <wps:spPr>
                          <a:xfrm>
                            <a:off x="1297813" y="218822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4506C" w:rsidRDefault="00277AAC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979" o:spid="_x0000_s1026" style="position:absolute;left:0;text-align:left;margin-left:318.55pt;margin-top:14.9pt;width:119.15pt;height:16.25pt;z-index:251658240;mso-width-relative:margin;mso-height-relative:margin" coordorigin="1606,2188" coordsize="15128,20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">
                <v:rect id="Rectangle 140" o:spid="_x0000_s1027" style="position:absolute;left:1606;top:2188;width:15129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" filled="f" stroked="f">
                  <v:textbox inset="0,0,0,0">
                    <w:txbxContent>
                      <w:p w:rsidR="00E4506C" w:rsidRDefault="00277AAC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Ing</w:t>
                        </w:r>
                        <w:r w:rsidR="007D4816">
                          <w:t>. P</w:t>
                        </w:r>
                        <w:r>
                          <w:t>etr Bukovský</w:t>
                        </w:r>
                      </w:p>
                    </w:txbxContent>
                  </v:textbox>
                </v:rect>
                <v:rect id="Rectangle 141" o:spid="_x0000_s1028" style="position:absolute;left:12978;top:2188;width:458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" filled="f" stroked="f">
                  <v:textbox inset="0,0,0,0">
                    <w:txbxContent>
                      <w:p w:rsidR="00E4506C" w:rsidRDefault="00277AAC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>
        <w:t xml:space="preserve"> </w:t>
      </w:r>
    </w:p>
    <w:p w:rsidR="00E4506C" w:rsidRDefault="00277AAC">
      <w:pPr>
        <w:tabs>
          <w:tab w:val="center" w:pos="2123"/>
          <w:tab w:val="center" w:pos="2834"/>
          <w:tab w:val="center" w:pos="3539"/>
          <w:tab w:val="center" w:pos="4250"/>
          <w:tab w:val="center" w:pos="4956"/>
          <w:tab w:val="center" w:pos="5666"/>
        </w:tabs>
        <w:spacing w:line="259" w:lineRule="auto"/>
        <w:ind w:left="0" w:right="0" w:firstLine="0"/>
        <w:jc w:val="left"/>
      </w:pPr>
      <w:bookmarkStart w:id="0" w:name="_GoBack"/>
      <w:bookmarkEnd w:id="0"/>
      <w:r>
        <w:t xml:space="preserve">V Praze 6. 10. 2021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sectPr w:rsidR="00E4506C">
      <w:headerReference w:type="default" r:id="rId7"/>
      <w:pgSz w:w="11904" w:h="16838"/>
      <w:pgMar w:top="1440" w:right="1415" w:bottom="1440" w:left="141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31E2" w:rsidRDefault="002931E2" w:rsidP="001A1C29">
      <w:pPr>
        <w:spacing w:line="240" w:lineRule="auto"/>
      </w:pPr>
      <w:r>
        <w:separator/>
      </w:r>
    </w:p>
  </w:endnote>
  <w:endnote w:type="continuationSeparator" w:id="0">
    <w:p w:rsidR="002931E2" w:rsidRDefault="002931E2" w:rsidP="001A1C2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31E2" w:rsidRDefault="002931E2" w:rsidP="001A1C29">
      <w:pPr>
        <w:spacing w:line="240" w:lineRule="auto"/>
      </w:pPr>
      <w:r>
        <w:separator/>
      </w:r>
    </w:p>
  </w:footnote>
  <w:footnote w:type="continuationSeparator" w:id="0">
    <w:p w:rsidR="002931E2" w:rsidRDefault="002931E2" w:rsidP="001A1C2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1C29" w:rsidRDefault="001A1C29" w:rsidP="001A1C29">
    <w:pPr>
      <w:pStyle w:val="Zhlav"/>
      <w:jc w:val="right"/>
    </w:pPr>
    <w:r>
      <w:t xml:space="preserve">Příloha č. 2 </w:t>
    </w:r>
  </w:p>
  <w:p w:rsidR="001A1C29" w:rsidRDefault="001A1C29" w:rsidP="001A1C29">
    <w:pPr>
      <w:pStyle w:val="Zhlav"/>
      <w:jc w:val="right"/>
    </w:pPr>
    <w:r>
      <w:t>k SOD 400/006/2021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154ACB"/>
    <w:multiLevelType w:val="hybridMultilevel"/>
    <w:tmpl w:val="3E3C0DCC"/>
    <w:lvl w:ilvl="0" w:tplc="BD6681EC">
      <w:start w:val="2"/>
      <w:numFmt w:val="lowerLetter"/>
      <w:lvlText w:val="%1)"/>
      <w:lvlJc w:val="left"/>
      <w:pPr>
        <w:ind w:left="10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F8276AA">
      <w:start w:val="1"/>
      <w:numFmt w:val="lowerLetter"/>
      <w:lvlText w:val="%2"/>
      <w:lvlJc w:val="left"/>
      <w:pPr>
        <w:ind w:left="18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13430B8">
      <w:start w:val="1"/>
      <w:numFmt w:val="lowerRoman"/>
      <w:lvlText w:val="%3"/>
      <w:lvlJc w:val="left"/>
      <w:pPr>
        <w:ind w:left="25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820A1C6">
      <w:start w:val="1"/>
      <w:numFmt w:val="decimal"/>
      <w:lvlText w:val="%4"/>
      <w:lvlJc w:val="left"/>
      <w:pPr>
        <w:ind w:left="32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672A198">
      <w:start w:val="1"/>
      <w:numFmt w:val="lowerLetter"/>
      <w:lvlText w:val="%5"/>
      <w:lvlJc w:val="left"/>
      <w:pPr>
        <w:ind w:left="39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F3AE1FC">
      <w:start w:val="1"/>
      <w:numFmt w:val="lowerRoman"/>
      <w:lvlText w:val="%6"/>
      <w:lvlJc w:val="left"/>
      <w:pPr>
        <w:ind w:left="46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A0E1E20">
      <w:start w:val="1"/>
      <w:numFmt w:val="decimal"/>
      <w:lvlText w:val="%7"/>
      <w:lvlJc w:val="left"/>
      <w:pPr>
        <w:ind w:left="54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AF2EFD8">
      <w:start w:val="1"/>
      <w:numFmt w:val="lowerLetter"/>
      <w:lvlText w:val="%8"/>
      <w:lvlJc w:val="left"/>
      <w:pPr>
        <w:ind w:left="61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C943218">
      <w:start w:val="1"/>
      <w:numFmt w:val="lowerRoman"/>
      <w:lvlText w:val="%9"/>
      <w:lvlJc w:val="left"/>
      <w:pPr>
        <w:ind w:left="68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06C"/>
    <w:rsid w:val="001A1C29"/>
    <w:rsid w:val="00277AAC"/>
    <w:rsid w:val="002931E2"/>
    <w:rsid w:val="007D4816"/>
    <w:rsid w:val="00E4506C"/>
    <w:rsid w:val="00E72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023CE"/>
  <w15:docId w15:val="{2A29A47B-DA54-4373-82F2-8440A76A8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0" w:line="250" w:lineRule="auto"/>
      <w:ind w:left="648" w:right="3" w:hanging="365"/>
      <w:jc w:val="both"/>
    </w:pPr>
    <w:rPr>
      <w:rFonts w:ascii="Calibri" w:eastAsia="Calibri" w:hAnsi="Calibri" w:cs="Calibri"/>
      <w:color w:val="000000"/>
      <w:sz w:val="24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0"/>
      <w:ind w:left="6383" w:hanging="10"/>
      <w:outlineLvl w:val="0"/>
    </w:pPr>
    <w:rPr>
      <w:rFonts w:ascii="Calibri" w:eastAsia="Calibri" w:hAnsi="Calibri" w:cs="Calibri"/>
      <w:i/>
      <w:color w:val="00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Calibri" w:eastAsia="Calibri" w:hAnsi="Calibri" w:cs="Calibri"/>
      <w:i/>
      <w:color w:val="000000"/>
      <w:sz w:val="24"/>
    </w:rPr>
  </w:style>
  <w:style w:type="paragraph" w:styleId="Zhlav">
    <w:name w:val="header"/>
    <w:basedOn w:val="Normln"/>
    <w:link w:val="ZhlavChar"/>
    <w:uiPriority w:val="99"/>
    <w:unhideWhenUsed/>
    <w:rsid w:val="001A1C29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A1C29"/>
    <w:rPr>
      <w:rFonts w:ascii="Calibri" w:eastAsia="Calibri" w:hAnsi="Calibri" w:cs="Calibri"/>
      <w:color w:val="000000"/>
      <w:sz w:val="24"/>
    </w:rPr>
  </w:style>
  <w:style w:type="paragraph" w:styleId="Zpat">
    <w:name w:val="footer"/>
    <w:basedOn w:val="Normln"/>
    <w:link w:val="ZpatChar"/>
    <w:uiPriority w:val="99"/>
    <w:unhideWhenUsed/>
    <w:rsid w:val="001A1C29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A1C29"/>
    <w:rPr>
      <w:rFonts w:ascii="Calibri" w:eastAsia="Calibri" w:hAnsi="Calibri" w:cs="Calibri"/>
      <w:color w:val="000000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A1C2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A1C29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232</Words>
  <Characters>1374</Characters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2021-11-03T08:47:00Z</cp:lastPrinted>
  <dcterms:created xsi:type="dcterms:W3CDTF">2021-11-08T09:53:00Z</dcterms:created>
  <dcterms:modified xsi:type="dcterms:W3CDTF">2021-11-08T09:53:00Z</dcterms:modified>
</cp:coreProperties>
</file>