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E60E" w14:textId="77777777" w:rsidR="00EE031F" w:rsidRDefault="001735E4">
      <w:pPr>
        <w:spacing w:after="120"/>
        <w:jc w:val="center"/>
        <w:rPr>
          <w:rFonts w:ascii="Arial" w:hAnsi="Arial" w:cs="Calibri"/>
          <w:b/>
          <w:sz w:val="26"/>
          <w:szCs w:val="26"/>
        </w:rPr>
      </w:pPr>
      <w:r>
        <w:rPr>
          <w:rFonts w:ascii="Arial" w:hAnsi="Arial" w:cs="Calibri"/>
          <w:b/>
          <w:sz w:val="26"/>
          <w:szCs w:val="26"/>
        </w:rPr>
        <w:t>SMLOUVA O ZŘÍZENÍ POVĚŘENCE PRO OCHRANU OSOBNÍCH ÚDAJŮ</w:t>
      </w:r>
    </w:p>
    <w:p w14:paraId="36D679CF" w14:textId="77777777" w:rsidR="00EE031F" w:rsidRDefault="001735E4">
      <w:pPr>
        <w:spacing w:after="120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(dále jen smlouva)</w:t>
      </w:r>
    </w:p>
    <w:p w14:paraId="5D0BC20E" w14:textId="77777777" w:rsidR="00EE031F" w:rsidRDefault="00EE031F">
      <w:pPr>
        <w:spacing w:after="120"/>
        <w:jc w:val="center"/>
        <w:rPr>
          <w:rFonts w:ascii="Arial" w:hAnsi="Arial" w:cs="Calibri"/>
          <w:sz w:val="24"/>
          <w:szCs w:val="24"/>
        </w:rPr>
      </w:pPr>
    </w:p>
    <w:p w14:paraId="27207458" w14:textId="77777777" w:rsidR="00EE031F" w:rsidRDefault="001735E4">
      <w:pPr>
        <w:spacing w:after="120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Tato smlouva o zřízení pověřence pro ochranu osobních údajů dle nařízení Evropského parlamentu a Rady EU 2016/679 ze dne 27. dubna 2016 o ochraně fyzických osob v souvislosti se zpracováním osobních údajů a o volném pohybu těchto údajů a o zrušení směrnice</w:t>
      </w:r>
      <w:r>
        <w:rPr>
          <w:rFonts w:ascii="Arial" w:hAnsi="Arial" w:cs="Calibri"/>
          <w:sz w:val="24"/>
          <w:szCs w:val="24"/>
        </w:rPr>
        <w:t xml:space="preserve"> 95/46/ES (dále jen nařízení GDPR) byla uzavřena dle </w:t>
      </w:r>
      <w:proofErr w:type="spellStart"/>
      <w:r>
        <w:rPr>
          <w:rFonts w:ascii="Arial" w:hAnsi="Arial" w:cs="Calibri"/>
          <w:sz w:val="24"/>
          <w:szCs w:val="24"/>
        </w:rPr>
        <w:t>ust</w:t>
      </w:r>
      <w:proofErr w:type="spellEnd"/>
      <w:r>
        <w:rPr>
          <w:rFonts w:ascii="Arial" w:hAnsi="Arial" w:cs="Calibri"/>
          <w:sz w:val="24"/>
          <w:szCs w:val="24"/>
        </w:rPr>
        <w:t>. § 1746 odst. 2 zákona č. 89/2012 Sb., občanský zákoník, a čl. 37 odst. 6 nařízení GDPR níže uvedeného dne, měsíce a roku mezi následujícími smluvními stranami:</w:t>
      </w:r>
    </w:p>
    <w:p w14:paraId="231C24F8" w14:textId="77777777" w:rsidR="00EE031F" w:rsidRDefault="00EE031F">
      <w:pPr>
        <w:spacing w:before="72" w:after="72"/>
        <w:ind w:right="68"/>
        <w:jc w:val="both"/>
        <w:rPr>
          <w:rFonts w:ascii="Arial" w:hAnsi="Arial" w:cs="Calibri"/>
          <w:b/>
          <w:bCs/>
          <w:sz w:val="24"/>
          <w:szCs w:val="24"/>
        </w:rPr>
      </w:pPr>
    </w:p>
    <w:p w14:paraId="09C2FF23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Mateřská škola Sedmikráska</w:t>
      </w:r>
    </w:p>
    <w:p w14:paraId="18C2884E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Lišická 15</w:t>
      </w:r>
      <w:r>
        <w:rPr>
          <w:rFonts w:ascii="Arial" w:hAnsi="Arial" w:cs="Calibri"/>
          <w:sz w:val="24"/>
          <w:szCs w:val="24"/>
        </w:rPr>
        <w:t>02</w:t>
      </w:r>
    </w:p>
    <w:p w14:paraId="79F3E0B7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Praha 9 – Újezd nad Lesy</w:t>
      </w:r>
    </w:p>
    <w:p w14:paraId="1C00B828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190 16 Praha 9</w:t>
      </w:r>
    </w:p>
    <w:p w14:paraId="62A58AC1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IČO: 49367820</w:t>
      </w:r>
    </w:p>
    <w:p w14:paraId="03C8FF1C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zastoupená ředitelkou Mgr. Martinou KUBOVOU</w:t>
      </w:r>
    </w:p>
    <w:p w14:paraId="50EF855A" w14:textId="77777777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(dále jen správce)</w:t>
      </w:r>
    </w:p>
    <w:p w14:paraId="0FDB9FAC" w14:textId="77777777" w:rsidR="00EE031F" w:rsidRDefault="001735E4">
      <w:pPr>
        <w:spacing w:before="72" w:after="72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a</w:t>
      </w:r>
    </w:p>
    <w:p w14:paraId="77893204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Mgr. Jan KREJSA</w:t>
      </w:r>
    </w:p>
    <w:p w14:paraId="48B7DECD" w14:textId="195589C6" w:rsidR="00EE031F" w:rsidRDefault="001735E4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IČO: 69506752</w:t>
      </w:r>
      <w:r>
        <w:rPr>
          <w:rFonts w:ascii="Arial" w:hAnsi="Arial" w:cs="Calibri"/>
          <w:sz w:val="24"/>
          <w:szCs w:val="24"/>
        </w:rPr>
        <w:tab/>
      </w:r>
    </w:p>
    <w:p w14:paraId="01933784" w14:textId="77777777" w:rsidR="00231BD1" w:rsidRDefault="00231BD1">
      <w:pPr>
        <w:spacing w:before="72" w:after="72"/>
        <w:ind w:right="68"/>
        <w:jc w:val="both"/>
        <w:rPr>
          <w:rFonts w:ascii="Arial" w:hAnsi="Arial" w:cs="Calibri"/>
          <w:sz w:val="24"/>
          <w:szCs w:val="24"/>
        </w:rPr>
      </w:pPr>
    </w:p>
    <w:p w14:paraId="50EB39A9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(dále jen pověřenec)</w:t>
      </w:r>
    </w:p>
    <w:p w14:paraId="6B0FE467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(správce a pověřenec dále také spo</w:t>
      </w:r>
      <w:r>
        <w:rPr>
          <w:rFonts w:ascii="Arial" w:hAnsi="Arial" w:cs="Calibri"/>
          <w:sz w:val="24"/>
          <w:szCs w:val="24"/>
        </w:rPr>
        <w:t>lečně jako smluvní strany a každý jednotlivě jako smluvní strana)</w:t>
      </w:r>
    </w:p>
    <w:p w14:paraId="5BBA45B8" w14:textId="77777777" w:rsidR="00EE031F" w:rsidRDefault="00EE031F">
      <w:pPr>
        <w:spacing w:before="72" w:after="72"/>
        <w:jc w:val="both"/>
        <w:rPr>
          <w:rFonts w:ascii="Arial" w:hAnsi="Arial" w:cs="Calibri"/>
          <w:b/>
          <w:sz w:val="24"/>
          <w:szCs w:val="24"/>
        </w:rPr>
      </w:pPr>
    </w:p>
    <w:p w14:paraId="141178E4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Smluvní strany ujednávají následující</w:t>
      </w:r>
    </w:p>
    <w:p w14:paraId="7D577C85" w14:textId="77777777" w:rsidR="00EE031F" w:rsidRDefault="00EE031F">
      <w:pPr>
        <w:spacing w:before="72" w:after="72"/>
        <w:jc w:val="both"/>
        <w:rPr>
          <w:rFonts w:ascii="Arial" w:hAnsi="Arial" w:cs="Calibri"/>
          <w:sz w:val="24"/>
          <w:szCs w:val="24"/>
        </w:rPr>
      </w:pPr>
    </w:p>
    <w:p w14:paraId="2050F547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>1</w:t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b/>
          <w:bCs/>
          <w:sz w:val="24"/>
          <w:szCs w:val="24"/>
        </w:rPr>
        <w:t>Základní ustanovení</w:t>
      </w:r>
    </w:p>
    <w:p w14:paraId="5CDE5B1D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1.1</w:t>
      </w:r>
      <w:r>
        <w:rPr>
          <w:rFonts w:ascii="Arial" w:hAnsi="Arial" w:cs="Calibri"/>
          <w:sz w:val="24"/>
          <w:szCs w:val="24"/>
        </w:rPr>
        <w:tab/>
        <w:t xml:space="preserve">Předmětem této smlouvy je závazek pověřence vykonávat tuto funkci pro </w:t>
      </w:r>
      <w:r>
        <w:rPr>
          <w:rFonts w:ascii="Arial" w:hAnsi="Arial" w:cs="Calibri"/>
          <w:sz w:val="24"/>
          <w:szCs w:val="24"/>
        </w:rPr>
        <w:tab/>
        <w:t>správce podle nařízení GDPR.</w:t>
      </w:r>
    </w:p>
    <w:p w14:paraId="595A5BD3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1.2</w:t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 xml:space="preserve">Pověřenec respektuje pokyny správce, nejsou-li v rozporu s nařízením GDPR </w:t>
      </w:r>
      <w:r>
        <w:rPr>
          <w:rFonts w:ascii="Arial" w:hAnsi="Arial" w:cs="Calibri"/>
          <w:sz w:val="24"/>
          <w:szCs w:val="24"/>
        </w:rPr>
        <w:tab/>
        <w:t>a dalšími právními předpisy České republiky.</w:t>
      </w:r>
    </w:p>
    <w:p w14:paraId="7A8183E4" w14:textId="77777777" w:rsidR="00EE031F" w:rsidRDefault="001735E4">
      <w:pPr>
        <w:spacing w:before="72" w:after="72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1.3</w:t>
      </w:r>
      <w:r>
        <w:rPr>
          <w:rFonts w:ascii="Arial" w:hAnsi="Arial" w:cs="Calibri"/>
          <w:sz w:val="24"/>
          <w:szCs w:val="24"/>
        </w:rPr>
        <w:tab/>
        <w:t xml:space="preserve">Smluvní strany jsou povinny dodržovat nařízení GDPR a právní předpisy </w:t>
      </w:r>
      <w:r>
        <w:rPr>
          <w:rFonts w:ascii="Arial" w:hAnsi="Arial" w:cs="Calibri"/>
          <w:sz w:val="24"/>
          <w:szCs w:val="24"/>
        </w:rPr>
        <w:tab/>
        <w:t>České republiky.</w:t>
      </w:r>
    </w:p>
    <w:p w14:paraId="55ADC4A7" w14:textId="77777777" w:rsidR="00EE031F" w:rsidRDefault="00EE031F">
      <w:pPr>
        <w:spacing w:before="72" w:after="72"/>
        <w:jc w:val="both"/>
        <w:rPr>
          <w:rFonts w:ascii="Arial" w:hAnsi="Arial" w:cs="Calibri"/>
          <w:sz w:val="24"/>
          <w:szCs w:val="24"/>
        </w:rPr>
      </w:pPr>
    </w:p>
    <w:p w14:paraId="065E1A35" w14:textId="77777777" w:rsidR="00EE031F" w:rsidRDefault="00EE031F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</w:p>
    <w:p w14:paraId="63200711" w14:textId="77777777" w:rsidR="00EE031F" w:rsidRDefault="00EE031F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</w:p>
    <w:p w14:paraId="5EBC10A2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>2</w:t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b/>
          <w:bCs/>
          <w:sz w:val="24"/>
          <w:szCs w:val="24"/>
        </w:rPr>
        <w:t>Povinnosti pověřence</w:t>
      </w:r>
    </w:p>
    <w:p w14:paraId="6FD7018C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>2.1</w:t>
      </w:r>
      <w:r>
        <w:rPr>
          <w:rFonts w:ascii="Arial" w:hAnsi="Arial" w:cs="Calibri"/>
          <w:sz w:val="24"/>
          <w:szCs w:val="24"/>
        </w:rPr>
        <w:tab/>
        <w:t>Pověřenec proh</w:t>
      </w:r>
      <w:r>
        <w:rPr>
          <w:rFonts w:ascii="Arial" w:hAnsi="Arial" w:cs="Calibri"/>
          <w:sz w:val="24"/>
          <w:szCs w:val="24"/>
        </w:rPr>
        <w:t xml:space="preserve">lašuje, že disponuje potřebnými odbornými znalostmi a </w:t>
      </w:r>
      <w:r>
        <w:rPr>
          <w:rFonts w:ascii="Arial" w:hAnsi="Arial" w:cs="Calibri"/>
          <w:sz w:val="24"/>
          <w:szCs w:val="24"/>
        </w:rPr>
        <w:tab/>
        <w:t xml:space="preserve">schopnostmi pro výkon funkce pověřence pro ochranu osobních údajů. Není </w:t>
      </w:r>
      <w:r>
        <w:rPr>
          <w:rFonts w:ascii="Arial" w:hAnsi="Arial" w:cs="Calibri"/>
          <w:sz w:val="24"/>
          <w:szCs w:val="24"/>
        </w:rPr>
        <w:tab/>
        <w:t xml:space="preserve">mu znám žádný důvod, pro který by nemohl funkci pověřence pro správce </w:t>
      </w:r>
      <w:r>
        <w:rPr>
          <w:rFonts w:ascii="Arial" w:hAnsi="Arial" w:cs="Calibri"/>
          <w:sz w:val="24"/>
          <w:szCs w:val="24"/>
        </w:rPr>
        <w:tab/>
        <w:t>vykonávat. Zavazuje se, že bude řádně vykonávat svoji fun</w:t>
      </w:r>
      <w:r>
        <w:rPr>
          <w:rFonts w:ascii="Arial" w:hAnsi="Arial" w:cs="Calibri"/>
          <w:sz w:val="24"/>
          <w:szCs w:val="24"/>
        </w:rPr>
        <w:t xml:space="preserve">kci, přičemž </w:t>
      </w:r>
      <w:r>
        <w:rPr>
          <w:rFonts w:ascii="Arial" w:hAnsi="Arial" w:cs="Calibri"/>
          <w:sz w:val="24"/>
          <w:szCs w:val="24"/>
        </w:rPr>
        <w:tab/>
        <w:t>obsahem závazku je zejména:</w:t>
      </w:r>
    </w:p>
    <w:p w14:paraId="26634AE0" w14:textId="77777777" w:rsidR="00EE031F" w:rsidRDefault="001735E4">
      <w:pPr>
        <w:spacing w:after="120" w:line="300" w:lineRule="exact"/>
        <w:jc w:val="both"/>
      </w:pPr>
      <w:r>
        <w:rPr>
          <w:rFonts w:ascii="Arial" w:hAnsi="Arial" w:cs="Calibri"/>
          <w:sz w:val="24"/>
          <w:szCs w:val="24"/>
        </w:rPr>
        <w:t>2.1.1</w:t>
      </w:r>
      <w:r>
        <w:rPr>
          <w:rFonts w:ascii="Arial" w:hAnsi="Arial" w:cs="Calibri"/>
          <w:sz w:val="24"/>
          <w:szCs w:val="24"/>
        </w:rPr>
        <w:tab/>
        <w:t xml:space="preserve">Poskytovat správci a jeho zaměstnancům zpracovávajícím osobní </w:t>
      </w:r>
      <w:r>
        <w:rPr>
          <w:rFonts w:ascii="Arial" w:hAnsi="Arial" w:cs="Calibri"/>
          <w:sz w:val="24"/>
          <w:szCs w:val="24"/>
        </w:rPr>
        <w:tab/>
        <w:t xml:space="preserve">údaje </w:t>
      </w:r>
      <w:r>
        <w:rPr>
          <w:rFonts w:ascii="Arial" w:hAnsi="Arial" w:cs="Calibri"/>
          <w:sz w:val="24"/>
          <w:szCs w:val="24"/>
        </w:rPr>
        <w:tab/>
        <w:t xml:space="preserve">informace, poradenství a doporučení plynoucí z nařízení GDPR a z dalších </w:t>
      </w:r>
      <w:r>
        <w:rPr>
          <w:rFonts w:ascii="Arial" w:hAnsi="Arial" w:cs="Calibri"/>
          <w:sz w:val="24"/>
          <w:szCs w:val="24"/>
        </w:rPr>
        <w:tab/>
        <w:t>právních předpisů v oblasti ochrany osobních údajů.</w:t>
      </w:r>
    </w:p>
    <w:p w14:paraId="4A3C4652" w14:textId="77777777" w:rsidR="00EE031F" w:rsidRDefault="001735E4">
      <w:pPr>
        <w:spacing w:after="120" w:line="300" w:lineRule="exact"/>
        <w:jc w:val="both"/>
      </w:pPr>
      <w:r>
        <w:rPr>
          <w:rFonts w:ascii="Arial" w:hAnsi="Arial" w:cs="Calibri"/>
          <w:sz w:val="24"/>
          <w:szCs w:val="24"/>
        </w:rPr>
        <w:t>2.1.2</w:t>
      </w:r>
      <w:r>
        <w:rPr>
          <w:rFonts w:ascii="Arial" w:hAnsi="Arial" w:cs="Calibri"/>
          <w:sz w:val="24"/>
          <w:szCs w:val="24"/>
        </w:rPr>
        <w:tab/>
        <w:t>M</w:t>
      </w:r>
      <w:r>
        <w:rPr>
          <w:rFonts w:ascii="Arial" w:hAnsi="Arial" w:cs="Calibri"/>
          <w:sz w:val="24"/>
          <w:szCs w:val="24"/>
        </w:rPr>
        <w:t xml:space="preserve">onitorovat soulad zpracování osobních údajů správcem s nařízením GDPR a </w:t>
      </w:r>
      <w:r>
        <w:rPr>
          <w:rFonts w:ascii="Arial" w:hAnsi="Arial" w:cs="Calibri"/>
          <w:sz w:val="24"/>
          <w:szCs w:val="24"/>
        </w:rPr>
        <w:tab/>
        <w:t>dalšími právními předpisy v oblasti ochrany osobních údajů.</w:t>
      </w:r>
    </w:p>
    <w:p w14:paraId="0562948E" w14:textId="77777777" w:rsidR="00EE031F" w:rsidRDefault="001735E4">
      <w:pPr>
        <w:spacing w:after="120" w:line="300" w:lineRule="exact"/>
        <w:jc w:val="both"/>
      </w:pPr>
      <w:r>
        <w:rPr>
          <w:rFonts w:ascii="Arial" w:hAnsi="Arial" w:cs="Calibri"/>
          <w:sz w:val="24"/>
          <w:szCs w:val="24"/>
        </w:rPr>
        <w:t>2.1.3</w:t>
      </w:r>
      <w:r>
        <w:rPr>
          <w:rFonts w:ascii="Arial" w:hAnsi="Arial" w:cs="Calibri"/>
          <w:sz w:val="24"/>
          <w:szCs w:val="24"/>
        </w:rPr>
        <w:tab/>
        <w:t xml:space="preserve">Spolupracovat s dozorovým úřadem a působit jako kontaktní místo pro </w:t>
      </w:r>
      <w:r>
        <w:rPr>
          <w:rFonts w:ascii="Arial" w:hAnsi="Arial" w:cs="Calibri"/>
          <w:sz w:val="24"/>
          <w:szCs w:val="24"/>
        </w:rPr>
        <w:tab/>
        <w:t>dozorový úřad, včetně předchozí konzultace dle č</w:t>
      </w:r>
      <w:r>
        <w:rPr>
          <w:rFonts w:ascii="Arial" w:hAnsi="Arial" w:cs="Calibri"/>
          <w:sz w:val="24"/>
          <w:szCs w:val="24"/>
        </w:rPr>
        <w:t>l. 36 nařízení</w:t>
      </w:r>
      <w:bookmarkStart w:id="0" w:name="Bookmark"/>
      <w:bookmarkEnd w:id="0"/>
      <w:r>
        <w:rPr>
          <w:rFonts w:ascii="Arial" w:hAnsi="Arial" w:cs="Calibri"/>
          <w:sz w:val="24"/>
          <w:szCs w:val="24"/>
        </w:rPr>
        <w:t xml:space="preserve"> GDPR.</w:t>
      </w:r>
    </w:p>
    <w:p w14:paraId="31E9BA1E" w14:textId="77777777" w:rsidR="00EE031F" w:rsidRDefault="001735E4">
      <w:pPr>
        <w:spacing w:after="120" w:line="300" w:lineRule="exact"/>
        <w:jc w:val="both"/>
      </w:pPr>
      <w:r>
        <w:rPr>
          <w:rFonts w:ascii="Arial" w:hAnsi="Arial" w:cs="Calibri"/>
          <w:sz w:val="24"/>
          <w:szCs w:val="24"/>
        </w:rPr>
        <w:t>2.1.4</w:t>
      </w:r>
      <w:r>
        <w:rPr>
          <w:rFonts w:ascii="Arial" w:hAnsi="Arial" w:cs="Calibri"/>
          <w:sz w:val="24"/>
          <w:szCs w:val="24"/>
        </w:rPr>
        <w:tab/>
        <w:t xml:space="preserve">Na vyžádání poskytovat správci stanoviska a konzultace k otázkám </w:t>
      </w:r>
      <w:r>
        <w:rPr>
          <w:rFonts w:ascii="Arial" w:hAnsi="Arial" w:cs="Calibri"/>
          <w:sz w:val="24"/>
          <w:szCs w:val="24"/>
        </w:rPr>
        <w:tab/>
        <w:t>souvisejícím se zpracováním osobních údajů.</w:t>
      </w:r>
    </w:p>
    <w:p w14:paraId="6E95E304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2.1.5</w:t>
      </w:r>
      <w:r>
        <w:rPr>
          <w:rFonts w:ascii="Arial" w:hAnsi="Arial" w:cs="Calibri"/>
          <w:sz w:val="24"/>
          <w:szCs w:val="24"/>
        </w:rPr>
        <w:tab/>
        <w:t xml:space="preserve">Kontrolovat vedení záznamů o činnostech zpracování a navrhovat správci </w:t>
      </w:r>
      <w:r>
        <w:rPr>
          <w:rFonts w:ascii="Arial" w:hAnsi="Arial" w:cs="Calibri"/>
          <w:sz w:val="24"/>
          <w:szCs w:val="24"/>
        </w:rPr>
        <w:tab/>
        <w:t>jejich změny či doplnění. Vyhodnocovat ri</w:t>
      </w:r>
      <w:r>
        <w:rPr>
          <w:rFonts w:ascii="Arial" w:hAnsi="Arial" w:cs="Calibri"/>
          <w:sz w:val="24"/>
          <w:szCs w:val="24"/>
        </w:rPr>
        <w:t xml:space="preserve">zika jednotlivých zpracování pro </w:t>
      </w:r>
      <w:r>
        <w:rPr>
          <w:rFonts w:ascii="Arial" w:hAnsi="Arial" w:cs="Calibri"/>
          <w:sz w:val="24"/>
          <w:szCs w:val="24"/>
        </w:rPr>
        <w:tab/>
        <w:t>práva a svobody subjektů údajů.</w:t>
      </w:r>
    </w:p>
    <w:p w14:paraId="073313A8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2.1.6</w:t>
      </w:r>
      <w:r>
        <w:rPr>
          <w:rFonts w:ascii="Arial" w:hAnsi="Arial" w:cs="Calibri"/>
          <w:sz w:val="24"/>
          <w:szCs w:val="24"/>
        </w:rPr>
        <w:tab/>
        <w:t xml:space="preserve">Organizovat vhodné vzdělávání zaměstnanců správce v oblasti ochrany </w:t>
      </w:r>
      <w:r>
        <w:rPr>
          <w:rFonts w:ascii="Arial" w:hAnsi="Arial" w:cs="Calibri"/>
          <w:sz w:val="24"/>
          <w:szCs w:val="24"/>
        </w:rPr>
        <w:tab/>
        <w:t xml:space="preserve">osobních údajů a kontrolovat </w:t>
      </w:r>
      <w:proofErr w:type="spellStart"/>
      <w:r>
        <w:rPr>
          <w:rFonts w:ascii="Arial" w:hAnsi="Arial" w:cs="Calibri"/>
          <w:sz w:val="24"/>
          <w:szCs w:val="24"/>
        </w:rPr>
        <w:t>proškolenost</w:t>
      </w:r>
      <w:proofErr w:type="spellEnd"/>
      <w:r>
        <w:rPr>
          <w:rFonts w:ascii="Arial" w:hAnsi="Arial" w:cs="Calibri"/>
          <w:sz w:val="24"/>
          <w:szCs w:val="24"/>
        </w:rPr>
        <w:t xml:space="preserve"> zaměstnanců v této oblasti.</w:t>
      </w:r>
    </w:p>
    <w:p w14:paraId="4D85C99B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2.1.7</w:t>
      </w:r>
      <w:r>
        <w:rPr>
          <w:rFonts w:ascii="Arial" w:hAnsi="Arial" w:cs="Calibri"/>
          <w:sz w:val="24"/>
          <w:szCs w:val="24"/>
        </w:rPr>
        <w:tab/>
        <w:t xml:space="preserve">Kontrolovat vedení dokumentace správce </w:t>
      </w:r>
      <w:r>
        <w:rPr>
          <w:rFonts w:ascii="Arial" w:hAnsi="Arial" w:cs="Calibri"/>
          <w:sz w:val="24"/>
          <w:szCs w:val="24"/>
        </w:rPr>
        <w:t xml:space="preserve">v souladu s čl. 33 odst. 5) nařízení </w:t>
      </w:r>
      <w:r>
        <w:rPr>
          <w:rFonts w:ascii="Arial" w:hAnsi="Arial" w:cs="Calibri"/>
          <w:sz w:val="24"/>
          <w:szCs w:val="24"/>
        </w:rPr>
        <w:tab/>
        <w:t>GDPR.</w:t>
      </w:r>
    </w:p>
    <w:p w14:paraId="20941448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2.1.8</w:t>
      </w:r>
      <w:r>
        <w:rPr>
          <w:rFonts w:ascii="Arial" w:hAnsi="Arial" w:cs="Calibri"/>
          <w:sz w:val="24"/>
          <w:szCs w:val="24"/>
        </w:rPr>
        <w:tab/>
        <w:t xml:space="preserve">Posuzovat správcem zavedená </w:t>
      </w:r>
      <w:proofErr w:type="spellStart"/>
      <w:r>
        <w:rPr>
          <w:rFonts w:ascii="Arial" w:hAnsi="Arial" w:cs="Calibri"/>
          <w:sz w:val="24"/>
          <w:szCs w:val="24"/>
        </w:rPr>
        <w:t>technicko</w:t>
      </w:r>
      <w:proofErr w:type="spellEnd"/>
      <w:r>
        <w:rPr>
          <w:rFonts w:ascii="Arial" w:hAnsi="Arial" w:cs="Calibri"/>
          <w:sz w:val="24"/>
          <w:szCs w:val="24"/>
        </w:rPr>
        <w:t xml:space="preserve"> organizační opatření a navrhovat </w:t>
      </w:r>
      <w:r>
        <w:rPr>
          <w:rFonts w:ascii="Arial" w:hAnsi="Arial" w:cs="Calibri"/>
          <w:sz w:val="24"/>
          <w:szCs w:val="24"/>
        </w:rPr>
        <w:tab/>
        <w:t xml:space="preserve">kontrolu jejich účinnosti. Navrhovat nová </w:t>
      </w:r>
      <w:proofErr w:type="spellStart"/>
      <w:r>
        <w:rPr>
          <w:rFonts w:ascii="Arial" w:hAnsi="Arial" w:cs="Calibri"/>
          <w:sz w:val="24"/>
          <w:szCs w:val="24"/>
        </w:rPr>
        <w:t>technicko</w:t>
      </w:r>
      <w:proofErr w:type="spellEnd"/>
      <w:r>
        <w:rPr>
          <w:rFonts w:ascii="Arial" w:hAnsi="Arial" w:cs="Calibri"/>
          <w:sz w:val="24"/>
          <w:szCs w:val="24"/>
        </w:rPr>
        <w:t xml:space="preserve"> organizační opatření.</w:t>
      </w:r>
    </w:p>
    <w:p w14:paraId="6BDAC0E1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2.1.9</w:t>
      </w:r>
      <w:r>
        <w:rPr>
          <w:rFonts w:ascii="Arial" w:hAnsi="Arial" w:cs="Calibri"/>
          <w:sz w:val="24"/>
          <w:szCs w:val="24"/>
        </w:rPr>
        <w:tab/>
        <w:t xml:space="preserve">Vytvořit kontaktní místo pro subjekty údajů, přijímat </w:t>
      </w:r>
      <w:r>
        <w:rPr>
          <w:rFonts w:ascii="Arial" w:hAnsi="Arial" w:cs="Calibri"/>
          <w:sz w:val="24"/>
          <w:szCs w:val="24"/>
        </w:rPr>
        <w:t xml:space="preserve">a vyřizovat jejich podněty. </w:t>
      </w:r>
    </w:p>
    <w:p w14:paraId="422676D1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2.1.10</w:t>
      </w:r>
      <w:r>
        <w:rPr>
          <w:rFonts w:ascii="Arial" w:hAnsi="Arial" w:cs="Calibri"/>
          <w:sz w:val="24"/>
          <w:szCs w:val="24"/>
        </w:rPr>
        <w:tab/>
        <w:t xml:space="preserve">Pověřenec je povinen zachovávat mlčenlivost o skutečnostech, o kterých se </w:t>
      </w:r>
      <w:r>
        <w:rPr>
          <w:rFonts w:ascii="Arial" w:hAnsi="Arial" w:cs="Calibri"/>
          <w:sz w:val="24"/>
          <w:szCs w:val="24"/>
        </w:rPr>
        <w:tab/>
        <w:t xml:space="preserve">v souvislosti s výkonem této funkce dozví. Povinnost mlčenlivosti trvá i po </w:t>
      </w:r>
      <w:r>
        <w:rPr>
          <w:rFonts w:ascii="Arial" w:hAnsi="Arial" w:cs="Calibri"/>
          <w:sz w:val="24"/>
          <w:szCs w:val="24"/>
        </w:rPr>
        <w:tab/>
        <w:t>ukončení činnosti podle této smlouvy.</w:t>
      </w:r>
    </w:p>
    <w:p w14:paraId="58A90C29" w14:textId="77777777" w:rsidR="00EE031F" w:rsidRDefault="001735E4">
      <w:pPr>
        <w:spacing w:after="120" w:line="300" w:lineRule="exact"/>
        <w:ind w:left="6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2.1.11</w:t>
      </w:r>
      <w:r>
        <w:rPr>
          <w:rFonts w:ascii="Arial" w:hAnsi="Arial" w:cs="Calibri"/>
          <w:sz w:val="24"/>
          <w:szCs w:val="24"/>
        </w:rPr>
        <w:tab/>
        <w:t>Pověřenec se zavazuje z</w:t>
      </w:r>
      <w:r>
        <w:rPr>
          <w:rFonts w:ascii="Arial" w:hAnsi="Arial" w:cs="Calibri"/>
          <w:sz w:val="24"/>
          <w:szCs w:val="24"/>
        </w:rPr>
        <w:t xml:space="preserve">ačít vykonávat své povinnosti dnem 1. </w:t>
      </w:r>
      <w:proofErr w:type="gramStart"/>
      <w:r>
        <w:rPr>
          <w:rFonts w:ascii="Arial" w:hAnsi="Arial" w:cs="Calibri"/>
          <w:sz w:val="24"/>
          <w:szCs w:val="24"/>
        </w:rPr>
        <w:t>března  2020.</w:t>
      </w:r>
      <w:proofErr w:type="gramEnd"/>
    </w:p>
    <w:p w14:paraId="684471BC" w14:textId="77777777" w:rsidR="00EE031F" w:rsidRDefault="00EE031F">
      <w:pPr>
        <w:spacing w:after="120" w:line="300" w:lineRule="exact"/>
        <w:jc w:val="both"/>
        <w:rPr>
          <w:rFonts w:ascii="Arial" w:hAnsi="Arial" w:cs="Calibri"/>
          <w:b/>
          <w:sz w:val="24"/>
          <w:szCs w:val="24"/>
        </w:rPr>
      </w:pPr>
    </w:p>
    <w:p w14:paraId="24CC2845" w14:textId="77777777" w:rsidR="00EE031F" w:rsidRDefault="001735E4">
      <w:pPr>
        <w:spacing w:after="120" w:line="300" w:lineRule="exact"/>
        <w:jc w:val="both"/>
        <w:rPr>
          <w:rFonts w:ascii="Arial" w:hAnsi="Arial" w:cs="Calibri"/>
          <w:b/>
          <w:bCs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>3</w:t>
      </w:r>
      <w:r>
        <w:rPr>
          <w:rFonts w:ascii="Arial" w:hAnsi="Arial" w:cs="Calibri"/>
          <w:b/>
          <w:bCs/>
          <w:sz w:val="24"/>
          <w:szCs w:val="24"/>
        </w:rPr>
        <w:tab/>
        <w:t>Povinnosti správce</w:t>
      </w:r>
    </w:p>
    <w:p w14:paraId="473192EB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3.1</w:t>
      </w:r>
      <w:r>
        <w:rPr>
          <w:rFonts w:ascii="Arial" w:hAnsi="Arial" w:cs="Calibri"/>
          <w:sz w:val="24"/>
          <w:szCs w:val="24"/>
        </w:rPr>
        <w:tab/>
        <w:t xml:space="preserve">Správce zveřejní kontaktní údaje pověřence ve svých informačních </w:t>
      </w:r>
      <w:r>
        <w:rPr>
          <w:rFonts w:ascii="Arial" w:hAnsi="Arial" w:cs="Calibri"/>
          <w:sz w:val="24"/>
          <w:szCs w:val="24"/>
        </w:rPr>
        <w:tab/>
        <w:t xml:space="preserve">materiálech poskytovaných subjektům údajů. Dále bezodkladně oznámí tyto </w:t>
      </w:r>
      <w:r>
        <w:rPr>
          <w:rFonts w:ascii="Arial" w:hAnsi="Arial" w:cs="Calibri"/>
          <w:sz w:val="24"/>
          <w:szCs w:val="24"/>
        </w:rPr>
        <w:tab/>
        <w:t>kontaktní údaje Úřadu pro ochranu osobn</w:t>
      </w:r>
      <w:r>
        <w:rPr>
          <w:rFonts w:ascii="Arial" w:hAnsi="Arial" w:cs="Calibri"/>
          <w:sz w:val="24"/>
          <w:szCs w:val="24"/>
        </w:rPr>
        <w:t>ích údajů.</w:t>
      </w:r>
    </w:p>
    <w:p w14:paraId="53DE0F85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3.2</w:t>
      </w:r>
      <w:r>
        <w:rPr>
          <w:rFonts w:ascii="Arial" w:hAnsi="Arial" w:cs="Calibri"/>
          <w:sz w:val="24"/>
          <w:szCs w:val="24"/>
        </w:rPr>
        <w:tab/>
        <w:t xml:space="preserve">Správce poskytne pověřenci všechna dostupná data a informace nezbytné k </w:t>
      </w:r>
      <w:r>
        <w:rPr>
          <w:rFonts w:ascii="Arial" w:hAnsi="Arial" w:cs="Calibri"/>
          <w:sz w:val="24"/>
          <w:szCs w:val="24"/>
        </w:rPr>
        <w:tab/>
        <w:t xml:space="preserve">řádnému plnění předmětu této smlouvy a poskytne mu nezbytnou součinnost. </w:t>
      </w:r>
      <w:r>
        <w:rPr>
          <w:rFonts w:ascii="Arial" w:hAnsi="Arial" w:cs="Calibri"/>
          <w:sz w:val="24"/>
          <w:szCs w:val="24"/>
        </w:rPr>
        <w:tab/>
        <w:t xml:space="preserve">Rovněž bude informovat pověřence o všech důležitých skutečnostech a </w:t>
      </w:r>
      <w:r>
        <w:rPr>
          <w:rFonts w:ascii="Arial" w:hAnsi="Arial" w:cs="Calibri"/>
          <w:sz w:val="24"/>
          <w:szCs w:val="24"/>
        </w:rPr>
        <w:tab/>
        <w:t>změnách, které by mohly m</w:t>
      </w:r>
      <w:r>
        <w:rPr>
          <w:rFonts w:ascii="Arial" w:hAnsi="Arial" w:cs="Calibri"/>
          <w:sz w:val="24"/>
          <w:szCs w:val="24"/>
        </w:rPr>
        <w:t xml:space="preserve">ít vliv na ochranu osobních údajů a přizve </w:t>
      </w:r>
      <w:r>
        <w:rPr>
          <w:rFonts w:ascii="Arial" w:hAnsi="Arial" w:cs="Calibri"/>
          <w:sz w:val="24"/>
          <w:szCs w:val="24"/>
        </w:rPr>
        <w:tab/>
        <w:t xml:space="preserve">pověřence k rozhodování o všech záležitostech, které by mohly mít dopad na </w:t>
      </w:r>
      <w:r>
        <w:rPr>
          <w:rFonts w:ascii="Arial" w:hAnsi="Arial" w:cs="Calibri"/>
          <w:sz w:val="24"/>
          <w:szCs w:val="24"/>
        </w:rPr>
        <w:tab/>
        <w:t>zpracování osobních údajů.</w:t>
      </w:r>
    </w:p>
    <w:p w14:paraId="09064C78" w14:textId="77777777" w:rsidR="00EE031F" w:rsidRDefault="00EE031F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</w:p>
    <w:p w14:paraId="51B04154" w14:textId="0A377A82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lastRenderedPageBreak/>
        <w:t>3.3.</w:t>
      </w:r>
      <w:r>
        <w:rPr>
          <w:rFonts w:ascii="Arial" w:hAnsi="Arial" w:cs="Calibri"/>
          <w:sz w:val="24"/>
          <w:szCs w:val="24"/>
        </w:rPr>
        <w:tab/>
        <w:t xml:space="preserve">Správce pověřenci zajistí a umožní používání běžného kancelářského </w:t>
      </w:r>
      <w:r>
        <w:rPr>
          <w:rFonts w:ascii="Arial" w:hAnsi="Arial" w:cs="Calibri"/>
          <w:sz w:val="24"/>
          <w:szCs w:val="24"/>
        </w:rPr>
        <w:tab/>
        <w:t>vybavení včetně přístupu k počítači</w:t>
      </w:r>
      <w:r>
        <w:rPr>
          <w:rFonts w:ascii="Arial" w:hAnsi="Arial" w:cs="Calibri"/>
          <w:sz w:val="24"/>
          <w:szCs w:val="24"/>
        </w:rPr>
        <w:t xml:space="preserve"> s dostupným připojením k internetu, </w:t>
      </w:r>
      <w:r>
        <w:rPr>
          <w:rFonts w:ascii="Arial" w:hAnsi="Arial" w:cs="Calibri"/>
          <w:sz w:val="24"/>
          <w:szCs w:val="24"/>
        </w:rPr>
        <w:tab/>
        <w:t xml:space="preserve">tiskárně, kopírce, telefonu a případně další potřebné </w:t>
      </w:r>
      <w:proofErr w:type="gramStart"/>
      <w:r>
        <w:rPr>
          <w:rFonts w:ascii="Arial" w:hAnsi="Arial" w:cs="Calibri"/>
          <w:sz w:val="24"/>
          <w:szCs w:val="24"/>
        </w:rPr>
        <w:t>technice</w:t>
      </w:r>
      <w:proofErr w:type="gramEnd"/>
      <w:r>
        <w:rPr>
          <w:rFonts w:ascii="Arial" w:hAnsi="Arial" w:cs="Calibri"/>
          <w:sz w:val="24"/>
          <w:szCs w:val="24"/>
        </w:rPr>
        <w:t xml:space="preserve"> a to v době </w:t>
      </w:r>
      <w:r>
        <w:rPr>
          <w:rFonts w:ascii="Arial" w:hAnsi="Arial" w:cs="Calibri"/>
          <w:sz w:val="24"/>
          <w:szCs w:val="24"/>
        </w:rPr>
        <w:tab/>
        <w:t>přítomnosti pověřence na pracovišti správce.</w:t>
      </w:r>
    </w:p>
    <w:p w14:paraId="71C71405" w14:textId="77777777" w:rsidR="00EE031F" w:rsidRDefault="00EE031F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</w:p>
    <w:p w14:paraId="7D580238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3.4.</w:t>
      </w:r>
      <w:r>
        <w:rPr>
          <w:rFonts w:ascii="Arial" w:hAnsi="Arial" w:cs="Calibri"/>
          <w:sz w:val="24"/>
          <w:szCs w:val="24"/>
        </w:rPr>
        <w:tab/>
        <w:t>Správce bude informovat pověřence o implementaci jeho doporučení a</w:t>
      </w:r>
      <w:r>
        <w:rPr>
          <w:rFonts w:ascii="Arial" w:hAnsi="Arial" w:cs="Calibri"/>
          <w:sz w:val="24"/>
          <w:szCs w:val="24"/>
        </w:rPr>
        <w:tab/>
        <w:t xml:space="preserve">o </w:t>
      </w:r>
      <w:r>
        <w:rPr>
          <w:rFonts w:ascii="Arial" w:hAnsi="Arial" w:cs="Calibri"/>
          <w:sz w:val="24"/>
          <w:szCs w:val="24"/>
        </w:rPr>
        <w:tab/>
        <w:t xml:space="preserve">přijatých </w:t>
      </w:r>
      <w:r>
        <w:rPr>
          <w:rFonts w:ascii="Arial" w:hAnsi="Arial" w:cs="Calibri"/>
          <w:sz w:val="24"/>
          <w:szCs w:val="24"/>
        </w:rPr>
        <w:t>opatřeních.</w:t>
      </w:r>
    </w:p>
    <w:p w14:paraId="345A08AB" w14:textId="77777777" w:rsidR="00EE031F" w:rsidRDefault="00EE031F">
      <w:pPr>
        <w:spacing w:after="120" w:line="300" w:lineRule="exact"/>
        <w:jc w:val="both"/>
        <w:rPr>
          <w:rFonts w:ascii="Arial" w:hAnsi="Arial" w:cs="Calibri"/>
          <w:b/>
          <w:sz w:val="24"/>
          <w:szCs w:val="24"/>
        </w:rPr>
      </w:pPr>
    </w:p>
    <w:p w14:paraId="7D0B585E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>4</w:t>
      </w:r>
      <w:r>
        <w:rPr>
          <w:rFonts w:ascii="Arial" w:hAnsi="Arial" w:cs="Calibri"/>
          <w:b/>
          <w:bCs/>
          <w:sz w:val="24"/>
          <w:szCs w:val="24"/>
        </w:rPr>
        <w:tab/>
        <w:t>Odměna pověřence</w:t>
      </w:r>
    </w:p>
    <w:p w14:paraId="3749FC98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4.1</w:t>
      </w:r>
      <w:r>
        <w:rPr>
          <w:rFonts w:ascii="Arial" w:hAnsi="Arial" w:cs="Calibri"/>
          <w:b/>
          <w:bCs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 xml:space="preserve">Správce se zavazuje zaplatit pověřenci paušální odměnu ve výši 1500,- Kč </w:t>
      </w:r>
      <w:r>
        <w:rPr>
          <w:rFonts w:ascii="Arial" w:hAnsi="Arial" w:cs="Calibri"/>
          <w:sz w:val="24"/>
          <w:szCs w:val="24"/>
        </w:rPr>
        <w:tab/>
        <w:t>(</w:t>
      </w:r>
      <w:proofErr w:type="spellStart"/>
      <w:r>
        <w:rPr>
          <w:rFonts w:ascii="Arial" w:hAnsi="Arial" w:cs="Calibri"/>
          <w:sz w:val="24"/>
          <w:szCs w:val="24"/>
        </w:rPr>
        <w:t>jedentisícpětsetkorun</w:t>
      </w:r>
      <w:proofErr w:type="spellEnd"/>
      <w:r>
        <w:rPr>
          <w:rFonts w:ascii="Arial" w:hAnsi="Arial" w:cs="Calibri"/>
          <w:sz w:val="24"/>
          <w:szCs w:val="24"/>
        </w:rPr>
        <w:t>) za každý jeden měsíc výkonu funkce pověřence.</w:t>
      </w:r>
    </w:p>
    <w:p w14:paraId="2C6C232B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4.2</w:t>
      </w:r>
      <w:r>
        <w:rPr>
          <w:rFonts w:ascii="Arial" w:hAnsi="Arial" w:cs="Calibri"/>
          <w:sz w:val="24"/>
          <w:szCs w:val="24"/>
        </w:rPr>
        <w:tab/>
        <w:t xml:space="preserve">Paušální odměna zahrnuje činnost pověřence v rozsahu čl. 2 této </w:t>
      </w:r>
      <w:r>
        <w:rPr>
          <w:rFonts w:ascii="Arial" w:hAnsi="Arial" w:cs="Calibri"/>
          <w:sz w:val="24"/>
          <w:szCs w:val="24"/>
        </w:rPr>
        <w:tab/>
        <w:t>smlouvy</w:t>
      </w:r>
      <w:r>
        <w:rPr>
          <w:rFonts w:ascii="Arial" w:hAnsi="Arial" w:cs="Calibri"/>
          <w:sz w:val="24"/>
          <w:szCs w:val="24"/>
        </w:rPr>
        <w:t xml:space="preserve">. </w:t>
      </w:r>
      <w:r>
        <w:rPr>
          <w:rFonts w:ascii="Arial" w:hAnsi="Arial" w:cs="Calibri"/>
          <w:sz w:val="24"/>
          <w:szCs w:val="24"/>
        </w:rPr>
        <w:tab/>
        <w:t xml:space="preserve">Vzniknou-li pověřenci zvýšené náklady spojené s činností pro správce, je </w:t>
      </w:r>
      <w:r>
        <w:rPr>
          <w:rFonts w:ascii="Arial" w:hAnsi="Arial" w:cs="Calibri"/>
          <w:sz w:val="24"/>
          <w:szCs w:val="24"/>
        </w:rPr>
        <w:tab/>
        <w:t xml:space="preserve">pověřenec oprávněn účtovat správci odměnu ve výši 300,- Kč za hodinu </w:t>
      </w:r>
      <w:r>
        <w:rPr>
          <w:rFonts w:ascii="Arial" w:hAnsi="Arial" w:cs="Calibri"/>
          <w:sz w:val="24"/>
          <w:szCs w:val="24"/>
        </w:rPr>
        <w:tab/>
        <w:t>činnosti. Toto je podmíněno předchozí dohodou smluvních stran.</w:t>
      </w:r>
    </w:p>
    <w:p w14:paraId="4B8DFB31" w14:textId="77777777" w:rsidR="00EE031F" w:rsidRDefault="001735E4">
      <w:pPr>
        <w:pStyle w:val="Zkladntext"/>
        <w:suppressAutoHyphens w:val="0"/>
        <w:spacing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4.3</w:t>
      </w:r>
      <w:r>
        <w:rPr>
          <w:rFonts w:ascii="Arial" w:hAnsi="Arial" w:cs="Calibri"/>
          <w:sz w:val="24"/>
          <w:szCs w:val="24"/>
        </w:rPr>
        <w:tab/>
        <w:t>Na základě dohody smluvních stran bude čin</w:t>
      </w:r>
      <w:r>
        <w:rPr>
          <w:rFonts w:ascii="Arial" w:hAnsi="Arial" w:cs="Calibri"/>
          <w:sz w:val="24"/>
          <w:szCs w:val="24"/>
        </w:rPr>
        <w:t xml:space="preserve">nost pověřence fakturována </w:t>
      </w:r>
      <w:r>
        <w:rPr>
          <w:rFonts w:ascii="Arial" w:hAnsi="Arial" w:cs="Calibri"/>
          <w:sz w:val="24"/>
          <w:szCs w:val="24"/>
        </w:rPr>
        <w:tab/>
        <w:t xml:space="preserve">správci jednou za kalendářní čtvrtletí. </w:t>
      </w:r>
    </w:p>
    <w:p w14:paraId="20EA6716" w14:textId="77777777" w:rsidR="00EE031F" w:rsidRDefault="00EE031F">
      <w:pPr>
        <w:pStyle w:val="Zkladntext"/>
        <w:suppressAutoHyphens w:val="0"/>
        <w:spacing w:line="300" w:lineRule="exact"/>
        <w:ind w:left="660"/>
        <w:jc w:val="both"/>
        <w:rPr>
          <w:rFonts w:ascii="Arial" w:hAnsi="Arial" w:cs="Calibri"/>
          <w:b/>
          <w:sz w:val="24"/>
          <w:szCs w:val="24"/>
        </w:rPr>
      </w:pPr>
    </w:p>
    <w:p w14:paraId="5B817A20" w14:textId="77777777" w:rsidR="00EE031F" w:rsidRDefault="001735E4">
      <w:pPr>
        <w:spacing w:after="120"/>
        <w:jc w:val="both"/>
        <w:rPr>
          <w:rFonts w:ascii="Arial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bCs/>
          <w:sz w:val="24"/>
          <w:szCs w:val="24"/>
        </w:rPr>
        <w:t>5</w:t>
      </w:r>
      <w:r>
        <w:rPr>
          <w:rFonts w:ascii="Arial" w:eastAsia="Calibri" w:hAnsi="Arial" w:cs="Calibri"/>
          <w:b/>
          <w:bCs/>
          <w:sz w:val="24"/>
          <w:szCs w:val="24"/>
        </w:rPr>
        <w:tab/>
        <w:t>Trvání a ukončení smlouvy</w:t>
      </w:r>
    </w:p>
    <w:p w14:paraId="1137143D" w14:textId="77777777" w:rsidR="00EE031F" w:rsidRDefault="001735E4">
      <w:pPr>
        <w:spacing w:after="120" w:line="300" w:lineRule="exact"/>
        <w:ind w:left="660"/>
        <w:jc w:val="both"/>
        <w:rPr>
          <w:rFonts w:ascii="Arial" w:eastAsia="Calibri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5.1.</w:t>
      </w:r>
      <w:r>
        <w:rPr>
          <w:rFonts w:ascii="Arial" w:eastAsia="Calibri" w:hAnsi="Arial" w:cs="Calibri"/>
          <w:sz w:val="24"/>
          <w:szCs w:val="24"/>
        </w:rPr>
        <w:tab/>
        <w:t>Tato smlouva se uzavírá na dobu neurčitou.</w:t>
      </w:r>
    </w:p>
    <w:p w14:paraId="0910303F" w14:textId="3DF864A7" w:rsidR="00EE031F" w:rsidRDefault="001735E4">
      <w:pPr>
        <w:spacing w:after="120" w:line="300" w:lineRule="exact"/>
        <w:ind w:left="66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>5.2.</w:t>
      </w:r>
      <w:r>
        <w:rPr>
          <w:rFonts w:ascii="Arial" w:eastAsia="Calibri" w:hAnsi="Arial" w:cs="Calibri"/>
          <w:sz w:val="24"/>
          <w:szCs w:val="24"/>
        </w:rPr>
        <w:tab/>
        <w:t xml:space="preserve">Tuto smlouvu je možné ukončit </w:t>
      </w:r>
      <w:r>
        <w:rPr>
          <w:rFonts w:ascii="Arial" w:eastAsia="Calibri" w:hAnsi="Arial" w:cs="Calibri"/>
          <w:sz w:val="24"/>
          <w:szCs w:val="24"/>
        </w:rPr>
        <w:t xml:space="preserve">výpovědí. Každá ze smluvních stran je </w:t>
      </w:r>
      <w:r>
        <w:rPr>
          <w:rFonts w:ascii="Arial" w:eastAsia="Calibri" w:hAnsi="Arial" w:cs="Calibri"/>
          <w:sz w:val="24"/>
          <w:szCs w:val="24"/>
        </w:rPr>
        <w:tab/>
        <w:t xml:space="preserve">oprávněna smlouvu vypovědět kdykoli a bez udání důvodu. Výpovědní lhůta je </w:t>
      </w:r>
      <w:r>
        <w:rPr>
          <w:rFonts w:ascii="Arial" w:eastAsia="Calibri" w:hAnsi="Arial" w:cs="Calibri"/>
          <w:sz w:val="24"/>
          <w:szCs w:val="24"/>
        </w:rPr>
        <w:tab/>
        <w:t xml:space="preserve">dva kalendářní měsíce a začíná plynout od prvého dne kalendářního měsíce </w:t>
      </w:r>
      <w:r>
        <w:rPr>
          <w:rFonts w:ascii="Arial" w:eastAsia="Calibri" w:hAnsi="Arial" w:cs="Calibri"/>
          <w:sz w:val="24"/>
          <w:szCs w:val="24"/>
        </w:rPr>
        <w:tab/>
        <w:t>následujícího po dni doručení výpovědi</w:t>
      </w:r>
      <w:r>
        <w:rPr>
          <w:rFonts w:ascii="Arial" w:eastAsia="Calibri" w:hAnsi="Arial" w:cs="Calibri"/>
          <w:sz w:val="24"/>
          <w:szCs w:val="24"/>
        </w:rPr>
        <w:t>.</w:t>
      </w:r>
      <w:r w:rsidR="00231BD1">
        <w:rPr>
          <w:rFonts w:ascii="Arial" w:eastAsia="Calibri" w:hAnsi="Arial" w:cs="Calibri"/>
          <w:sz w:val="24"/>
          <w:szCs w:val="24"/>
        </w:rPr>
        <w:t xml:space="preserve"> </w:t>
      </w:r>
      <w:proofErr w:type="gramStart"/>
      <w:r>
        <w:rPr>
          <w:rFonts w:ascii="Arial" w:hAnsi="Arial" w:cs="Calibri"/>
          <w:sz w:val="24"/>
          <w:szCs w:val="24"/>
        </w:rPr>
        <w:t>Výpověď</w:t>
      </w:r>
      <w:proofErr w:type="gramEnd"/>
      <w:r>
        <w:rPr>
          <w:rFonts w:ascii="Arial" w:hAnsi="Arial" w:cs="Calibri"/>
          <w:sz w:val="24"/>
          <w:szCs w:val="24"/>
        </w:rPr>
        <w:t xml:space="preserve"> smlouvy musí být pí</w:t>
      </w:r>
      <w:r>
        <w:rPr>
          <w:rFonts w:ascii="Arial" w:hAnsi="Arial" w:cs="Calibri"/>
          <w:sz w:val="24"/>
          <w:szCs w:val="24"/>
        </w:rPr>
        <w:t xml:space="preserve">semná a </w:t>
      </w:r>
      <w:r>
        <w:rPr>
          <w:rFonts w:ascii="Arial" w:hAnsi="Arial" w:cs="Calibri"/>
          <w:sz w:val="24"/>
          <w:szCs w:val="24"/>
        </w:rPr>
        <w:tab/>
        <w:t xml:space="preserve">musí být doručena druhé smluvní straně. </w:t>
      </w:r>
    </w:p>
    <w:p w14:paraId="4D178A52" w14:textId="77777777" w:rsidR="00EE031F" w:rsidRDefault="001735E4">
      <w:pPr>
        <w:spacing w:after="120" w:line="300" w:lineRule="exact"/>
        <w:ind w:left="6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5.3</w:t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eastAsia="Calibri" w:hAnsi="Arial" w:cs="Calibri"/>
          <w:sz w:val="24"/>
          <w:szCs w:val="24"/>
        </w:rPr>
        <w:t>Tuto smlouvu je možné rovněž ukončit písemnou dohodou smluvních stran.</w:t>
      </w:r>
    </w:p>
    <w:p w14:paraId="1B2256CA" w14:textId="77777777" w:rsidR="00EE031F" w:rsidRDefault="00EE031F">
      <w:pPr>
        <w:spacing w:after="120" w:line="300" w:lineRule="exact"/>
        <w:ind w:left="1017"/>
        <w:jc w:val="both"/>
        <w:rPr>
          <w:rFonts w:ascii="Arial" w:hAnsi="Arial" w:cs="Calibri"/>
          <w:b/>
          <w:sz w:val="24"/>
          <w:szCs w:val="24"/>
        </w:rPr>
      </w:pPr>
    </w:p>
    <w:p w14:paraId="0F68458C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6</w:t>
      </w:r>
      <w:r>
        <w:rPr>
          <w:rFonts w:ascii="Arial" w:hAnsi="Arial" w:cs="Calibri"/>
          <w:b/>
          <w:sz w:val="24"/>
          <w:szCs w:val="24"/>
        </w:rPr>
        <w:tab/>
        <w:t>Závěrečná ustanovení</w:t>
      </w:r>
    </w:p>
    <w:p w14:paraId="2E40CE3F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6.1</w:t>
      </w:r>
      <w:r>
        <w:rPr>
          <w:rFonts w:ascii="Arial" w:hAnsi="Arial" w:cs="Calibri"/>
          <w:sz w:val="24"/>
          <w:szCs w:val="24"/>
        </w:rPr>
        <w:tab/>
        <w:t xml:space="preserve">Tato smlouva je úplným ujednáním mezi smluvními stranami ve vztahu k </w:t>
      </w:r>
      <w:r>
        <w:rPr>
          <w:rFonts w:ascii="Arial" w:hAnsi="Arial" w:cs="Calibri"/>
          <w:sz w:val="24"/>
          <w:szCs w:val="24"/>
        </w:rPr>
        <w:tab/>
        <w:t>předmětu této smlouvy a nahrazuje</w:t>
      </w:r>
      <w:r>
        <w:rPr>
          <w:rFonts w:ascii="Arial" w:hAnsi="Arial" w:cs="Calibri"/>
          <w:sz w:val="24"/>
          <w:szCs w:val="24"/>
        </w:rPr>
        <w:t xml:space="preserve"> veškerá předchozí ujednání týkající se </w:t>
      </w:r>
      <w:r>
        <w:rPr>
          <w:rFonts w:ascii="Arial" w:hAnsi="Arial" w:cs="Calibri"/>
          <w:sz w:val="24"/>
          <w:szCs w:val="24"/>
        </w:rPr>
        <w:tab/>
        <w:t>předmětu smlouvy.</w:t>
      </w:r>
    </w:p>
    <w:p w14:paraId="07351E2F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6.2</w:t>
      </w:r>
      <w:r>
        <w:rPr>
          <w:rFonts w:ascii="Arial" w:hAnsi="Arial" w:cs="Calibri"/>
          <w:sz w:val="24"/>
          <w:szCs w:val="24"/>
        </w:rPr>
        <w:tab/>
        <w:t xml:space="preserve">Tato smlouva je vyhotovena ve dvou stejnopisech, z nichž každá smluvní </w:t>
      </w:r>
      <w:r>
        <w:rPr>
          <w:rFonts w:ascii="Arial" w:hAnsi="Arial" w:cs="Calibri"/>
          <w:sz w:val="24"/>
          <w:szCs w:val="24"/>
        </w:rPr>
        <w:tab/>
        <w:t>strana obdrží jeden.</w:t>
      </w:r>
    </w:p>
    <w:p w14:paraId="1BD395A4" w14:textId="77777777" w:rsidR="00EE031F" w:rsidRDefault="001735E4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6.3</w:t>
      </w:r>
      <w:r>
        <w:rPr>
          <w:rFonts w:ascii="Arial" w:hAnsi="Arial" w:cs="Calibri"/>
          <w:sz w:val="24"/>
          <w:szCs w:val="24"/>
        </w:rPr>
        <w:tab/>
        <w:t>Veškeré změny a dodatky této smlouvy musí mít písemnou formu.</w:t>
      </w:r>
    </w:p>
    <w:p w14:paraId="1F2080A2" w14:textId="77777777" w:rsidR="00EE031F" w:rsidRDefault="00EE031F">
      <w:pPr>
        <w:spacing w:after="120" w:line="300" w:lineRule="exact"/>
        <w:jc w:val="both"/>
        <w:rPr>
          <w:rFonts w:ascii="Arial" w:hAnsi="Arial" w:cs="Calibri"/>
          <w:sz w:val="24"/>
          <w:szCs w:val="24"/>
        </w:rPr>
      </w:pPr>
    </w:p>
    <w:p w14:paraId="3CF38857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V Praze dne 26.2.2020</w:t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ab/>
      </w:r>
      <w:r>
        <w:rPr>
          <w:rFonts w:ascii="Arial" w:hAnsi="Arial" w:cs="Calibri"/>
          <w:sz w:val="24"/>
          <w:szCs w:val="24"/>
        </w:rPr>
        <w:tab/>
      </w:r>
    </w:p>
    <w:p w14:paraId="65C24200" w14:textId="77777777" w:rsidR="00EE031F" w:rsidRDefault="00EE031F">
      <w:pPr>
        <w:spacing w:after="120" w:line="300" w:lineRule="exact"/>
        <w:jc w:val="both"/>
        <w:rPr>
          <w:rFonts w:ascii="Arial" w:hAnsi="Arial"/>
          <w:sz w:val="24"/>
          <w:szCs w:val="24"/>
        </w:rPr>
      </w:pPr>
    </w:p>
    <w:p w14:paraId="686AF661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</w:t>
      </w:r>
      <w:r>
        <w:rPr>
          <w:rFonts w:ascii="Arial" w:hAnsi="Arial"/>
          <w:sz w:val="24"/>
          <w:szCs w:val="24"/>
        </w:rPr>
        <w:t>…………………….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</w:t>
      </w:r>
    </w:p>
    <w:p w14:paraId="6A7AD528" w14:textId="77777777" w:rsidR="00EE031F" w:rsidRDefault="001735E4">
      <w:pPr>
        <w:spacing w:after="120" w:line="30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Mgr. Jan KREJSA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Mgr. Martina KUBOVÁ</w:t>
      </w:r>
    </w:p>
    <w:sectPr w:rsidR="00EE031F">
      <w:pgSz w:w="11906" w:h="16838"/>
      <w:pgMar w:top="1417" w:right="1417" w:bottom="70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26">
    <w:panose1 w:val="00000000000000000000"/>
    <w:charset w:val="00"/>
    <w:family w:val="roman"/>
    <w:notTrueType/>
    <w:pitch w:val="default"/>
  </w:font>
  <w:font w:name="Open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3112"/>
    <w:multiLevelType w:val="multilevel"/>
    <w:tmpl w:val="9DEE5A46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20" w:hanging="180"/>
      </w:pPr>
    </w:lvl>
  </w:abstractNum>
  <w:abstractNum w:abstractNumId="1" w15:restartNumberingAfterBreak="0">
    <w:nsid w:val="36187E45"/>
    <w:multiLevelType w:val="multilevel"/>
    <w:tmpl w:val="D88C1A5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9D3A4A"/>
    <w:multiLevelType w:val="multilevel"/>
    <w:tmpl w:val="F2F2BF2A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76F67D2B"/>
    <w:multiLevelType w:val="multilevel"/>
    <w:tmpl w:val="6BD897F2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2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8" w:hanging="26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5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6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372" w:hanging="23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2"/>
        <w:position w:val="0"/>
        <w:sz w:val="22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1F"/>
    <w:rsid w:val="001735E4"/>
    <w:rsid w:val="00231BD1"/>
    <w:rsid w:val="007167CC"/>
    <w:rsid w:val="00896436"/>
    <w:rsid w:val="00E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C446"/>
  <w15:docId w15:val="{233F352B-89F6-4B27-8C36-AC6E0D8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next w:val="Zkladntext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  <w:lang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styleId="Nevyeenzmnka">
    <w:name w:val="Unresolved Mention"/>
    <w:basedOn w:val="Standardnpsmoodstavce"/>
    <w:qFormat/>
    <w:rPr>
      <w:color w:val="605E5C"/>
    </w:rPr>
  </w:style>
  <w:style w:type="character" w:customStyle="1" w:styleId="ZkladntextChar">
    <w:name w:val="Základní text Char"/>
    <w:basedOn w:val="Standardnpsmoodstavce"/>
    <w:qFormat/>
    <w:rPr>
      <w:rFonts w:ascii="Calibri" w:eastAsia="SimSun" w:hAnsi="Calibri" w:cs="font426"/>
      <w:kern w:val="2"/>
      <w:lang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cs="font426"/>
      <w:kern w:val="2"/>
      <w:lang w:eastAsia="ar-SA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spacing w:line="240" w:lineRule="auto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qFormat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ormln1">
    <w:name w:val="Normální1"/>
    <w:basedOn w:val="Normln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4803</Characters>
  <Application>Microsoft Office Word</Application>
  <DocSecurity>0</DocSecurity>
  <Lines>40</Lines>
  <Paragraphs>11</Paragraphs>
  <ScaleCrop>false</ScaleCrop>
  <Company>HP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Ing. Eva Radová</dc:creator>
  <dc:description/>
  <cp:lastModifiedBy>Martina Kubová</cp:lastModifiedBy>
  <cp:revision>4</cp:revision>
  <cp:lastPrinted>2020-02-27T14:23:00Z</cp:lastPrinted>
  <dcterms:created xsi:type="dcterms:W3CDTF">2021-11-05T09:50:00Z</dcterms:created>
  <dcterms:modified xsi:type="dcterms:W3CDTF">2021-11-05T09:51:00Z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