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CA04" w14:textId="64D9D5FA" w:rsidR="00D47C9A" w:rsidRPr="00E519E5" w:rsidRDefault="00D47C9A" w:rsidP="001D4D71">
      <w:pPr>
        <w:jc w:val="right"/>
        <w:rPr>
          <w:rFonts w:asciiTheme="minorHAnsi" w:hAnsiTheme="minorHAnsi"/>
          <w:bCs/>
          <w:sz w:val="24"/>
          <w:szCs w:val="24"/>
        </w:rPr>
      </w:pPr>
      <w:r w:rsidRPr="00E519E5">
        <w:rPr>
          <w:rFonts w:asciiTheme="minorHAnsi" w:hAnsiTheme="minorHAnsi"/>
          <w:bCs/>
          <w:sz w:val="24"/>
          <w:szCs w:val="24"/>
        </w:rPr>
        <w:t xml:space="preserve">Příloha č. </w:t>
      </w:r>
      <w:r w:rsidR="00F00646">
        <w:rPr>
          <w:rFonts w:asciiTheme="minorHAnsi" w:hAnsiTheme="minorHAnsi"/>
          <w:bCs/>
          <w:sz w:val="24"/>
          <w:szCs w:val="24"/>
        </w:rPr>
        <w:t>1</w:t>
      </w:r>
    </w:p>
    <w:p w14:paraId="338A9265" w14:textId="77777777" w:rsidR="005E0F04" w:rsidRPr="003B3F09" w:rsidRDefault="005E0F04" w:rsidP="001D4D71">
      <w:pPr>
        <w:jc w:val="right"/>
        <w:rPr>
          <w:rFonts w:asciiTheme="minorHAnsi" w:hAnsiTheme="minorHAnsi"/>
          <w:b/>
          <w:sz w:val="24"/>
          <w:szCs w:val="24"/>
        </w:rPr>
      </w:pPr>
    </w:p>
    <w:p w14:paraId="1F7EE268" w14:textId="77777777" w:rsidR="00D47C9A" w:rsidRPr="005E0F04" w:rsidRDefault="00D47C9A" w:rsidP="00D47C9A">
      <w:pPr>
        <w:jc w:val="center"/>
        <w:rPr>
          <w:rFonts w:asciiTheme="minorHAnsi" w:hAnsiTheme="minorHAnsi"/>
          <w:b/>
          <w:sz w:val="28"/>
          <w:szCs w:val="28"/>
        </w:rPr>
      </w:pPr>
      <w:r w:rsidRPr="005E0F04">
        <w:rPr>
          <w:rFonts w:asciiTheme="minorHAnsi" w:hAnsiTheme="minorHAnsi"/>
          <w:b/>
          <w:sz w:val="28"/>
          <w:szCs w:val="28"/>
        </w:rPr>
        <w:t xml:space="preserve">Rozsah a funkčnost díla </w:t>
      </w:r>
    </w:p>
    <w:p w14:paraId="61C07949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2FF9C6A1" w14:textId="77777777" w:rsidR="00D47C9A" w:rsidRPr="003B3F09" w:rsidRDefault="00D47C9A" w:rsidP="00474BE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3B3F09">
        <w:rPr>
          <w:rFonts w:asciiTheme="minorHAnsi" w:hAnsiTheme="minorHAnsi"/>
          <w:b/>
          <w:sz w:val="24"/>
          <w:szCs w:val="24"/>
        </w:rPr>
        <w:t>Úvod</w:t>
      </w:r>
    </w:p>
    <w:p w14:paraId="1C45D18D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3D84D781" w14:textId="6A7FAF9B" w:rsidR="001D4D71" w:rsidRDefault="00D47C9A" w:rsidP="000B2519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 xml:space="preserve">Tento dokument navazuje na dokument METODIKA ZAVEDENÍ IDS JK A ROZÚČTOVÁNÍ TRŽEB Z PŘESTUPNÍCH JÍZDNÍCH DOKLADŮ (dále jen Metodika), který byl zpracován na začátku roku 2016 společnostmi M-line a.s. a B&amp;C Dopravní systémy s.r.o. a </w:t>
      </w:r>
      <w:r w:rsidR="00474BEF">
        <w:rPr>
          <w:rFonts w:asciiTheme="minorHAnsi" w:hAnsiTheme="minorHAnsi"/>
          <w:sz w:val="24"/>
          <w:szCs w:val="24"/>
        </w:rPr>
        <w:t>je</w:t>
      </w:r>
      <w:r w:rsidR="001D4D71">
        <w:rPr>
          <w:rFonts w:asciiTheme="minorHAnsi" w:hAnsiTheme="minorHAnsi"/>
          <w:sz w:val="24"/>
          <w:szCs w:val="24"/>
        </w:rPr>
        <w:t xml:space="preserve"> součástí „Smlouvy“ </w:t>
      </w:r>
      <w:r w:rsidR="00474BEF">
        <w:rPr>
          <w:rFonts w:asciiTheme="minorHAnsi" w:hAnsiTheme="minorHAnsi"/>
          <w:sz w:val="24"/>
          <w:szCs w:val="24"/>
        </w:rPr>
        <w:t>jako</w:t>
      </w:r>
      <w:r w:rsidR="001D4D71">
        <w:rPr>
          <w:rFonts w:asciiTheme="minorHAnsi" w:hAnsiTheme="minorHAnsi"/>
          <w:sz w:val="24"/>
          <w:szCs w:val="24"/>
        </w:rPr>
        <w:t xml:space="preserve"> příloha č. </w:t>
      </w:r>
      <w:r w:rsidR="00474BEF">
        <w:rPr>
          <w:rFonts w:asciiTheme="minorHAnsi" w:hAnsiTheme="minorHAnsi"/>
          <w:sz w:val="24"/>
          <w:szCs w:val="24"/>
        </w:rPr>
        <w:t>2</w:t>
      </w:r>
      <w:r w:rsidR="001D4D71">
        <w:rPr>
          <w:rFonts w:asciiTheme="minorHAnsi" w:hAnsiTheme="minorHAnsi"/>
          <w:sz w:val="24"/>
          <w:szCs w:val="24"/>
        </w:rPr>
        <w:t>.</w:t>
      </w:r>
    </w:p>
    <w:p w14:paraId="2C4C3C11" w14:textId="77777777" w:rsidR="001D4D71" w:rsidRDefault="001D4D71" w:rsidP="000B2519">
      <w:pPr>
        <w:jc w:val="both"/>
        <w:rPr>
          <w:rFonts w:asciiTheme="minorHAnsi" w:hAnsiTheme="minorHAnsi"/>
          <w:sz w:val="24"/>
          <w:szCs w:val="24"/>
        </w:rPr>
      </w:pPr>
    </w:p>
    <w:p w14:paraId="03A9279B" w14:textId="6AC86D9F" w:rsidR="00D47C9A" w:rsidRDefault="00D47C9A" w:rsidP="001D4D71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Tento dokument navrhuje principy činnosti software pro rozúčtování tržeb mezi dopravc</w:t>
      </w:r>
      <w:r w:rsidR="007D1BA8">
        <w:rPr>
          <w:rFonts w:asciiTheme="minorHAnsi" w:hAnsiTheme="minorHAnsi"/>
          <w:sz w:val="24"/>
          <w:szCs w:val="24"/>
        </w:rPr>
        <w:t xml:space="preserve">e </w:t>
      </w:r>
      <w:r w:rsidRPr="003B3F09">
        <w:rPr>
          <w:rFonts w:asciiTheme="minorHAnsi" w:hAnsiTheme="minorHAnsi"/>
          <w:sz w:val="24"/>
          <w:szCs w:val="24"/>
        </w:rPr>
        <w:t xml:space="preserve">(clearingu). Jedná se o řešení plně vyhovující </w:t>
      </w:r>
      <w:r w:rsidR="005E0F04">
        <w:rPr>
          <w:rFonts w:asciiTheme="minorHAnsi" w:hAnsiTheme="minorHAnsi"/>
          <w:sz w:val="24"/>
          <w:szCs w:val="24"/>
        </w:rPr>
        <w:t>M</w:t>
      </w:r>
      <w:r w:rsidRPr="003B3F09">
        <w:rPr>
          <w:rFonts w:asciiTheme="minorHAnsi" w:hAnsiTheme="minorHAnsi"/>
          <w:sz w:val="24"/>
          <w:szCs w:val="24"/>
        </w:rPr>
        <w:t xml:space="preserve">etodice po dobu provozu IDS JK v rozsahu odpovídajícím etapě </w:t>
      </w:r>
      <w:proofErr w:type="gramStart"/>
      <w:r w:rsidR="005E0F04">
        <w:rPr>
          <w:rFonts w:asciiTheme="minorHAnsi" w:hAnsiTheme="minorHAnsi"/>
          <w:sz w:val="24"/>
          <w:szCs w:val="24"/>
        </w:rPr>
        <w:t>1a</w:t>
      </w:r>
      <w:proofErr w:type="gramEnd"/>
      <w:r w:rsidRPr="003B3F09">
        <w:rPr>
          <w:rFonts w:asciiTheme="minorHAnsi" w:hAnsiTheme="minorHAnsi"/>
          <w:sz w:val="24"/>
          <w:szCs w:val="24"/>
        </w:rPr>
        <w:t xml:space="preserve"> dle </w:t>
      </w:r>
      <w:r w:rsidR="005E0F04">
        <w:rPr>
          <w:rFonts w:asciiTheme="minorHAnsi" w:hAnsiTheme="minorHAnsi"/>
          <w:sz w:val="24"/>
          <w:szCs w:val="24"/>
        </w:rPr>
        <w:t>M</w:t>
      </w:r>
      <w:r w:rsidRPr="003B3F09">
        <w:rPr>
          <w:rFonts w:asciiTheme="minorHAnsi" w:hAnsiTheme="minorHAnsi"/>
          <w:sz w:val="24"/>
          <w:szCs w:val="24"/>
        </w:rPr>
        <w:t>etodiky</w:t>
      </w:r>
      <w:r w:rsidR="005E0F04">
        <w:rPr>
          <w:rFonts w:asciiTheme="minorHAnsi" w:hAnsiTheme="minorHAnsi"/>
          <w:sz w:val="24"/>
          <w:szCs w:val="24"/>
        </w:rPr>
        <w:t>. T</w:t>
      </w:r>
      <w:r w:rsidRPr="003B3F09">
        <w:rPr>
          <w:rFonts w:asciiTheme="minorHAnsi" w:hAnsiTheme="minorHAnsi"/>
          <w:sz w:val="24"/>
          <w:szCs w:val="24"/>
        </w:rPr>
        <w:t>ato etapa zahrnuje pouze papírové časové jízdenky, které se prodáva</w:t>
      </w:r>
      <w:r w:rsidR="005E0F04">
        <w:rPr>
          <w:rFonts w:asciiTheme="minorHAnsi" w:hAnsiTheme="minorHAnsi"/>
          <w:sz w:val="24"/>
          <w:szCs w:val="24"/>
        </w:rPr>
        <w:t>jí</w:t>
      </w:r>
      <w:r w:rsidRPr="003B3F09">
        <w:rPr>
          <w:rFonts w:asciiTheme="minorHAnsi" w:hAnsiTheme="minorHAnsi"/>
          <w:sz w:val="24"/>
          <w:szCs w:val="24"/>
        </w:rPr>
        <w:t xml:space="preserve"> pouze v síti předprodejních kanceláří</w:t>
      </w:r>
      <w:r w:rsidR="005E0F04">
        <w:rPr>
          <w:rFonts w:asciiTheme="minorHAnsi" w:hAnsiTheme="minorHAnsi"/>
          <w:sz w:val="24"/>
          <w:szCs w:val="24"/>
        </w:rPr>
        <w:t xml:space="preserve"> </w:t>
      </w:r>
      <w:r w:rsidR="000B2519">
        <w:rPr>
          <w:rFonts w:asciiTheme="minorHAnsi" w:hAnsiTheme="minorHAnsi"/>
          <w:sz w:val="24"/>
          <w:szCs w:val="24"/>
        </w:rPr>
        <w:t>(</w:t>
      </w:r>
      <w:r w:rsidR="005E0F04">
        <w:rPr>
          <w:rFonts w:asciiTheme="minorHAnsi" w:hAnsiTheme="minorHAnsi"/>
          <w:sz w:val="24"/>
          <w:szCs w:val="24"/>
        </w:rPr>
        <w:t xml:space="preserve">a </w:t>
      </w:r>
      <w:r w:rsidR="000B2519">
        <w:rPr>
          <w:rFonts w:asciiTheme="minorHAnsi" w:hAnsiTheme="minorHAnsi"/>
          <w:sz w:val="24"/>
          <w:szCs w:val="24"/>
        </w:rPr>
        <w:t xml:space="preserve">navíc </w:t>
      </w:r>
      <w:proofErr w:type="gramStart"/>
      <w:r w:rsidR="000B2519">
        <w:rPr>
          <w:rFonts w:asciiTheme="minorHAnsi" w:hAnsiTheme="minorHAnsi"/>
          <w:sz w:val="24"/>
          <w:szCs w:val="24"/>
        </w:rPr>
        <w:t>7 denní</w:t>
      </w:r>
      <w:proofErr w:type="gramEnd"/>
      <w:r w:rsidR="000B2519">
        <w:rPr>
          <w:rFonts w:asciiTheme="minorHAnsi" w:hAnsiTheme="minorHAnsi"/>
          <w:sz w:val="24"/>
          <w:szCs w:val="24"/>
        </w:rPr>
        <w:t xml:space="preserve"> </w:t>
      </w:r>
      <w:r w:rsidR="005E0F04">
        <w:rPr>
          <w:rFonts w:asciiTheme="minorHAnsi" w:hAnsiTheme="minorHAnsi"/>
          <w:sz w:val="24"/>
          <w:szCs w:val="24"/>
        </w:rPr>
        <w:t xml:space="preserve">z POP </w:t>
      </w:r>
      <w:r w:rsidR="000B2519">
        <w:rPr>
          <w:rFonts w:asciiTheme="minorHAnsi" w:hAnsiTheme="minorHAnsi"/>
          <w:sz w:val="24"/>
          <w:szCs w:val="24"/>
        </w:rPr>
        <w:t>Českých drah)</w:t>
      </w:r>
      <w:r w:rsidRPr="003B3F09">
        <w:rPr>
          <w:rFonts w:asciiTheme="minorHAnsi" w:hAnsiTheme="minorHAnsi"/>
          <w:sz w:val="24"/>
          <w:szCs w:val="24"/>
        </w:rPr>
        <w:t>. Ve vozidlech</w:t>
      </w:r>
      <w:r w:rsidR="005E0F04">
        <w:rPr>
          <w:rFonts w:asciiTheme="minorHAnsi" w:hAnsiTheme="minorHAnsi"/>
          <w:sz w:val="24"/>
          <w:szCs w:val="24"/>
        </w:rPr>
        <w:t xml:space="preserve"> </w:t>
      </w:r>
      <w:r w:rsidRPr="003B3F09">
        <w:rPr>
          <w:rFonts w:asciiTheme="minorHAnsi" w:hAnsiTheme="minorHAnsi"/>
          <w:sz w:val="24"/>
          <w:szCs w:val="24"/>
        </w:rPr>
        <w:t>řidiči/průvodčí/revizoři provádě</w:t>
      </w:r>
      <w:r w:rsidR="005E0F04">
        <w:rPr>
          <w:rFonts w:asciiTheme="minorHAnsi" w:hAnsiTheme="minorHAnsi"/>
          <w:sz w:val="24"/>
          <w:szCs w:val="24"/>
        </w:rPr>
        <w:t>jí</w:t>
      </w:r>
      <w:r w:rsidRPr="003B3F09">
        <w:rPr>
          <w:rFonts w:asciiTheme="minorHAnsi" w:hAnsiTheme="minorHAnsi"/>
          <w:sz w:val="24"/>
          <w:szCs w:val="24"/>
        </w:rPr>
        <w:t xml:space="preserve"> pouze kontrolu časové a zónové platnosti jízdních dokladů.</w:t>
      </w:r>
    </w:p>
    <w:p w14:paraId="245A4737" w14:textId="2CDEB7FF" w:rsidR="00D47C9A" w:rsidRDefault="00D47C9A" w:rsidP="00D47C9A">
      <w:pPr>
        <w:rPr>
          <w:rFonts w:asciiTheme="minorHAnsi" w:hAnsiTheme="minorHAnsi"/>
          <w:sz w:val="24"/>
          <w:szCs w:val="24"/>
        </w:rPr>
      </w:pPr>
    </w:p>
    <w:p w14:paraId="77457E83" w14:textId="77777777" w:rsidR="00776708" w:rsidRPr="003B3F09" w:rsidRDefault="00776708" w:rsidP="00D47C9A">
      <w:pPr>
        <w:rPr>
          <w:rFonts w:asciiTheme="minorHAnsi" w:hAnsiTheme="minorHAnsi"/>
          <w:sz w:val="24"/>
          <w:szCs w:val="24"/>
        </w:rPr>
      </w:pPr>
    </w:p>
    <w:p w14:paraId="366AC97F" w14:textId="77777777" w:rsidR="00D47C9A" w:rsidRPr="003B3F09" w:rsidRDefault="00D47C9A" w:rsidP="000B2519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3B3F09">
        <w:rPr>
          <w:rFonts w:asciiTheme="minorHAnsi" w:hAnsiTheme="minorHAnsi"/>
          <w:b/>
          <w:sz w:val="24"/>
          <w:szCs w:val="24"/>
        </w:rPr>
        <w:t>SW a HW specifikace</w:t>
      </w:r>
    </w:p>
    <w:p w14:paraId="39C0CFAC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34EBDEB7" w14:textId="77777777" w:rsidR="00D47C9A" w:rsidRPr="003B3F09" w:rsidRDefault="00D47C9A" w:rsidP="00D47C9A">
      <w:pPr>
        <w:pStyle w:val="Odstavecseseznamem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Software</w:t>
      </w:r>
    </w:p>
    <w:p w14:paraId="57CBD52A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41BD9F6C" w14:textId="77777777" w:rsidR="00D47C9A" w:rsidRPr="003B3F09" w:rsidRDefault="00D47C9A" w:rsidP="001D4D71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 xml:space="preserve">Software pro zúčtování tržeb (clearing / zúčtovací centrum) mezi dopravci je naprogramován v jazyku </w:t>
      </w:r>
      <w:proofErr w:type="spellStart"/>
      <w:r w:rsidRPr="003B3F09">
        <w:rPr>
          <w:rFonts w:asciiTheme="minorHAnsi" w:hAnsiTheme="minorHAnsi"/>
          <w:sz w:val="24"/>
          <w:szCs w:val="24"/>
        </w:rPr>
        <w:t>Caché</w:t>
      </w:r>
      <w:proofErr w:type="spellEnd"/>
      <w:r w:rsidRPr="003B3F0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3F09">
        <w:rPr>
          <w:rFonts w:asciiTheme="minorHAnsi" w:hAnsiTheme="minorHAnsi"/>
          <w:sz w:val="24"/>
          <w:szCs w:val="24"/>
        </w:rPr>
        <w:t>Object</w:t>
      </w:r>
      <w:proofErr w:type="spellEnd"/>
      <w:r w:rsidRPr="003B3F09">
        <w:rPr>
          <w:rFonts w:asciiTheme="minorHAnsi" w:hAnsiTheme="minorHAnsi"/>
          <w:sz w:val="24"/>
          <w:szCs w:val="24"/>
        </w:rPr>
        <w:t xml:space="preserve"> Script, který je součástí databáze </w:t>
      </w:r>
      <w:proofErr w:type="spellStart"/>
      <w:r w:rsidRPr="003B3F09">
        <w:rPr>
          <w:rFonts w:asciiTheme="minorHAnsi" w:hAnsiTheme="minorHAnsi"/>
          <w:sz w:val="24"/>
          <w:szCs w:val="24"/>
        </w:rPr>
        <w:t>InterSystems</w:t>
      </w:r>
      <w:proofErr w:type="spellEnd"/>
      <w:r w:rsidRPr="003B3F0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3F09">
        <w:rPr>
          <w:rFonts w:asciiTheme="minorHAnsi" w:hAnsiTheme="minorHAnsi"/>
          <w:sz w:val="24"/>
          <w:szCs w:val="24"/>
        </w:rPr>
        <w:t>Caché</w:t>
      </w:r>
      <w:proofErr w:type="spellEnd"/>
      <w:r w:rsidRPr="003B3F09">
        <w:rPr>
          <w:rFonts w:asciiTheme="minorHAnsi" w:hAnsiTheme="minorHAnsi"/>
          <w:sz w:val="24"/>
          <w:szCs w:val="24"/>
        </w:rPr>
        <w:t xml:space="preserve">. </w:t>
      </w:r>
    </w:p>
    <w:p w14:paraId="2299D30B" w14:textId="77777777" w:rsidR="00D47C9A" w:rsidRPr="003B3F09" w:rsidRDefault="00D47C9A" w:rsidP="001D4D71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 xml:space="preserve">Pro uložení dat a skriptů je použita databáze </w:t>
      </w:r>
      <w:proofErr w:type="spellStart"/>
      <w:r w:rsidRPr="003B3F09">
        <w:rPr>
          <w:rFonts w:asciiTheme="minorHAnsi" w:hAnsiTheme="minorHAnsi"/>
          <w:sz w:val="24"/>
          <w:szCs w:val="24"/>
        </w:rPr>
        <w:t>InterSystems</w:t>
      </w:r>
      <w:proofErr w:type="spellEnd"/>
      <w:r w:rsidRPr="003B3F0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3F09">
        <w:rPr>
          <w:rFonts w:asciiTheme="minorHAnsi" w:hAnsiTheme="minorHAnsi"/>
          <w:sz w:val="24"/>
          <w:szCs w:val="24"/>
        </w:rPr>
        <w:t>Caché</w:t>
      </w:r>
      <w:proofErr w:type="spellEnd"/>
      <w:r w:rsidRPr="003B3F09">
        <w:rPr>
          <w:rFonts w:asciiTheme="minorHAnsi" w:hAnsiTheme="minorHAnsi"/>
          <w:sz w:val="24"/>
          <w:szCs w:val="24"/>
        </w:rPr>
        <w:t xml:space="preserve"> s licencí pro jednoho uživatele na platformě OS 64bit MS Windows. </w:t>
      </w:r>
    </w:p>
    <w:p w14:paraId="02421A8D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3D0146A0" w14:textId="77777777" w:rsidR="00D47C9A" w:rsidRPr="003B3F09" w:rsidRDefault="00D47C9A" w:rsidP="00D47C9A">
      <w:pPr>
        <w:pStyle w:val="Odstavecseseznamem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Hardware</w:t>
      </w:r>
    </w:p>
    <w:p w14:paraId="74FF32D4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7D4DE387" w14:textId="77777777" w:rsidR="00D47C9A" w:rsidRPr="003B3F09" w:rsidRDefault="00D47C9A" w:rsidP="001D4D71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 xml:space="preserve">Hardware pro běh software viz bod 2.1 je kompatibilní s OS MS Windows 10, MS Windows Server 2008 R2, max. 16 procesorových jader, min. </w:t>
      </w:r>
      <w:proofErr w:type="gramStart"/>
      <w:r w:rsidRPr="003B3F09">
        <w:rPr>
          <w:rFonts w:asciiTheme="minorHAnsi" w:hAnsiTheme="minorHAnsi"/>
          <w:sz w:val="24"/>
          <w:szCs w:val="24"/>
        </w:rPr>
        <w:t>4GB</w:t>
      </w:r>
      <w:proofErr w:type="gramEnd"/>
      <w:r w:rsidRPr="003B3F09">
        <w:rPr>
          <w:rFonts w:asciiTheme="minorHAnsi" w:hAnsiTheme="minorHAnsi"/>
          <w:sz w:val="24"/>
          <w:szCs w:val="24"/>
        </w:rPr>
        <w:t xml:space="preserve"> operační paměti, min. 200GB volného místa na disku.</w:t>
      </w:r>
    </w:p>
    <w:p w14:paraId="301E9D44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218410D9" w14:textId="77777777" w:rsidR="00D47C9A" w:rsidRPr="003B3F09" w:rsidRDefault="00D47C9A" w:rsidP="00D47C9A">
      <w:pPr>
        <w:pStyle w:val="Odstavecseseznamem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Ostatní software a konfigurace</w:t>
      </w:r>
    </w:p>
    <w:p w14:paraId="628711D2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72C39FF2" w14:textId="77777777" w:rsidR="00D47C9A" w:rsidRPr="003B3F09" w:rsidRDefault="00D47C9A" w:rsidP="001D4D71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Pro výměnu dat mezi dopravcem a zúčtovacím centrem je dostupný FTP server na serveru, kde běží software zúčtovacího centra. FTP server má nastavené přístupy pro konkrétní uživatele, tj. dopravce pro poskytnutí dat a organizátora pro výstupy ze zúčtování.</w:t>
      </w:r>
    </w:p>
    <w:p w14:paraId="55DBEE04" w14:textId="40134F5E" w:rsidR="00D47C9A" w:rsidRDefault="00D47C9A" w:rsidP="00D47C9A">
      <w:pPr>
        <w:rPr>
          <w:rFonts w:asciiTheme="minorHAnsi" w:hAnsiTheme="minorHAnsi"/>
          <w:sz w:val="24"/>
          <w:szCs w:val="24"/>
        </w:rPr>
      </w:pPr>
    </w:p>
    <w:p w14:paraId="3FD892A7" w14:textId="77777777" w:rsidR="00776708" w:rsidRPr="003B3F09" w:rsidRDefault="00776708" w:rsidP="00D47C9A">
      <w:pPr>
        <w:rPr>
          <w:rFonts w:asciiTheme="minorHAnsi" w:hAnsiTheme="minorHAnsi"/>
          <w:sz w:val="24"/>
          <w:szCs w:val="24"/>
        </w:rPr>
      </w:pPr>
    </w:p>
    <w:p w14:paraId="7146E6E4" w14:textId="77777777" w:rsidR="00D47C9A" w:rsidRPr="003B3F09" w:rsidRDefault="00D47C9A" w:rsidP="000B2519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3B3F09">
        <w:rPr>
          <w:rFonts w:asciiTheme="minorHAnsi" w:hAnsiTheme="minorHAnsi"/>
          <w:b/>
          <w:sz w:val="24"/>
          <w:szCs w:val="24"/>
        </w:rPr>
        <w:t>Vstupní data</w:t>
      </w:r>
    </w:p>
    <w:p w14:paraId="4814B80E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5DE5DB68" w14:textId="277AF991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Data budou předávána </w:t>
      </w:r>
      <w:r w:rsidR="005B2C6B">
        <w:rPr>
          <w:rFonts w:asciiTheme="minorHAnsi" w:eastAsiaTheme="majorEastAsia" w:hAnsiTheme="minorHAnsi"/>
          <w:sz w:val="24"/>
          <w:szCs w:val="24"/>
        </w:rPr>
        <w:t>průběžně a za předchozí měsíc uzavřena</w:t>
      </w:r>
      <w:r w:rsidRPr="003B3F09">
        <w:rPr>
          <w:rFonts w:asciiTheme="minorHAnsi" w:eastAsiaTheme="majorEastAsia" w:hAnsiTheme="minorHAnsi"/>
          <w:sz w:val="24"/>
          <w:szCs w:val="24"/>
        </w:rPr>
        <w:t xml:space="preserve"> nejdéle do </w:t>
      </w:r>
      <w:r w:rsidR="005B2C6B">
        <w:rPr>
          <w:rFonts w:asciiTheme="minorHAnsi" w:eastAsiaTheme="majorEastAsia" w:hAnsiTheme="minorHAnsi"/>
          <w:sz w:val="24"/>
          <w:szCs w:val="24"/>
        </w:rPr>
        <w:t>5</w:t>
      </w:r>
      <w:r w:rsidRPr="003B3F09">
        <w:rPr>
          <w:rFonts w:asciiTheme="minorHAnsi" w:eastAsiaTheme="majorEastAsia" w:hAnsiTheme="minorHAnsi"/>
          <w:sz w:val="24"/>
          <w:szCs w:val="24"/>
        </w:rPr>
        <w:t>. dne následujícího měsíce.</w:t>
      </w:r>
      <w:r w:rsidR="001D4D71">
        <w:rPr>
          <w:rFonts w:asciiTheme="minorHAnsi" w:eastAsiaTheme="majorEastAsia" w:hAnsiTheme="minorHAnsi"/>
          <w:sz w:val="24"/>
          <w:szCs w:val="24"/>
        </w:rPr>
        <w:t xml:space="preserve"> </w:t>
      </w:r>
      <w:r w:rsidRPr="003B3F09">
        <w:rPr>
          <w:rFonts w:asciiTheme="minorHAnsi" w:eastAsiaTheme="majorEastAsia" w:hAnsiTheme="minorHAnsi"/>
          <w:sz w:val="24"/>
          <w:szCs w:val="24"/>
        </w:rPr>
        <w:t>Data budou nahrána na FTP server zúčtovacího centra do předepsaných adresářů.</w:t>
      </w:r>
      <w:r w:rsidR="001D4D71">
        <w:rPr>
          <w:rFonts w:asciiTheme="minorHAnsi" w:eastAsiaTheme="majorEastAsia" w:hAnsiTheme="minorHAnsi"/>
          <w:sz w:val="24"/>
          <w:szCs w:val="24"/>
        </w:rPr>
        <w:t xml:space="preserve"> </w:t>
      </w:r>
      <w:r w:rsidRPr="003B3F09">
        <w:rPr>
          <w:rFonts w:asciiTheme="minorHAnsi" w:eastAsiaTheme="majorEastAsia" w:hAnsiTheme="minorHAnsi"/>
          <w:sz w:val="24"/>
          <w:szCs w:val="24"/>
        </w:rPr>
        <w:t>SW pro nahrávání na FTP server si každý účastník zúčtování zajistí sám.</w:t>
      </w:r>
      <w:r w:rsidR="001D4D71">
        <w:rPr>
          <w:rFonts w:asciiTheme="minorHAnsi" w:eastAsiaTheme="majorEastAsia" w:hAnsiTheme="minorHAnsi"/>
          <w:sz w:val="24"/>
          <w:szCs w:val="24"/>
        </w:rPr>
        <w:t xml:space="preserve"> </w:t>
      </w:r>
      <w:r w:rsidRPr="003B3F09">
        <w:rPr>
          <w:rFonts w:asciiTheme="minorHAnsi" w:eastAsiaTheme="majorEastAsia" w:hAnsiTheme="minorHAnsi"/>
          <w:sz w:val="24"/>
          <w:szCs w:val="24"/>
        </w:rPr>
        <w:t>Přístupové údaje bude vydávat provozovatel clearingu na základě požadavků koordinátora.</w:t>
      </w:r>
    </w:p>
    <w:p w14:paraId="561F1B51" w14:textId="26224A0D" w:rsidR="00D47C9A" w:rsidRDefault="00D47C9A" w:rsidP="00D47C9A">
      <w:pPr>
        <w:rPr>
          <w:rFonts w:asciiTheme="minorHAnsi" w:hAnsiTheme="minorHAnsi"/>
          <w:sz w:val="24"/>
          <w:szCs w:val="24"/>
        </w:rPr>
      </w:pPr>
    </w:p>
    <w:p w14:paraId="0C7F8DBF" w14:textId="146D94A2" w:rsidR="007D1BA8" w:rsidRDefault="007D1BA8" w:rsidP="00D47C9A">
      <w:pPr>
        <w:rPr>
          <w:rFonts w:asciiTheme="minorHAnsi" w:hAnsiTheme="minorHAnsi"/>
          <w:sz w:val="24"/>
          <w:szCs w:val="24"/>
        </w:rPr>
      </w:pPr>
    </w:p>
    <w:p w14:paraId="7BED6A5D" w14:textId="77777777" w:rsidR="00D47C9A" w:rsidRPr="003B3F09" w:rsidRDefault="00D47C9A" w:rsidP="00D47C9A">
      <w:pPr>
        <w:pStyle w:val="Odstavecseseznamem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lastRenderedPageBreak/>
        <w:t>Příprava dat</w:t>
      </w:r>
    </w:p>
    <w:p w14:paraId="5E1674D5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1E8D03BF" w14:textId="032C2705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Žádný z účastníků nemá </w:t>
      </w:r>
      <w:r w:rsidR="007D1BA8">
        <w:rPr>
          <w:rFonts w:asciiTheme="minorHAnsi" w:eastAsiaTheme="majorEastAsia" w:hAnsiTheme="minorHAnsi"/>
          <w:sz w:val="24"/>
          <w:szCs w:val="24"/>
        </w:rPr>
        <w:t xml:space="preserve">prozatím </w:t>
      </w:r>
      <w:r w:rsidRPr="003B3F09">
        <w:rPr>
          <w:rFonts w:asciiTheme="minorHAnsi" w:eastAsiaTheme="majorEastAsia" w:hAnsiTheme="minorHAnsi"/>
          <w:sz w:val="24"/>
          <w:szCs w:val="24"/>
        </w:rPr>
        <w:t>odbavovací zařízení a backoffice přípraven na IDS JK a formát výstupní věty navržený v metodice. S ohledem na tuto skutečnost objednatel zajistí, aby dopravci do stávajících odbavovacích zařízení doplnili jízdenku s číslem tarifu 43 (číslo navrženo dle metodiky, objednatel může rozhodnout i o jiném). Tato jízdenka bude mít nulovou cenu. Není nutno ji cestujícímu tisknout. Taková jízdenka bude vydána každému cestujícímu, který pojede s </w:t>
      </w:r>
      <w:proofErr w:type="spellStart"/>
      <w:r w:rsidRPr="003B3F09">
        <w:rPr>
          <w:rFonts w:asciiTheme="minorHAnsi" w:eastAsiaTheme="majorEastAsia" w:hAnsiTheme="minorHAnsi"/>
          <w:sz w:val="24"/>
          <w:szCs w:val="24"/>
        </w:rPr>
        <w:t>jednozónovým</w:t>
      </w:r>
      <w:proofErr w:type="spellEnd"/>
      <w:r w:rsidRPr="003B3F09">
        <w:rPr>
          <w:rFonts w:asciiTheme="minorHAnsi" w:eastAsiaTheme="majorEastAsia" w:hAnsiTheme="minorHAnsi"/>
          <w:sz w:val="24"/>
          <w:szCs w:val="24"/>
        </w:rPr>
        <w:t xml:space="preserve"> kupónem MHD ve VLD nebo ve vlaku.</w:t>
      </w:r>
    </w:p>
    <w:p w14:paraId="22D56D3D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70CC6F22" w14:textId="77777777" w:rsidR="00D47C9A" w:rsidRPr="001D4D71" w:rsidRDefault="00D47C9A" w:rsidP="004607FC">
      <w:pPr>
        <w:pStyle w:val="Odstavecseseznamem"/>
        <w:numPr>
          <w:ilvl w:val="1"/>
          <w:numId w:val="1"/>
        </w:numPr>
        <w:spacing w:after="12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Formát vstupních dat</w:t>
      </w:r>
    </w:p>
    <w:p w14:paraId="6DD07179" w14:textId="77777777" w:rsidR="00D47C9A" w:rsidRPr="003B3F09" w:rsidRDefault="00D47C9A" w:rsidP="00D47C9A">
      <w:pPr>
        <w:pStyle w:val="Odstavecseseznamem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GW BUS a.s.</w:t>
      </w:r>
    </w:p>
    <w:p w14:paraId="709E0E30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7A93428B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Soubor vstupních dat lze vyexportovat z obslužného softwaru pro odbavovací zařízení na výdej jízdenek USV </w:t>
      </w:r>
      <w:proofErr w:type="gramStart"/>
      <w:r w:rsidRPr="003B3F09">
        <w:rPr>
          <w:rFonts w:asciiTheme="minorHAnsi" w:eastAsiaTheme="majorEastAsia" w:hAnsiTheme="minorHAnsi"/>
          <w:sz w:val="24"/>
          <w:szCs w:val="24"/>
        </w:rPr>
        <w:t>24C</w:t>
      </w:r>
      <w:proofErr w:type="gramEnd"/>
      <w:r w:rsidRPr="003B3F09">
        <w:rPr>
          <w:rFonts w:asciiTheme="minorHAnsi" w:eastAsiaTheme="majorEastAsia" w:hAnsiTheme="minorHAnsi"/>
          <w:sz w:val="24"/>
          <w:szCs w:val="24"/>
        </w:rPr>
        <w:t xml:space="preserve"> (bez nároků na úpravy SW dopravců).</w:t>
      </w:r>
    </w:p>
    <w:p w14:paraId="7E6CB91E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Formát dat bude CSV – záznamově orientovaný formát dat s oddělovači (pole oddělena čárkou, záznamy odděleny středníkem a CRLF). Všechny údaje jsou uvedeny v textovém tvaru (textová pole uzavřená ve znacích uvozovky nahoře). Uvozovky uvnitř textu není třeba zdvojovat. </w:t>
      </w:r>
    </w:p>
    <w:p w14:paraId="2C06A006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Soubor se bude jmenovat listky.csv</w:t>
      </w:r>
    </w:p>
    <w:p w14:paraId="49C12C76" w14:textId="77777777" w:rsidR="00D47C9A" w:rsidRPr="003B3F09" w:rsidRDefault="00D47C9A" w:rsidP="00D47C9A">
      <w:pPr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Popis souboru:</w:t>
      </w:r>
    </w:p>
    <w:tbl>
      <w:tblPr>
        <w:tblpPr w:leftFromText="181" w:rightFromText="181" w:bottomFromText="160" w:vertAnchor="text" w:tblpXSpec="right" w:tblpY="1"/>
        <w:tblW w:w="9210" w:type="dxa"/>
        <w:tblLayout w:type="fixed"/>
        <w:tblLook w:val="04A0" w:firstRow="1" w:lastRow="0" w:firstColumn="1" w:lastColumn="0" w:noHBand="0" w:noVBand="1"/>
      </w:tblPr>
      <w:tblGrid>
        <w:gridCol w:w="2337"/>
        <w:gridCol w:w="5291"/>
        <w:gridCol w:w="1582"/>
      </w:tblGrid>
      <w:tr w:rsidR="00D47C9A" w:rsidRPr="003B3F09" w14:paraId="22FED84C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383A9" w14:textId="77777777" w:rsidR="00D47C9A" w:rsidRPr="003B3F09" w:rsidRDefault="00D47C9A" w:rsidP="00A2285C">
            <w:pPr>
              <w:spacing w:line="233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bookmarkStart w:id="0" w:name="1"/>
            <w:bookmarkEnd w:id="0"/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název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5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pole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EA73C" w14:textId="77777777" w:rsidR="00D47C9A" w:rsidRPr="003B3F09" w:rsidRDefault="00D47C9A" w:rsidP="00A2285C">
            <w:pPr>
              <w:spacing w:line="233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charakter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a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popis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pole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29584" w14:textId="77777777" w:rsidR="00D47C9A" w:rsidRPr="003B3F09" w:rsidRDefault="00D47C9A" w:rsidP="00A2285C">
            <w:pPr>
              <w:spacing w:line="233" w:lineRule="exact"/>
              <w:ind w:left="71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4"/>
                <w:w w:val="95"/>
                <w:sz w:val="24"/>
                <w:szCs w:val="24"/>
                <w:lang w:eastAsia="en-US"/>
              </w:rPr>
              <w:t>typ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9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v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6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4"/>
                <w:w w:val="95"/>
                <w:sz w:val="24"/>
                <w:szCs w:val="24"/>
                <w:lang w:eastAsia="en-US"/>
              </w:rPr>
              <w:t>DB</w:t>
            </w:r>
          </w:p>
        </w:tc>
      </w:tr>
      <w:tr w:rsidR="00D47C9A" w:rsidRPr="003B3F09" w14:paraId="67E27654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CB24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řidiče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113E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48BC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02572E13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2611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strojku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36A6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5A9F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6CF006F1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F363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odpočtu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0A9D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5CB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61F61730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7399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jízdenky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A5C2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E4AB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(11)</w:t>
            </w:r>
          </w:p>
        </w:tc>
      </w:tr>
      <w:tr w:rsidR="00D47C9A" w:rsidRPr="003B3F09" w14:paraId="2AED3C01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4872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Stornování jízdenky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26AB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povinná textová hodnota z množiny {True, False}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3DB9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Boolean</w:t>
            </w:r>
          </w:p>
        </w:tc>
      </w:tr>
      <w:tr w:rsidR="00D47C9A" w:rsidRPr="003B3F09" w14:paraId="3DEA53C0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3B2B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Datum výdeje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C648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9A2E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1D24239F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BC79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Čas výdeje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3D5D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povinný čas (HHMMSS)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FCD4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522E4836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74F0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Linka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F5ED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linky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71B4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67246A42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51C2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Spoj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5EA8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spoje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2CEC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595E6779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D535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Zkratka tarifu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444D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označení tarifu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1EA8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(3)</w:t>
            </w:r>
          </w:p>
        </w:tc>
      </w:tr>
      <w:tr w:rsidR="00D47C9A" w:rsidRPr="003B3F09" w14:paraId="39997863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47C8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 zastávky od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A0C4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číslo, pokud lze zastávku určit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5D35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673773D7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C484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 zastávky do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CBAB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číslo, pokud lze zastávku určit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47EF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3498B0EB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3DC1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Tar. čís. zastávky od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F482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číslo, pokud je lze určit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FEC4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3D46DD66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7FFA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Tar. čís. zastávky do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6E90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číslo, pokud je lze určit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5AE9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1B6EC174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85B0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Tarifní kilometry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93EF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v případě kilometrického tarifu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1434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(4)</w:t>
            </w:r>
          </w:p>
        </w:tc>
      </w:tr>
      <w:tr w:rsidR="00D47C9A" w:rsidRPr="003B3F09" w14:paraId="11C5CD80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03DA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Počet zón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9360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v případě zónového tarifu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BBED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  <w:tr w:rsidR="00D47C9A" w:rsidRPr="003B3F09" w14:paraId="6992B2A3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9573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Zóny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457F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povinný text v případě, že se jedná o zónovou jízdenku</w:t>
            </w:r>
          </w:p>
          <w:p w14:paraId="78EF570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určenou pro konkrétní zóny – výčet oddělený čárkami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984A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(96)</w:t>
            </w:r>
          </w:p>
        </w:tc>
      </w:tr>
      <w:tr w:rsidR="00D47C9A" w:rsidRPr="003B3F09" w14:paraId="31F7D80C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C0B5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IDS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C6A5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dle číselníku IDS, pokud se jedná o IDS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9567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  <w:tr w:rsidR="00D47C9A" w:rsidRPr="003B3F09" w14:paraId="51DC5D90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807A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Cena vydaného lístku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A232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reálné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268D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(15,2)</w:t>
            </w:r>
          </w:p>
        </w:tc>
      </w:tr>
      <w:tr w:rsidR="00D47C9A" w:rsidRPr="003B3F09" w14:paraId="3D9E12BC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E414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Cena obyčejného lístku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AB36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reálné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07CB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(15,2)</w:t>
            </w:r>
          </w:p>
        </w:tc>
      </w:tr>
      <w:tr w:rsidR="00D47C9A" w:rsidRPr="003B3F09" w14:paraId="6646F48C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1995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Měna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4F07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označení měny – Kč, Sk nebo mezinárodní</w:t>
            </w:r>
          </w:p>
          <w:p w14:paraId="39AA6FF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zkratka (CZK, SVK, EUR, USD atd.)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6CD1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(3)</w:t>
            </w:r>
          </w:p>
        </w:tc>
      </w:tr>
      <w:tr w:rsidR="00D47C9A" w:rsidRPr="003B3F09" w14:paraId="65C61BB9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08F1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Typ platby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EB60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z číselníku typu platby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A25B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  <w:tr w:rsidR="00D47C9A" w:rsidRPr="003B3F09" w14:paraId="38AB28F8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2692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Platnost od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94BB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 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AFF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3A3B5AFE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F847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Platnost do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8AE6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 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8817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6605DCB3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E94E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Dialog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3E29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nepovinný text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9D32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(255)</w:t>
            </w:r>
          </w:p>
        </w:tc>
      </w:tr>
      <w:tr w:rsidR="00D47C9A" w:rsidRPr="003B3F09" w14:paraId="4D451DF1" w14:textId="77777777" w:rsidTr="00A2285C">
        <w:trPr>
          <w:trHeight w:val="28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0A9F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Ruční vstup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4B0D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  <w:p w14:paraId="5EF0C84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pokud je &gt; 0 záznam vložen ručním vstupem dat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F163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</w:tbl>
    <w:p w14:paraId="15A3C959" w14:textId="77777777" w:rsidR="00D47C9A" w:rsidRPr="003B3F09" w:rsidRDefault="00D47C9A" w:rsidP="00D47C9A">
      <w:pPr>
        <w:pStyle w:val="Odstavecseseznamem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lastRenderedPageBreak/>
        <w:t>ČSAD AUTOBUSY České Budějovice a.s.</w:t>
      </w:r>
    </w:p>
    <w:p w14:paraId="4770139A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31ACE498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Soubor lze vyexportovat z obslužného softwaru pro odbavovací zařízení </w:t>
      </w:r>
      <w:proofErr w:type="spellStart"/>
      <w:r w:rsidRPr="003B3F09">
        <w:rPr>
          <w:rFonts w:asciiTheme="minorHAnsi" w:eastAsiaTheme="majorEastAsia" w:hAnsiTheme="minorHAnsi"/>
          <w:sz w:val="24"/>
          <w:szCs w:val="24"/>
        </w:rPr>
        <w:t>WinAD</w:t>
      </w:r>
      <w:proofErr w:type="spellEnd"/>
      <w:r w:rsidRPr="003B3F09">
        <w:rPr>
          <w:rFonts w:asciiTheme="minorHAnsi" w:eastAsiaTheme="majorEastAsia" w:hAnsiTheme="minorHAnsi"/>
          <w:sz w:val="24"/>
          <w:szCs w:val="24"/>
        </w:rPr>
        <w:t xml:space="preserve"> (bez nutnosti úpravy SW).</w:t>
      </w:r>
    </w:p>
    <w:p w14:paraId="50CA7967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Formát dat: CSV – záznamově orientovaný formát dat s oddělovači (pole oddělena čárkou, záznamy odděleny středníkem a CRLF). Všechny údaje jsou uvedeny v textovém tvaru (textová pole uzavřená ve znacích uvozovky nahoře). Uvozovky uvnitř textu není třeba zdvojovat.</w:t>
      </w:r>
    </w:p>
    <w:p w14:paraId="02A04AA0" w14:textId="77777777" w:rsidR="00D47C9A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Soubor se bude jmenovat listky.csv</w:t>
      </w:r>
    </w:p>
    <w:p w14:paraId="043C68A9" w14:textId="77777777" w:rsidR="00D47C9A" w:rsidRPr="003B3F09" w:rsidRDefault="00A62E88" w:rsidP="00D47C9A">
      <w:pPr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Popis souboru:</w:t>
      </w:r>
    </w:p>
    <w:tbl>
      <w:tblPr>
        <w:tblpPr w:leftFromText="181" w:rightFromText="181" w:bottomFromText="160" w:vertAnchor="text" w:tblpXSpec="right" w:tblpY="1"/>
        <w:tblW w:w="9210" w:type="dxa"/>
        <w:tblLayout w:type="fixed"/>
        <w:tblLook w:val="04A0" w:firstRow="1" w:lastRow="0" w:firstColumn="1" w:lastColumn="0" w:noHBand="0" w:noVBand="1"/>
      </w:tblPr>
      <w:tblGrid>
        <w:gridCol w:w="2337"/>
        <w:gridCol w:w="5291"/>
        <w:gridCol w:w="1582"/>
      </w:tblGrid>
      <w:tr w:rsidR="00D47C9A" w:rsidRPr="003B3F09" w14:paraId="0B48617E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0F8C4" w14:textId="77777777" w:rsidR="00D47C9A" w:rsidRPr="003B3F09" w:rsidRDefault="00D47C9A" w:rsidP="00A2285C">
            <w:pPr>
              <w:spacing w:line="233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název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5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pole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42C1A" w14:textId="77777777" w:rsidR="00D47C9A" w:rsidRPr="003B3F09" w:rsidRDefault="00D47C9A" w:rsidP="00A2285C">
            <w:pPr>
              <w:spacing w:line="233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charakter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a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popis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pole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CC46D" w14:textId="77777777" w:rsidR="00D47C9A" w:rsidRPr="003B3F09" w:rsidRDefault="00D47C9A" w:rsidP="00A2285C">
            <w:pPr>
              <w:spacing w:line="233" w:lineRule="exact"/>
              <w:ind w:left="71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4"/>
                <w:w w:val="95"/>
                <w:sz w:val="24"/>
                <w:szCs w:val="24"/>
                <w:lang w:eastAsia="en-US"/>
              </w:rPr>
              <w:t>typ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9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v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6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4"/>
                <w:w w:val="95"/>
                <w:sz w:val="24"/>
                <w:szCs w:val="24"/>
                <w:lang w:eastAsia="en-US"/>
              </w:rPr>
              <w:t>DB</w:t>
            </w:r>
          </w:p>
        </w:tc>
      </w:tr>
      <w:tr w:rsidR="00D47C9A" w:rsidRPr="003B3F09" w14:paraId="701C8D69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0D4B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íslo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ř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idiče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D8EA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povinné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6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č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68796" w14:textId="77777777" w:rsidR="00D47C9A" w:rsidRPr="003B3F09" w:rsidRDefault="00D47C9A" w:rsidP="00A2285C">
            <w:pPr>
              <w:spacing w:line="232" w:lineRule="exact"/>
              <w:ind w:left="71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(5)</w:t>
            </w:r>
          </w:p>
        </w:tc>
      </w:tr>
      <w:tr w:rsidR="00D47C9A" w:rsidRPr="003B3F09" w14:paraId="003DC454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9E22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strojku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64A3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8E09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(7)</w:t>
            </w:r>
          </w:p>
        </w:tc>
      </w:tr>
      <w:tr w:rsidR="00D47C9A" w:rsidRPr="003B3F09" w14:paraId="0E827FED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1741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odpočtu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F800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FA6E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(4)</w:t>
            </w:r>
          </w:p>
        </w:tc>
      </w:tr>
      <w:tr w:rsidR="00D47C9A" w:rsidRPr="003B3F09" w14:paraId="3E58BC2D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26DA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jízdenky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68A1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AB6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(7)</w:t>
            </w:r>
          </w:p>
        </w:tc>
      </w:tr>
      <w:tr w:rsidR="00D47C9A" w:rsidRPr="003B3F09" w14:paraId="4E4C1336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7ECC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Stornování jízdenky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4683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stornované jízdenky</w:t>
            </w:r>
          </w:p>
          <w:p w14:paraId="139FB811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vyplňuje se jen v případě, že se jedná o storno záznam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517B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(7)</w:t>
            </w:r>
          </w:p>
        </w:tc>
      </w:tr>
      <w:tr w:rsidR="00D47C9A" w:rsidRPr="003B3F09" w14:paraId="5B8611B8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9D3F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Datum výdeje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559E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8104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71DE82B1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29F1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Čas výdeje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D96E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povinný čas (HHMMSS)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4326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25FD51FB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8A20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Počet osob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BFB2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F95A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(3)</w:t>
            </w:r>
          </w:p>
        </w:tc>
      </w:tr>
      <w:tr w:rsidR="00D47C9A" w:rsidRPr="003B3F09" w14:paraId="5F857922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EDF0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Linka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DF48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linky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A4CE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(6)</w:t>
            </w:r>
          </w:p>
        </w:tc>
      </w:tr>
      <w:tr w:rsidR="00D47C9A" w:rsidRPr="003B3F09" w14:paraId="383EC068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4FC2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Spoj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AF04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spoje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010B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(6)</w:t>
            </w:r>
          </w:p>
        </w:tc>
      </w:tr>
      <w:tr w:rsidR="00D47C9A" w:rsidRPr="003B3F09" w14:paraId="72C18D77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833F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Zkratka tarifu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E70E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označení tarifu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F515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(3)</w:t>
            </w:r>
          </w:p>
        </w:tc>
      </w:tr>
      <w:tr w:rsidR="00D47C9A" w:rsidRPr="003B3F09" w14:paraId="2181BDE2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CF3E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 zastávky od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5F7D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, pokud lze zastávku určit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2479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483A8F2A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E3FF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 zastávky do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9081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, pokud lze zastávku určit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9973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53C82187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31FF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Tarifní kilometry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E1B2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v případě kilometrického tarifu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55C0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(4)</w:t>
            </w:r>
          </w:p>
        </w:tc>
      </w:tr>
      <w:tr w:rsidR="00D47C9A" w:rsidRPr="003B3F09" w14:paraId="6BA07A1E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B1F9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Počet zón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7E51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v případě zónového tarifu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D235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  <w:tr w:rsidR="00D47C9A" w:rsidRPr="003B3F09" w14:paraId="605A98F7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9CABC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Zóny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34F4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povinný text v případě, že se jedná o zónovou jízdenku</w:t>
            </w:r>
          </w:p>
          <w:p w14:paraId="41E4835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určenou pro konkrétní zóny – výčet oddělený čárkami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ED3A7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(96)</w:t>
            </w:r>
          </w:p>
        </w:tc>
      </w:tr>
      <w:tr w:rsidR="00D47C9A" w:rsidRPr="003B3F09" w14:paraId="206642CF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B19C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IDS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84C7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dle číselníku IDS, pokud se jedná o IDS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A706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  <w:tr w:rsidR="00D47C9A" w:rsidRPr="003B3F09" w14:paraId="700ED413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DC58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Cena vydaného lístku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0C7E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reálné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2CC2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(6,2)</w:t>
            </w:r>
          </w:p>
        </w:tc>
      </w:tr>
      <w:tr w:rsidR="00D47C9A" w:rsidRPr="003B3F09" w14:paraId="09B7DB1D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AC9E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Cena obyčejného lístku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147A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reálné číslo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711F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(6,2)</w:t>
            </w:r>
          </w:p>
        </w:tc>
      </w:tr>
      <w:tr w:rsidR="00D47C9A" w:rsidRPr="003B3F09" w14:paraId="0F21E521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DA07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Měna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26A5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označení měny – Kč, Sk nebo mezinárodní</w:t>
            </w:r>
          </w:p>
          <w:p w14:paraId="7815AB5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zkratka (CZK, SVK, EUR, USD atd.)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A595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(3)</w:t>
            </w:r>
          </w:p>
        </w:tc>
      </w:tr>
      <w:tr w:rsidR="00D47C9A" w:rsidRPr="003B3F09" w14:paraId="4584C29A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FCEF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Typ platby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3F1D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povinný znak z množiny {‘H’, ‘C’, ‘B’}</w:t>
            </w:r>
          </w:p>
          <w:p w14:paraId="56B16E3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H – platba hotově, C – platba čipovou kartou,</w:t>
            </w:r>
          </w:p>
          <w:p w14:paraId="6FDF0FA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B – platba bankovní kartou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825F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Char</w:t>
            </w:r>
          </w:p>
        </w:tc>
      </w:tr>
      <w:tr w:rsidR="00D47C9A" w:rsidRPr="003B3F09" w14:paraId="7262AC9B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A7A4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Platnost od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25BC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699A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369E63AF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4B4F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Platnost do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E342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 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2A0C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4988C405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2FA4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Dialog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951F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nepovinný text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B0DA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(255)</w:t>
            </w:r>
          </w:p>
        </w:tc>
      </w:tr>
      <w:tr w:rsidR="00D47C9A" w:rsidRPr="003B3F09" w14:paraId="146DC59E" w14:textId="77777777" w:rsidTr="00A62E88">
        <w:trPr>
          <w:trHeight w:val="284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4DEAB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Ruční vstup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EFA5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nepovinné číslo</w:t>
            </w:r>
          </w:p>
          <w:p w14:paraId="2786F2F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pokud je &gt; 0 záznam vložen ručním vstupem dat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39DE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</w:tbl>
    <w:p w14:paraId="52430D72" w14:textId="77777777" w:rsidR="001D4D71" w:rsidRPr="001D4D71" w:rsidRDefault="001D4D71" w:rsidP="001D4D71">
      <w:pPr>
        <w:rPr>
          <w:rFonts w:asciiTheme="minorHAnsi" w:hAnsiTheme="minorHAnsi"/>
          <w:sz w:val="24"/>
          <w:szCs w:val="24"/>
        </w:rPr>
      </w:pPr>
    </w:p>
    <w:p w14:paraId="7167C074" w14:textId="77777777" w:rsidR="00D47C9A" w:rsidRPr="003B3F09" w:rsidRDefault="00D47C9A" w:rsidP="00D47C9A">
      <w:pPr>
        <w:pStyle w:val="Odstavecseseznamem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České dráhy a.s.</w:t>
      </w:r>
    </w:p>
    <w:p w14:paraId="344F0D84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57C63FAB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Ze systémů ČD bude vyexportován soubor ve formátu CSV – záznamově orientovaný formát dat s oddělovači (pole oddělena čárkou, záznamy odděleny středníkem a CRLF). Všechny údaje jsou uvedeny v textovém tvaru (textová pole uzavřená ve znacích uvozovky nahoře). Uvozovky uvnitř textu není třeba zdvojovat.</w:t>
      </w:r>
    </w:p>
    <w:p w14:paraId="6B855E3B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Soubor se bude jmenovat listky.csv</w:t>
      </w:r>
    </w:p>
    <w:p w14:paraId="767CF8D6" w14:textId="77777777" w:rsidR="00D47C9A" w:rsidRPr="003B3F09" w:rsidRDefault="00D47C9A" w:rsidP="00D47C9A">
      <w:pPr>
        <w:rPr>
          <w:rFonts w:asciiTheme="minorHAnsi" w:eastAsiaTheme="majorEastAsia" w:hAnsiTheme="minorHAnsi"/>
          <w:sz w:val="24"/>
          <w:szCs w:val="24"/>
        </w:rPr>
      </w:pPr>
    </w:p>
    <w:p w14:paraId="3363303D" w14:textId="77777777" w:rsidR="00D47C9A" w:rsidRPr="003B3F09" w:rsidRDefault="00D47C9A" w:rsidP="00D47C9A">
      <w:pPr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lastRenderedPageBreak/>
        <w:t>Popis souboru:</w:t>
      </w:r>
    </w:p>
    <w:tbl>
      <w:tblPr>
        <w:tblpPr w:leftFromText="181" w:rightFromText="181" w:bottomFromText="160" w:vertAnchor="text" w:horzAnchor="margin" w:tblpY="1"/>
        <w:tblW w:w="9255" w:type="dxa"/>
        <w:tblLayout w:type="fixed"/>
        <w:tblLook w:val="04A0" w:firstRow="1" w:lastRow="0" w:firstColumn="1" w:lastColumn="0" w:noHBand="0" w:noVBand="1"/>
      </w:tblPr>
      <w:tblGrid>
        <w:gridCol w:w="2349"/>
        <w:gridCol w:w="5316"/>
        <w:gridCol w:w="1590"/>
      </w:tblGrid>
      <w:tr w:rsidR="00D47C9A" w:rsidRPr="003B3F09" w14:paraId="1182A636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E6FCB" w14:textId="77777777" w:rsidR="00D47C9A" w:rsidRPr="003B3F09" w:rsidRDefault="00D47C9A" w:rsidP="00A2285C">
            <w:pPr>
              <w:spacing w:line="233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název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5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pole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3C492" w14:textId="77777777" w:rsidR="00D47C9A" w:rsidRPr="003B3F09" w:rsidRDefault="00D47C9A" w:rsidP="00A2285C">
            <w:pPr>
              <w:spacing w:line="233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charakter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a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popis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pole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8D866" w14:textId="77777777" w:rsidR="00D47C9A" w:rsidRPr="003B3F09" w:rsidRDefault="00D47C9A" w:rsidP="00A2285C">
            <w:pPr>
              <w:spacing w:line="233" w:lineRule="exact"/>
              <w:ind w:left="71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4"/>
                <w:w w:val="95"/>
                <w:sz w:val="24"/>
                <w:szCs w:val="24"/>
                <w:lang w:eastAsia="en-US"/>
              </w:rPr>
              <w:t>typ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9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3"/>
                <w:w w:val="95"/>
                <w:sz w:val="24"/>
                <w:szCs w:val="24"/>
                <w:lang w:eastAsia="en-US"/>
              </w:rPr>
              <w:t>v</w:t>
            </w:r>
            <w:r w:rsidRPr="003B3F09">
              <w:rPr>
                <w:rFonts w:asciiTheme="minorHAnsi" w:eastAsiaTheme="majorEastAsia" w:hAnsiTheme="minorHAnsi" w:cs="Calibri"/>
                <w:b/>
                <w:noProof/>
                <w:color w:val="000000"/>
                <w:spacing w:val="6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b/>
                <w:noProof/>
                <w:color w:val="000000"/>
                <w:spacing w:val="-4"/>
                <w:w w:val="95"/>
                <w:sz w:val="24"/>
                <w:szCs w:val="24"/>
                <w:lang w:eastAsia="en-US"/>
              </w:rPr>
              <w:t>DB</w:t>
            </w:r>
          </w:p>
        </w:tc>
      </w:tr>
      <w:tr w:rsidR="00D47C9A" w:rsidRPr="003B3F09" w14:paraId="2845EF60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F215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íslo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6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strojku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EB12B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povinné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6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č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2"/>
                <w:sz w:val="24"/>
                <w:szCs w:val="24"/>
                <w:lang w:eastAsia="en-US"/>
              </w:rPr>
              <w:t>íslo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F78B2" w14:textId="77777777" w:rsidR="00D47C9A" w:rsidRPr="003B3F09" w:rsidRDefault="00D47C9A" w:rsidP="00A2285C">
            <w:pPr>
              <w:spacing w:line="232" w:lineRule="exact"/>
              <w:ind w:left="71" w:right="-239"/>
              <w:rPr>
                <w:rFonts w:asciiTheme="minorHAnsi" w:eastAsiaTheme="majorEastAsia" w:hAnsiTheme="minorHAnsi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</w:t>
            </w:r>
            <w:r w:rsidRPr="003B3F09">
              <w:rPr>
                <w:rFonts w:asciiTheme="minorHAnsi" w:eastAsiaTheme="majorEastAsia" w:hAnsiTheme="minorHAnsi" w:cs="Calibri"/>
                <w:noProof/>
                <w:color w:val="000000"/>
                <w:spacing w:val="7"/>
                <w:sz w:val="24"/>
                <w:szCs w:val="24"/>
                <w:lang w:eastAsia="en-US"/>
              </w:rPr>
              <w:t> </w:t>
            </w: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3"/>
                <w:sz w:val="24"/>
                <w:szCs w:val="24"/>
                <w:lang w:eastAsia="en-US"/>
              </w:rPr>
              <w:t>(7)</w:t>
            </w:r>
          </w:p>
        </w:tc>
      </w:tr>
      <w:tr w:rsidR="00D47C9A" w:rsidRPr="003B3F09" w14:paraId="1747F1EB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CFDE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odpočtu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48FE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28C94" w14:textId="77777777" w:rsidR="00D47C9A" w:rsidRPr="003B3F09" w:rsidRDefault="00D47C9A" w:rsidP="00A2285C">
            <w:pPr>
              <w:spacing w:line="232" w:lineRule="exact"/>
              <w:ind w:left="71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(4)</w:t>
            </w:r>
          </w:p>
        </w:tc>
      </w:tr>
      <w:tr w:rsidR="00D47C9A" w:rsidRPr="003B3F09" w14:paraId="5011CD20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88A6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Číslo jízdenky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3716E" w14:textId="77777777" w:rsidR="00D47C9A" w:rsidRPr="003B3F09" w:rsidRDefault="00D47C9A" w:rsidP="00A2285C">
            <w:pPr>
              <w:spacing w:line="232" w:lineRule="exact"/>
              <w:ind w:left="71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37024" w14:textId="77777777" w:rsidR="00D47C9A" w:rsidRPr="003B3F09" w:rsidRDefault="00D47C9A" w:rsidP="00A2285C">
            <w:pPr>
              <w:spacing w:line="232" w:lineRule="exact"/>
              <w:ind w:left="71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(7)</w:t>
            </w:r>
          </w:p>
        </w:tc>
      </w:tr>
      <w:tr w:rsidR="00D47C9A" w:rsidRPr="003B3F09" w14:paraId="639D7E22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7195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Stornování jízdenky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515B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povinná textová hodnota z množiny {True, False}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E32B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Boolean</w:t>
            </w:r>
          </w:p>
        </w:tc>
      </w:tr>
      <w:tr w:rsidR="00D47C9A" w:rsidRPr="003B3F09" w14:paraId="03F27767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CD9C3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Datum výdeje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AC78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datum (DDMMRR)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5A75D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3F7105FA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B4B0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Čas výdeje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98C75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povinný čas (HHMMSS)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E1A3A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(6)</w:t>
            </w:r>
          </w:p>
        </w:tc>
      </w:tr>
      <w:tr w:rsidR="00D47C9A" w:rsidRPr="003B3F09" w14:paraId="64D091D6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F2FBE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Spoj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789C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spoje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C8328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3AFDC246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7A5C5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Zkratka tarifu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F4709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označení tarifu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5279F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String (3)</w:t>
            </w:r>
          </w:p>
        </w:tc>
      </w:tr>
      <w:tr w:rsidR="00D47C9A" w:rsidRPr="003B3F09" w14:paraId="04BD6678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2C428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 zastávky od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C0C5F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, pokud lze zastávku určit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36A2F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4DDB4D65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0B174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 zastávky do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4A142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, pokud lze zastávku určit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B2D08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(10)</w:t>
            </w:r>
          </w:p>
        </w:tc>
      </w:tr>
      <w:tr w:rsidR="00D47C9A" w:rsidRPr="003B3F09" w14:paraId="0B90CDB6" w14:textId="77777777" w:rsidTr="00A2285C">
        <w:trPr>
          <w:trHeight w:val="227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4EC16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IDS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20460" w14:textId="77777777" w:rsidR="00D47C9A" w:rsidRPr="003B3F09" w:rsidRDefault="00D47C9A" w:rsidP="00A2285C">
            <w:pPr>
              <w:spacing w:line="232" w:lineRule="exact"/>
              <w:ind w:left="70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- povinné číslo dle číselníku IDS, pokud se jedná o IDS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E9E6E" w14:textId="77777777" w:rsidR="00D47C9A" w:rsidRPr="003B3F09" w:rsidRDefault="00D47C9A" w:rsidP="00A2285C">
            <w:pPr>
              <w:spacing w:line="232" w:lineRule="exact"/>
              <w:ind w:left="69" w:right="-239"/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</w:pPr>
            <w:r w:rsidRPr="003B3F09">
              <w:rPr>
                <w:rFonts w:asciiTheme="minorHAnsi" w:eastAsiaTheme="majorEastAsia" w:hAnsiTheme="minorHAnsi" w:cs="Arial"/>
                <w:noProof/>
                <w:color w:val="000000"/>
                <w:spacing w:val="-4"/>
                <w:sz w:val="24"/>
                <w:szCs w:val="24"/>
                <w:lang w:eastAsia="en-US"/>
              </w:rPr>
              <w:t>Num (5)</w:t>
            </w:r>
          </w:p>
        </w:tc>
      </w:tr>
    </w:tbl>
    <w:p w14:paraId="4D307A3C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57CE35B3" w14:textId="77777777" w:rsidR="00D47C9A" w:rsidRPr="003B3F09" w:rsidRDefault="00D47C9A" w:rsidP="00D47C9A">
      <w:pPr>
        <w:pStyle w:val="Odstavecseseznamem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Dopravní podnik města České Budějovice a.s.</w:t>
      </w:r>
    </w:p>
    <w:p w14:paraId="1CEEEF11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15562D41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Pro zpracování clearingu není třeba zasílat žádné údaje z jízd ani z prodejů kupónů MHD, je pouze nutné spočítat „průměrnou cenu jedné jízdy“ (dle bodu 11.3 Metodiky). Tato cena bude vypočtena dopravcem, odsouhlasena objednatelem a písemně sdělena zhotoviteli vždy nejpozději do konce kalendářního měsíce, za který má být počítáno rozúčtování. Změna je možná pouze k 1. dni kalendářního měsíce. </w:t>
      </w:r>
    </w:p>
    <w:p w14:paraId="2612D46E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3B6C542E" w14:textId="77777777" w:rsidR="00D47C9A" w:rsidRPr="003B3F09" w:rsidRDefault="00D47C9A" w:rsidP="00D47C9A">
      <w:pPr>
        <w:pStyle w:val="Odstavecseseznamem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Předprodejní místa</w:t>
      </w:r>
    </w:p>
    <w:p w14:paraId="45E648D8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2E856208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Tato kapitola popisuje vstupní data z předprodeje časových jízdenek (etapa </w:t>
      </w:r>
      <w:proofErr w:type="gramStart"/>
      <w:r w:rsidRPr="003B3F09">
        <w:rPr>
          <w:rFonts w:asciiTheme="minorHAnsi" w:eastAsiaTheme="majorEastAsia" w:hAnsiTheme="minorHAnsi"/>
          <w:sz w:val="24"/>
          <w:szCs w:val="24"/>
        </w:rPr>
        <w:t>1a</w:t>
      </w:r>
      <w:proofErr w:type="gramEnd"/>
      <w:r w:rsidRPr="003B3F09">
        <w:rPr>
          <w:rFonts w:asciiTheme="minorHAnsi" w:eastAsiaTheme="majorEastAsia" w:hAnsiTheme="minorHAnsi"/>
          <w:sz w:val="24"/>
          <w:szCs w:val="24"/>
        </w:rPr>
        <w:t xml:space="preserve"> – viz bod 4.1 Metodiky).</w:t>
      </w:r>
    </w:p>
    <w:p w14:paraId="4E0EA565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V případě, že některý z dopravců provádí také předprodej časových kupónů, musí dodat data podle formátu bodu 8 Metodiky. </w:t>
      </w:r>
    </w:p>
    <w:p w14:paraId="22EC0163" w14:textId="47D89C2B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Data budou zasílána na FTP server dodavatele</w:t>
      </w:r>
      <w:r w:rsidR="00762771">
        <w:rPr>
          <w:rFonts w:asciiTheme="minorHAnsi" w:eastAsiaTheme="majorEastAsia" w:hAnsiTheme="minorHAnsi"/>
          <w:sz w:val="24"/>
          <w:szCs w:val="24"/>
        </w:rPr>
        <w:t>,</w:t>
      </w:r>
      <w:r w:rsidRPr="003B3F09">
        <w:rPr>
          <w:rFonts w:asciiTheme="minorHAnsi" w:eastAsiaTheme="majorEastAsia" w:hAnsiTheme="minorHAnsi"/>
          <w:sz w:val="24"/>
          <w:szCs w:val="24"/>
        </w:rPr>
        <w:t xml:space="preserve"> a to v termínech podle bodu 7.1 Metodiky. </w:t>
      </w:r>
    </w:p>
    <w:p w14:paraId="52FE09CE" w14:textId="727EF1C6" w:rsidR="00D47C9A" w:rsidRDefault="00D47C9A" w:rsidP="00D47C9A">
      <w:pPr>
        <w:rPr>
          <w:rFonts w:asciiTheme="minorHAnsi" w:hAnsiTheme="minorHAnsi"/>
          <w:sz w:val="24"/>
          <w:szCs w:val="24"/>
        </w:rPr>
      </w:pPr>
    </w:p>
    <w:p w14:paraId="0B0E225B" w14:textId="77777777" w:rsidR="00776708" w:rsidRPr="003B3F09" w:rsidRDefault="00776708" w:rsidP="00D47C9A">
      <w:pPr>
        <w:rPr>
          <w:rFonts w:asciiTheme="minorHAnsi" w:hAnsiTheme="minorHAnsi"/>
          <w:sz w:val="24"/>
          <w:szCs w:val="24"/>
        </w:rPr>
      </w:pPr>
    </w:p>
    <w:p w14:paraId="76CB11AE" w14:textId="77777777" w:rsidR="00D47C9A" w:rsidRPr="003B3F09" w:rsidRDefault="00D47C9A" w:rsidP="000E0D6E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3B3F09">
        <w:rPr>
          <w:rFonts w:asciiTheme="minorHAnsi" w:hAnsiTheme="minorHAnsi"/>
          <w:b/>
          <w:sz w:val="24"/>
          <w:szCs w:val="24"/>
        </w:rPr>
        <w:t>Zpracování dat</w:t>
      </w:r>
    </w:p>
    <w:p w14:paraId="677224FD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2101E397" w14:textId="5DCB4100" w:rsidR="00D47C9A" w:rsidRDefault="000E0D6E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>Z</w:t>
      </w:r>
      <w:r w:rsidR="00D47C9A" w:rsidRPr="003B3F09">
        <w:rPr>
          <w:rFonts w:asciiTheme="minorHAnsi" w:eastAsiaTheme="majorEastAsia" w:hAnsiTheme="minorHAnsi"/>
          <w:sz w:val="24"/>
          <w:szCs w:val="24"/>
        </w:rPr>
        <w:t>hotovitel vytvoří převodové můstky pro GW Bus, a. s., ČSAD AUTOBUSY České Budějovice, a. s, České dráhy, a. s.</w:t>
      </w:r>
      <w:r>
        <w:rPr>
          <w:rFonts w:asciiTheme="minorHAnsi" w:eastAsiaTheme="majorEastAsia" w:hAnsiTheme="minorHAnsi"/>
          <w:sz w:val="24"/>
          <w:szCs w:val="24"/>
        </w:rPr>
        <w:t xml:space="preserve"> </w:t>
      </w:r>
      <w:r w:rsidR="00D47C9A" w:rsidRPr="003B3F09">
        <w:rPr>
          <w:rFonts w:asciiTheme="minorHAnsi" w:eastAsiaTheme="majorEastAsia" w:hAnsiTheme="minorHAnsi"/>
          <w:sz w:val="24"/>
          <w:szCs w:val="24"/>
        </w:rPr>
        <w:t>Zhotovitel vytvoří převodní software pro načtení dat z předprodejních míst (bod 3.2.5).</w:t>
      </w:r>
    </w:p>
    <w:p w14:paraId="6084DDFD" w14:textId="77777777" w:rsidR="001D4D71" w:rsidRDefault="001D4D71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>V případě rozšíření IDS JK o další dopravce se zhotovitel zavazuje k bezplatnému vytvoření převodového můstku pro tyto dopravce. Také u těchto dopravců musí zajistit koordinátor potřebný formát dat.</w:t>
      </w:r>
    </w:p>
    <w:p w14:paraId="64450D59" w14:textId="77777777" w:rsidR="001D4D71" w:rsidRDefault="001D4D71" w:rsidP="00D47C9A">
      <w:pPr>
        <w:rPr>
          <w:rFonts w:asciiTheme="minorHAnsi" w:eastAsiaTheme="majorEastAsia" w:hAnsiTheme="minorHAnsi"/>
          <w:sz w:val="24"/>
          <w:szCs w:val="24"/>
        </w:rPr>
      </w:pPr>
    </w:p>
    <w:p w14:paraId="481DF263" w14:textId="77777777" w:rsidR="00D47C9A" w:rsidRPr="00A62E88" w:rsidRDefault="00D47C9A" w:rsidP="00D47C9A">
      <w:pPr>
        <w:rPr>
          <w:rFonts w:asciiTheme="minorHAnsi" w:eastAsiaTheme="majorEastAsia" w:hAnsiTheme="minorHAnsi"/>
          <w:b/>
          <w:sz w:val="24"/>
          <w:szCs w:val="24"/>
        </w:rPr>
      </w:pPr>
      <w:r w:rsidRPr="00A62E88">
        <w:rPr>
          <w:rFonts w:asciiTheme="minorHAnsi" w:eastAsiaTheme="majorEastAsia" w:hAnsiTheme="minorHAnsi"/>
          <w:b/>
          <w:sz w:val="24"/>
          <w:szCs w:val="24"/>
        </w:rPr>
        <w:t>Objednatel při podpisu smlouvy dodá následující podklady:</w:t>
      </w:r>
    </w:p>
    <w:p w14:paraId="3FE89EC0" w14:textId="77777777" w:rsidR="00D47C9A" w:rsidRPr="003B3F09" w:rsidRDefault="00D47C9A" w:rsidP="00D47C9A">
      <w:pPr>
        <w:rPr>
          <w:rFonts w:asciiTheme="minorHAnsi" w:eastAsiaTheme="majorEastAsia" w:hAnsiTheme="minorHAnsi"/>
          <w:sz w:val="24"/>
          <w:szCs w:val="24"/>
        </w:rPr>
      </w:pPr>
    </w:p>
    <w:p w14:paraId="5A1EFCF9" w14:textId="77777777" w:rsidR="00D47C9A" w:rsidRPr="003B3F09" w:rsidRDefault="00D47C9A" w:rsidP="00D47C9A">
      <w:pPr>
        <w:pStyle w:val="Odstavecseseznamem"/>
        <w:numPr>
          <w:ilvl w:val="0"/>
          <w:numId w:val="2"/>
        </w:numPr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podíly dopravců VLD a </w:t>
      </w:r>
      <w:proofErr w:type="gramStart"/>
      <w:r w:rsidRPr="003B3F09">
        <w:rPr>
          <w:rFonts w:asciiTheme="minorHAnsi" w:eastAsiaTheme="majorEastAsia" w:hAnsiTheme="minorHAnsi"/>
          <w:sz w:val="24"/>
          <w:szCs w:val="24"/>
        </w:rPr>
        <w:t>vlaků - viz</w:t>
      </w:r>
      <w:proofErr w:type="gramEnd"/>
      <w:r w:rsidRPr="003B3F09">
        <w:rPr>
          <w:rFonts w:asciiTheme="minorHAnsi" w:eastAsiaTheme="majorEastAsia" w:hAnsiTheme="minorHAnsi"/>
          <w:sz w:val="24"/>
          <w:szCs w:val="24"/>
        </w:rPr>
        <w:t xml:space="preserve"> bod 11.2.3 Metodiky</w:t>
      </w:r>
    </w:p>
    <w:p w14:paraId="71DBB266" w14:textId="77777777" w:rsidR="00D47C9A" w:rsidRPr="003B3F09" w:rsidRDefault="00D47C9A" w:rsidP="00D47C9A">
      <w:pPr>
        <w:pStyle w:val="Odstavecseseznamem"/>
        <w:numPr>
          <w:ilvl w:val="0"/>
          <w:numId w:val="2"/>
        </w:numPr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ceníky časových jízdenek</w:t>
      </w:r>
    </w:p>
    <w:p w14:paraId="1457DA02" w14:textId="77777777" w:rsidR="00D47C9A" w:rsidRPr="003B3F09" w:rsidRDefault="00D47C9A" w:rsidP="00D47C9A">
      <w:pPr>
        <w:pStyle w:val="Odstavecseseznamem"/>
        <w:numPr>
          <w:ilvl w:val="0"/>
          <w:numId w:val="2"/>
        </w:numPr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výši provize pro prodejce časových jízdenek</w:t>
      </w:r>
    </w:p>
    <w:p w14:paraId="09534862" w14:textId="77777777" w:rsidR="00D47C9A" w:rsidRPr="003B3F09" w:rsidRDefault="00D47C9A" w:rsidP="00D47C9A">
      <w:pPr>
        <w:pStyle w:val="Odstavecseseznamem"/>
        <w:rPr>
          <w:rFonts w:asciiTheme="minorHAnsi" w:eastAsiaTheme="majorEastAsia" w:hAnsiTheme="minorHAnsi"/>
          <w:sz w:val="24"/>
          <w:szCs w:val="24"/>
        </w:rPr>
      </w:pPr>
    </w:p>
    <w:p w14:paraId="5B0CA048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V případě potřeby aktualizace výše uvedených dat je nutno je dodat zhotoviteli nejméně deset pracovních dní před termínem zúčtování. Změny lze provádět pouze k prvnímu kalendářnímu dni měsíce.</w:t>
      </w:r>
    </w:p>
    <w:p w14:paraId="0E6DCB57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</w:p>
    <w:p w14:paraId="251E92A3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lastRenderedPageBreak/>
        <w:t>Zhotovitel neprovádí kontroly chybějících dat od dopravců, pozdě dodaných dat, neprovádí kontrolu správnosti linek spojů v zaslaných datech. Zpracuje všechna data zaslaná do termínu.</w:t>
      </w:r>
    </w:p>
    <w:p w14:paraId="20EC3C60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</w:p>
    <w:p w14:paraId="21D4FB74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U dat z předprodejních míst časových jízdenek bude kontrolována kompletnost dat (číselné řady transakcí), zhotovitel zpracuje přehled chybějících dat. </w:t>
      </w:r>
    </w:p>
    <w:p w14:paraId="02BF5D0C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</w:p>
    <w:p w14:paraId="026148EA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V případě pozdě dodaných dat budou tato data zpracována společně s daty za měsíc, ve kterém byla dodána podle pravidel měsíce, kdy byla dodána.</w:t>
      </w:r>
    </w:p>
    <w:p w14:paraId="6936EB49" w14:textId="77777777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</w:p>
    <w:p w14:paraId="7AED3BC8" w14:textId="6AF339A3" w:rsidR="00D47C9A" w:rsidRPr="003B3F09" w:rsidRDefault="00D47C9A" w:rsidP="001D4D71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Zpracování dat bude provedeno zhotovitelem </w:t>
      </w:r>
      <w:r w:rsidR="005B2C6B" w:rsidRPr="005B2C6B">
        <w:rPr>
          <w:rFonts w:asciiTheme="minorHAnsi" w:eastAsiaTheme="majorEastAsia" w:hAnsiTheme="minorHAnsi"/>
          <w:sz w:val="24"/>
          <w:szCs w:val="24"/>
        </w:rPr>
        <w:t>následně do dvou pracovních dnů</w:t>
      </w:r>
      <w:r w:rsidR="005B2C6B">
        <w:rPr>
          <w:rFonts w:asciiTheme="minorHAnsi" w:eastAsiaTheme="majorEastAsia" w:hAnsiTheme="minorHAnsi"/>
          <w:sz w:val="24"/>
          <w:szCs w:val="24"/>
        </w:rPr>
        <w:t xml:space="preserve"> </w:t>
      </w:r>
      <w:r w:rsidRPr="003B3F09">
        <w:rPr>
          <w:rFonts w:asciiTheme="minorHAnsi" w:eastAsiaTheme="majorEastAsia" w:hAnsiTheme="minorHAnsi"/>
          <w:sz w:val="24"/>
          <w:szCs w:val="24"/>
        </w:rPr>
        <w:t>postupem podle části 11 metodiky (</w:t>
      </w:r>
      <w:r w:rsidR="007321DD">
        <w:rPr>
          <w:rFonts w:asciiTheme="minorHAnsi" w:eastAsiaTheme="majorEastAsia" w:hAnsiTheme="minorHAnsi"/>
          <w:sz w:val="24"/>
          <w:szCs w:val="24"/>
        </w:rPr>
        <w:t>varianta B</w:t>
      </w:r>
      <w:r w:rsidRPr="003B3F09">
        <w:rPr>
          <w:rFonts w:asciiTheme="minorHAnsi" w:eastAsiaTheme="majorEastAsia" w:hAnsiTheme="minorHAnsi"/>
          <w:sz w:val="24"/>
          <w:szCs w:val="24"/>
        </w:rPr>
        <w:t xml:space="preserve">). </w:t>
      </w:r>
    </w:p>
    <w:p w14:paraId="7A1B7245" w14:textId="77777777" w:rsidR="00D47C9A" w:rsidRPr="003B3F09" w:rsidRDefault="00D47C9A" w:rsidP="001D4D71">
      <w:pPr>
        <w:jc w:val="both"/>
        <w:rPr>
          <w:rFonts w:asciiTheme="minorHAnsi" w:hAnsiTheme="minorHAnsi"/>
          <w:sz w:val="24"/>
          <w:szCs w:val="24"/>
        </w:rPr>
      </w:pPr>
    </w:p>
    <w:p w14:paraId="09FBC2C5" w14:textId="77777777" w:rsidR="00D47C9A" w:rsidRDefault="00D47C9A" w:rsidP="001D4D71">
      <w:p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Zpracování probíhá v částkách včetně DPH. Taktéž všechny výstupní sestavy obsahují částky včetně DPH.</w:t>
      </w:r>
    </w:p>
    <w:p w14:paraId="1A6BC33B" w14:textId="77777777" w:rsidR="00AC5851" w:rsidRDefault="00AC5851" w:rsidP="001D4D71">
      <w:pPr>
        <w:jc w:val="both"/>
        <w:rPr>
          <w:rFonts w:asciiTheme="minorHAnsi" w:hAnsiTheme="minorHAnsi"/>
          <w:sz w:val="24"/>
          <w:szCs w:val="24"/>
        </w:rPr>
      </w:pPr>
    </w:p>
    <w:p w14:paraId="332D62BC" w14:textId="77777777" w:rsidR="00AC5851" w:rsidRPr="003B3F09" w:rsidRDefault="00AC5851" w:rsidP="001D4D7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 výpočet kompenzací slev jízdného není třeba ze strany dopravců dodávat jakákoliv další data. Výpočet je proveden ve stejném termínu jako zpracování dat.</w:t>
      </w:r>
    </w:p>
    <w:p w14:paraId="6F3197E4" w14:textId="3848C66A" w:rsidR="00D47C9A" w:rsidRDefault="00D47C9A" w:rsidP="00D47C9A">
      <w:pPr>
        <w:rPr>
          <w:rFonts w:asciiTheme="minorHAnsi" w:hAnsiTheme="minorHAnsi"/>
          <w:sz w:val="24"/>
          <w:szCs w:val="24"/>
        </w:rPr>
      </w:pPr>
    </w:p>
    <w:p w14:paraId="5AF0A3AD" w14:textId="77777777" w:rsidR="00776708" w:rsidRPr="003B3F09" w:rsidRDefault="00776708" w:rsidP="00D47C9A">
      <w:pPr>
        <w:rPr>
          <w:rFonts w:asciiTheme="minorHAnsi" w:hAnsiTheme="minorHAnsi"/>
          <w:sz w:val="24"/>
          <w:szCs w:val="24"/>
        </w:rPr>
      </w:pPr>
    </w:p>
    <w:p w14:paraId="5C9CFE9C" w14:textId="77777777" w:rsidR="00D47C9A" w:rsidRPr="003B3F09" w:rsidRDefault="00D47C9A" w:rsidP="005B2C6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3B3F09">
        <w:rPr>
          <w:rFonts w:asciiTheme="minorHAnsi" w:hAnsiTheme="minorHAnsi"/>
          <w:b/>
          <w:sz w:val="24"/>
          <w:szCs w:val="24"/>
        </w:rPr>
        <w:t>Výstupní sestavy</w:t>
      </w:r>
    </w:p>
    <w:p w14:paraId="0DE09F62" w14:textId="77777777" w:rsidR="00D47C9A" w:rsidRPr="003B3F09" w:rsidRDefault="00D47C9A" w:rsidP="00D47C9A">
      <w:pPr>
        <w:rPr>
          <w:rFonts w:asciiTheme="minorHAnsi" w:hAnsiTheme="minorHAnsi"/>
          <w:sz w:val="24"/>
          <w:szCs w:val="24"/>
        </w:rPr>
      </w:pPr>
    </w:p>
    <w:p w14:paraId="7D4F3DFA" w14:textId="77777777" w:rsidR="00D47C9A" w:rsidRPr="003B3F09" w:rsidRDefault="00D47C9A" w:rsidP="0013163D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Sestavy bude zhotovitel předávat objednateli ve formátu CSV prostřednictvím FTP.</w:t>
      </w:r>
    </w:p>
    <w:p w14:paraId="640995AE" w14:textId="77777777" w:rsidR="00D47C9A" w:rsidRPr="003B3F09" w:rsidRDefault="00D47C9A" w:rsidP="0013163D">
      <w:pPr>
        <w:jc w:val="both"/>
        <w:rPr>
          <w:rFonts w:asciiTheme="minorHAnsi" w:hAnsiTheme="minorHAnsi"/>
          <w:sz w:val="24"/>
          <w:szCs w:val="24"/>
        </w:rPr>
      </w:pPr>
      <w:bookmarkStart w:id="1" w:name="_Toc446600628"/>
    </w:p>
    <w:p w14:paraId="5EC029C6" w14:textId="77777777" w:rsidR="00D47C9A" w:rsidRPr="003B3F09" w:rsidRDefault="00D47C9A" w:rsidP="0013163D">
      <w:pPr>
        <w:pStyle w:val="Odstavecseseznamem"/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Sestavy dle uskutečněných jízd</w:t>
      </w:r>
      <w:bookmarkEnd w:id="1"/>
    </w:p>
    <w:p w14:paraId="0D0F6A8C" w14:textId="77777777" w:rsidR="00D47C9A" w:rsidRPr="003B3F09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Počty jízd na kupón MHD za minulý měsíc dle dopravců celkem</w:t>
      </w:r>
    </w:p>
    <w:p w14:paraId="237739A1" w14:textId="77777777" w:rsidR="00D47C9A" w:rsidRPr="003B3F09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Počty jízd na kupón MHD souhrnně dle linek/spojů</w:t>
      </w:r>
    </w:p>
    <w:p w14:paraId="2FEA94E1" w14:textId="77777777" w:rsidR="00D47C9A" w:rsidRPr="003B3F09" w:rsidRDefault="00D47C9A" w:rsidP="0013163D">
      <w:pPr>
        <w:jc w:val="both"/>
        <w:rPr>
          <w:rFonts w:asciiTheme="minorHAnsi" w:hAnsiTheme="minorHAnsi"/>
          <w:sz w:val="24"/>
          <w:szCs w:val="24"/>
        </w:rPr>
      </w:pPr>
      <w:bookmarkStart w:id="2" w:name="_Toc446600629"/>
    </w:p>
    <w:p w14:paraId="555E48D7" w14:textId="6338F689" w:rsidR="00D47C9A" w:rsidRPr="003B3F09" w:rsidRDefault="00D47C9A" w:rsidP="0013163D">
      <w:pPr>
        <w:pStyle w:val="Odstavecseseznamem"/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Sestavy dat z předprodejních míst</w:t>
      </w:r>
      <w:bookmarkEnd w:id="2"/>
      <w:r w:rsidRPr="003B3F09">
        <w:rPr>
          <w:rFonts w:asciiTheme="minorHAnsi" w:hAnsiTheme="minorHAnsi"/>
          <w:sz w:val="24"/>
          <w:szCs w:val="24"/>
        </w:rPr>
        <w:t xml:space="preserve"> (souhrnně za všechny předprodejní místa každého zapojeného dopravce</w:t>
      </w:r>
      <w:r w:rsidR="0013163D">
        <w:rPr>
          <w:rFonts w:asciiTheme="minorHAnsi" w:hAnsiTheme="minorHAnsi"/>
          <w:sz w:val="24"/>
          <w:szCs w:val="24"/>
        </w:rPr>
        <w:t>,</w:t>
      </w:r>
      <w:r w:rsidRPr="003B3F09">
        <w:rPr>
          <w:rFonts w:asciiTheme="minorHAnsi" w:hAnsiTheme="minorHAnsi"/>
          <w:sz w:val="24"/>
          <w:szCs w:val="24"/>
        </w:rPr>
        <w:t xml:space="preserve"> případně prodejce)</w:t>
      </w:r>
    </w:p>
    <w:p w14:paraId="1D1D366D" w14:textId="77777777" w:rsidR="00D47C9A" w:rsidRPr="003B3F09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Celkový počet prodaných kupónů</w:t>
      </w:r>
    </w:p>
    <w:p w14:paraId="04BDB0AB" w14:textId="77777777" w:rsidR="00D47C9A" w:rsidRPr="003B3F09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Počet prodaných kupónů bez zóny MHD</w:t>
      </w:r>
    </w:p>
    <w:p w14:paraId="7C2F4504" w14:textId="1B56E42D" w:rsidR="00D47C9A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Počet </w:t>
      </w:r>
      <w:bookmarkStart w:id="3" w:name="_Toc446600630"/>
      <w:r w:rsidRPr="003B3F09">
        <w:rPr>
          <w:rFonts w:asciiTheme="minorHAnsi" w:eastAsiaTheme="majorEastAsia" w:hAnsiTheme="minorHAnsi"/>
          <w:sz w:val="24"/>
          <w:szCs w:val="24"/>
        </w:rPr>
        <w:t>prodaných kupónů včetně zóny MHD</w:t>
      </w:r>
    </w:p>
    <w:p w14:paraId="6F7C563B" w14:textId="49B089C8" w:rsidR="0013163D" w:rsidRPr="003B3F09" w:rsidRDefault="0013163D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>Celkový počet prodaných kuponů dle časové platnosti a dle jednotlivých skupin cestujících</w:t>
      </w:r>
    </w:p>
    <w:p w14:paraId="3C77B3CC" w14:textId="77777777" w:rsidR="00D47C9A" w:rsidRPr="003B3F09" w:rsidRDefault="00D47C9A" w:rsidP="0013163D">
      <w:pPr>
        <w:pStyle w:val="Odstavecseseznamem"/>
        <w:jc w:val="both"/>
        <w:rPr>
          <w:rFonts w:asciiTheme="minorHAnsi" w:eastAsiaTheme="majorEastAsia" w:hAnsiTheme="minorHAnsi"/>
          <w:sz w:val="24"/>
          <w:szCs w:val="24"/>
        </w:rPr>
      </w:pPr>
    </w:p>
    <w:p w14:paraId="57397100" w14:textId="77777777" w:rsidR="00D47C9A" w:rsidRPr="003B3F09" w:rsidRDefault="00D47C9A" w:rsidP="0013163D">
      <w:pPr>
        <w:pStyle w:val="Odstavecseseznamem"/>
        <w:numPr>
          <w:ilvl w:val="1"/>
          <w:numId w:val="1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hAnsiTheme="minorHAnsi"/>
          <w:sz w:val="24"/>
          <w:szCs w:val="24"/>
        </w:rPr>
        <w:t>Sestavy zúčtovacího centra</w:t>
      </w:r>
      <w:bookmarkEnd w:id="3"/>
    </w:p>
    <w:p w14:paraId="51B0E950" w14:textId="77777777" w:rsidR="00D47C9A" w:rsidRPr="003B3F09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 xml:space="preserve">bilance jednotlivých subjektů, na </w:t>
      </w:r>
      <w:proofErr w:type="gramStart"/>
      <w:r w:rsidRPr="003B3F09">
        <w:rPr>
          <w:rFonts w:asciiTheme="minorHAnsi" w:eastAsiaTheme="majorEastAsia" w:hAnsiTheme="minorHAnsi"/>
          <w:sz w:val="24"/>
          <w:szCs w:val="24"/>
        </w:rPr>
        <w:t>základě</w:t>
      </w:r>
      <w:proofErr w:type="gramEnd"/>
      <w:r w:rsidRPr="003B3F09">
        <w:rPr>
          <w:rFonts w:asciiTheme="minorHAnsi" w:eastAsiaTheme="majorEastAsia" w:hAnsiTheme="minorHAnsi"/>
          <w:sz w:val="24"/>
          <w:szCs w:val="24"/>
        </w:rPr>
        <w:t xml:space="preserve"> které si dopravci / prodejci sami mezi sebou vyfakturují podíly jízdného z časových jízdenek (pro dopravce / prodejce)</w:t>
      </w:r>
    </w:p>
    <w:p w14:paraId="0AF37383" w14:textId="77777777" w:rsidR="00D47C9A" w:rsidRPr="003B3F09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souhrnná bilance za všechny dopravce (pro objednatele)</w:t>
      </w:r>
    </w:p>
    <w:p w14:paraId="38A32D13" w14:textId="77777777" w:rsidR="00D47C9A" w:rsidRDefault="00D47C9A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přehled chybějících dat z předprodejních míst</w:t>
      </w:r>
    </w:p>
    <w:p w14:paraId="67050C7D" w14:textId="77777777" w:rsidR="00AC5851" w:rsidRDefault="00AC5851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>jednotný datový formát pro výstupy z odbavovacích zařízení – pro zaslání vypočtených kompenzací na portál CISNET</w:t>
      </w:r>
    </w:p>
    <w:p w14:paraId="47BD0867" w14:textId="621E270A" w:rsidR="00AC5851" w:rsidRDefault="00AC5851" w:rsidP="0013163D">
      <w:pPr>
        <w:pStyle w:val="Odstavecseseznamem"/>
        <w:numPr>
          <w:ilvl w:val="0"/>
          <w:numId w:val="2"/>
        </w:numPr>
        <w:jc w:val="both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>sestava o počtech kompenzovaných jízdenek a výši kompenzace</w:t>
      </w:r>
    </w:p>
    <w:p w14:paraId="39CC8346" w14:textId="0A334AFB" w:rsidR="00776708" w:rsidRDefault="00776708">
      <w:pPr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br w:type="page"/>
      </w:r>
    </w:p>
    <w:p w14:paraId="22CCF227" w14:textId="77777777" w:rsidR="00776708" w:rsidRDefault="00776708" w:rsidP="004558A4">
      <w:pPr>
        <w:jc w:val="both"/>
        <w:rPr>
          <w:rFonts w:asciiTheme="minorHAnsi" w:eastAsiaTheme="majorEastAsia" w:hAnsiTheme="minorHAnsi"/>
          <w:sz w:val="24"/>
          <w:szCs w:val="24"/>
        </w:rPr>
        <w:sectPr w:rsidR="00776708" w:rsidSect="000B2519">
          <w:headerReference w:type="default" r:id="rId7"/>
          <w:footerReference w:type="default" r:id="rId8"/>
          <w:pgSz w:w="11906" w:h="16838"/>
          <w:pgMar w:top="1134" w:right="1134" w:bottom="1134" w:left="1418" w:header="709" w:footer="709" w:gutter="0"/>
          <w:cols w:space="708"/>
        </w:sectPr>
      </w:pPr>
    </w:p>
    <w:p w14:paraId="01F79E0A" w14:textId="77777777" w:rsidR="00776708" w:rsidRPr="00776708" w:rsidRDefault="00776708" w:rsidP="00776708">
      <w:pPr>
        <w:jc w:val="both"/>
        <w:rPr>
          <w:rFonts w:asciiTheme="minorHAnsi" w:eastAsiaTheme="majorEastAsia" w:hAnsiTheme="minorHAnsi"/>
          <w:b/>
          <w:bCs/>
          <w:sz w:val="24"/>
          <w:szCs w:val="24"/>
        </w:rPr>
      </w:pPr>
      <w:r w:rsidRPr="00776708">
        <w:rPr>
          <w:rFonts w:asciiTheme="minorHAnsi" w:eastAsiaTheme="majorEastAsia" w:hAnsiTheme="minorHAnsi"/>
          <w:b/>
          <w:bCs/>
          <w:sz w:val="24"/>
          <w:szCs w:val="24"/>
        </w:rPr>
        <w:lastRenderedPageBreak/>
        <w:t xml:space="preserve">Souhrnná bilance tržeb </w:t>
      </w:r>
      <w:proofErr w:type="spellStart"/>
      <w:r w:rsidRPr="00776708">
        <w:rPr>
          <w:rFonts w:asciiTheme="minorHAnsi" w:eastAsiaTheme="majorEastAsia" w:hAnsiTheme="minorHAnsi"/>
          <w:b/>
          <w:bCs/>
          <w:sz w:val="24"/>
          <w:szCs w:val="24"/>
        </w:rPr>
        <w:t>zaintegrovaného</w:t>
      </w:r>
      <w:proofErr w:type="spellEnd"/>
      <w:r w:rsidRPr="00776708">
        <w:rPr>
          <w:rFonts w:asciiTheme="minorHAnsi" w:eastAsiaTheme="majorEastAsia" w:hAnsiTheme="minorHAnsi"/>
          <w:b/>
          <w:bCs/>
          <w:sz w:val="24"/>
          <w:szCs w:val="24"/>
        </w:rPr>
        <w:t xml:space="preserve"> dopravce – vzor:</w:t>
      </w:r>
    </w:p>
    <w:p w14:paraId="1376A8FF" w14:textId="77777777" w:rsidR="00776708" w:rsidRPr="00776708" w:rsidRDefault="00776708" w:rsidP="00776708">
      <w:pPr>
        <w:jc w:val="both"/>
        <w:rPr>
          <w:rFonts w:asciiTheme="minorHAnsi" w:eastAsiaTheme="majorEastAsia" w:hAnsiTheme="minorHAnsi"/>
          <w:sz w:val="24"/>
          <w:szCs w:val="24"/>
        </w:rPr>
      </w:pPr>
    </w:p>
    <w:p w14:paraId="5D44A7C6" w14:textId="473037AF" w:rsidR="00776708" w:rsidRDefault="00776708" w:rsidP="00776708">
      <w:pPr>
        <w:jc w:val="both"/>
        <w:rPr>
          <w:rFonts w:asciiTheme="minorHAnsi" w:eastAsiaTheme="majorEastAsia" w:hAnsiTheme="minorHAnsi"/>
          <w:sz w:val="24"/>
          <w:szCs w:val="24"/>
        </w:rPr>
      </w:pPr>
      <w:r w:rsidRPr="00776708">
        <w:rPr>
          <w:rFonts w:asciiTheme="minorHAnsi" w:eastAsiaTheme="majorEastAsia" w:hAnsiTheme="minorHAnsi"/>
          <w:sz w:val="24"/>
          <w:szCs w:val="24"/>
        </w:rPr>
        <w:t>Bilance dopravce X (všechny hodnoty v Kč, s DPH)</w:t>
      </w:r>
    </w:p>
    <w:p w14:paraId="1FD4FC6F" w14:textId="48E4E938" w:rsidR="00776708" w:rsidRDefault="00776708" w:rsidP="00776708">
      <w:pPr>
        <w:jc w:val="both"/>
        <w:rPr>
          <w:rFonts w:asciiTheme="minorHAnsi" w:eastAsiaTheme="majorEastAsia" w:hAnsiTheme="minorHAnsi"/>
          <w:sz w:val="24"/>
          <w:szCs w:val="24"/>
        </w:rPr>
      </w:pPr>
    </w:p>
    <w:tbl>
      <w:tblPr>
        <w:tblW w:w="1301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640"/>
        <w:gridCol w:w="2740"/>
        <w:gridCol w:w="2100"/>
        <w:gridCol w:w="2660"/>
        <w:gridCol w:w="146"/>
      </w:tblGrid>
      <w:tr w:rsidR="00776708" w:rsidRPr="00776708" w14:paraId="569A6229" w14:textId="77777777" w:rsidTr="00776708">
        <w:trPr>
          <w:gridAfter w:val="1"/>
          <w:wAfter w:w="36" w:type="dxa"/>
          <w:trHeight w:val="315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D1C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Provize z prodeje kuponů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3C90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065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7F0" w14:textId="77777777" w:rsidR="00776708" w:rsidRPr="00776708" w:rsidRDefault="00776708" w:rsidP="00776708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9F7" w14:textId="77777777" w:rsidR="00776708" w:rsidRPr="00776708" w:rsidRDefault="00776708" w:rsidP="00776708"/>
        </w:tc>
      </w:tr>
      <w:tr w:rsidR="00776708" w:rsidRPr="00776708" w14:paraId="37B11715" w14:textId="77777777" w:rsidTr="00776708">
        <w:trPr>
          <w:gridAfter w:val="1"/>
          <w:wAfter w:w="36" w:type="dxa"/>
          <w:trHeight w:val="1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9908" w14:textId="77777777" w:rsidR="00776708" w:rsidRPr="00776708" w:rsidRDefault="00776708" w:rsidP="00776708"/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B573" w14:textId="77777777" w:rsidR="00776708" w:rsidRPr="00776708" w:rsidRDefault="00776708" w:rsidP="00776708"/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EC33" w14:textId="77777777" w:rsidR="00776708" w:rsidRPr="00776708" w:rsidRDefault="00776708" w:rsidP="00776708"/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7D4" w14:textId="77777777" w:rsidR="00776708" w:rsidRPr="00776708" w:rsidRDefault="00776708" w:rsidP="00776708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D570" w14:textId="77777777" w:rsidR="00776708" w:rsidRPr="00776708" w:rsidRDefault="00776708" w:rsidP="00776708"/>
        </w:tc>
      </w:tr>
      <w:tr w:rsidR="00776708" w:rsidRPr="00776708" w14:paraId="428B62A2" w14:textId="77777777" w:rsidTr="00776708">
        <w:trPr>
          <w:gridAfter w:val="1"/>
          <w:wAfter w:w="36" w:type="dxa"/>
          <w:trHeight w:val="300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61F7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Dopravce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DF255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Můj podíl za MHD z kuponů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prodaných dopravcem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68A29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Můj podíl ostatní z kuponů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prodaných dopravcem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F144B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Moje částka za jízdy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v MHD dopravce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A736F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výnos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za výkony v IDS JK</w:t>
            </w:r>
          </w:p>
        </w:tc>
      </w:tr>
      <w:tr w:rsidR="00776708" w:rsidRPr="00776708" w14:paraId="446F30EC" w14:textId="77777777" w:rsidTr="00776708">
        <w:trPr>
          <w:trHeight w:val="315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3BD9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E04E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FF0A9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040D6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4297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486D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708" w:rsidRPr="00776708" w14:paraId="4C358E7D" w14:textId="77777777" w:rsidTr="0077670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4B7D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D4803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068A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B3558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A3BA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9012FE" w14:textId="77777777" w:rsidR="00776708" w:rsidRPr="00776708" w:rsidRDefault="00776708" w:rsidP="00776708"/>
        </w:tc>
      </w:tr>
      <w:tr w:rsidR="00776708" w:rsidRPr="00776708" w14:paraId="02356BB9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820AF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BA27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46F8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E743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FBEE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FC2573" w14:textId="77777777" w:rsidR="00776708" w:rsidRPr="00776708" w:rsidRDefault="00776708" w:rsidP="00776708"/>
        </w:tc>
      </w:tr>
      <w:tr w:rsidR="00776708" w:rsidRPr="00776708" w14:paraId="6C78E917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246F6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9326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F342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1299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65DA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52AB0D" w14:textId="77777777" w:rsidR="00776708" w:rsidRPr="00776708" w:rsidRDefault="00776708" w:rsidP="00776708"/>
        </w:tc>
      </w:tr>
      <w:tr w:rsidR="00776708" w:rsidRPr="00776708" w14:paraId="5C0AEC8B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3004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DA2D8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CFB3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DA3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5D99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18D0B2" w14:textId="77777777" w:rsidR="00776708" w:rsidRPr="00776708" w:rsidRDefault="00776708" w:rsidP="00776708"/>
        </w:tc>
      </w:tr>
      <w:tr w:rsidR="00776708" w:rsidRPr="00776708" w14:paraId="0A00900E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16CF6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DD263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D029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87660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2AD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D1B458" w14:textId="77777777" w:rsidR="00776708" w:rsidRPr="00776708" w:rsidRDefault="00776708" w:rsidP="00776708"/>
        </w:tc>
      </w:tr>
      <w:tr w:rsidR="00776708" w:rsidRPr="00776708" w14:paraId="5B57C23E" w14:textId="77777777" w:rsidTr="00776708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314C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09F6F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1454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CB553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511E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ABF80C" w14:textId="77777777" w:rsidR="00776708" w:rsidRPr="00776708" w:rsidRDefault="00776708" w:rsidP="00776708"/>
        </w:tc>
      </w:tr>
      <w:tr w:rsidR="00776708" w:rsidRPr="00776708" w14:paraId="0C3B9ED9" w14:textId="77777777" w:rsidTr="00776708">
        <w:trPr>
          <w:trHeight w:val="315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3B537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BE00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DB58D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A896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65AE8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5A675A" w14:textId="77777777" w:rsidR="00776708" w:rsidRPr="00776708" w:rsidRDefault="00776708" w:rsidP="00776708"/>
        </w:tc>
      </w:tr>
      <w:tr w:rsidR="00776708" w:rsidRPr="00776708" w14:paraId="3FB97531" w14:textId="77777777" w:rsidTr="00776708">
        <w:trPr>
          <w:trHeight w:val="1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925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2311" w14:textId="77777777" w:rsidR="00776708" w:rsidRPr="00776708" w:rsidRDefault="00776708" w:rsidP="00776708"/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FD65" w14:textId="77777777" w:rsidR="00776708" w:rsidRPr="00776708" w:rsidRDefault="00776708" w:rsidP="00776708"/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EAB3" w14:textId="77777777" w:rsidR="00776708" w:rsidRPr="00776708" w:rsidRDefault="00776708" w:rsidP="00776708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B27" w14:textId="77777777" w:rsidR="00776708" w:rsidRPr="00776708" w:rsidRDefault="00776708" w:rsidP="00776708"/>
        </w:tc>
        <w:tc>
          <w:tcPr>
            <w:tcW w:w="36" w:type="dxa"/>
            <w:vAlign w:val="center"/>
            <w:hideMark/>
          </w:tcPr>
          <w:p w14:paraId="088DB731" w14:textId="77777777" w:rsidR="00776708" w:rsidRPr="00776708" w:rsidRDefault="00776708" w:rsidP="00776708"/>
        </w:tc>
      </w:tr>
      <w:tr w:rsidR="00776708" w:rsidRPr="00776708" w14:paraId="7D27D793" w14:textId="77777777" w:rsidTr="00776708">
        <w:trPr>
          <w:trHeight w:val="300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1C0F3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Dopravce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4168D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Podíl dopravce za MHD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 mnou prodaných kuponů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1E4C2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Podíl dopravce za ostatní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 mnou prodaných kuponů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1AF87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Částka dopravce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za jízdy v mých MHD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7D210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podíl dopravců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 mnou prodaných kuponů</w:t>
            </w:r>
          </w:p>
        </w:tc>
        <w:tc>
          <w:tcPr>
            <w:tcW w:w="36" w:type="dxa"/>
            <w:vAlign w:val="center"/>
            <w:hideMark/>
          </w:tcPr>
          <w:p w14:paraId="5A72B21D" w14:textId="77777777" w:rsidR="00776708" w:rsidRPr="00776708" w:rsidRDefault="00776708" w:rsidP="00776708"/>
        </w:tc>
      </w:tr>
      <w:tr w:rsidR="00776708" w:rsidRPr="00776708" w14:paraId="4EB90362" w14:textId="77777777" w:rsidTr="00776708">
        <w:trPr>
          <w:trHeight w:val="315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628D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8FB6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13C5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3B51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7CA2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2AE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708" w:rsidRPr="00776708" w14:paraId="7C87DD26" w14:textId="77777777" w:rsidTr="0077670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3ACF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EEB20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F0657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F7A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4409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CE1EFF" w14:textId="77777777" w:rsidR="00776708" w:rsidRPr="00776708" w:rsidRDefault="00776708" w:rsidP="00776708"/>
        </w:tc>
      </w:tr>
      <w:tr w:rsidR="00776708" w:rsidRPr="00776708" w14:paraId="28B0B5F2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E3B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B559F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0777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35A95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6DDD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CA8DDA" w14:textId="77777777" w:rsidR="00776708" w:rsidRPr="00776708" w:rsidRDefault="00776708" w:rsidP="00776708"/>
        </w:tc>
      </w:tr>
      <w:tr w:rsidR="00776708" w:rsidRPr="00776708" w14:paraId="05F79774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0BEE9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8BAC0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123E0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A373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457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68D672" w14:textId="77777777" w:rsidR="00776708" w:rsidRPr="00776708" w:rsidRDefault="00776708" w:rsidP="00776708"/>
        </w:tc>
      </w:tr>
      <w:tr w:rsidR="00776708" w:rsidRPr="00776708" w14:paraId="7C69C1FB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EDE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933B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23AD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9176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30868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F656B8" w14:textId="77777777" w:rsidR="00776708" w:rsidRPr="00776708" w:rsidRDefault="00776708" w:rsidP="00776708"/>
        </w:tc>
      </w:tr>
      <w:tr w:rsidR="00776708" w:rsidRPr="00776708" w14:paraId="7A74ABAE" w14:textId="77777777" w:rsidTr="00776708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3C508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A6759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B97F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12C9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8FC4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6395C0" w14:textId="77777777" w:rsidR="00776708" w:rsidRPr="00776708" w:rsidRDefault="00776708" w:rsidP="00776708"/>
        </w:tc>
      </w:tr>
      <w:tr w:rsidR="00776708" w:rsidRPr="00776708" w14:paraId="61C36027" w14:textId="77777777" w:rsidTr="00776708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B369B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AD70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76DD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FCE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C8A1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2AF344" w14:textId="77777777" w:rsidR="00776708" w:rsidRPr="00776708" w:rsidRDefault="00776708" w:rsidP="00776708"/>
        </w:tc>
      </w:tr>
      <w:tr w:rsidR="00776708" w:rsidRPr="00776708" w14:paraId="5A907AD0" w14:textId="77777777" w:rsidTr="00776708">
        <w:trPr>
          <w:trHeight w:val="315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99F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DAB0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482DC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CDB23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F7D72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2C4CF0" w14:textId="77777777" w:rsidR="00776708" w:rsidRPr="00776708" w:rsidRDefault="00776708" w:rsidP="00776708"/>
        </w:tc>
      </w:tr>
      <w:tr w:rsidR="00776708" w:rsidRPr="00776708" w14:paraId="75D36932" w14:textId="77777777" w:rsidTr="00776708">
        <w:trPr>
          <w:trHeight w:val="1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5F6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6E40" w14:textId="77777777" w:rsidR="00776708" w:rsidRPr="00776708" w:rsidRDefault="00776708" w:rsidP="00776708"/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7A1E" w14:textId="77777777" w:rsidR="00776708" w:rsidRPr="00776708" w:rsidRDefault="00776708" w:rsidP="00776708"/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E2E" w14:textId="77777777" w:rsidR="00776708" w:rsidRPr="00776708" w:rsidRDefault="00776708" w:rsidP="00776708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892A" w14:textId="77777777" w:rsidR="00776708" w:rsidRPr="00776708" w:rsidRDefault="00776708" w:rsidP="00776708"/>
        </w:tc>
        <w:tc>
          <w:tcPr>
            <w:tcW w:w="36" w:type="dxa"/>
            <w:vAlign w:val="center"/>
            <w:hideMark/>
          </w:tcPr>
          <w:p w14:paraId="0F5CCA8E" w14:textId="77777777" w:rsidR="00776708" w:rsidRPr="00776708" w:rsidRDefault="00776708" w:rsidP="00776708"/>
        </w:tc>
      </w:tr>
      <w:tr w:rsidR="00776708" w:rsidRPr="00776708" w14:paraId="5C82CDAA" w14:textId="77777777" w:rsidTr="00776708">
        <w:trPr>
          <w:trHeight w:val="300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AB89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Dopravce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C70B9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výnos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za výkony v IDS JK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D4DC3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podíl dopravců </w:t>
            </w: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 mnou prodaných kuponů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02B0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Bilance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367" w14:textId="77777777" w:rsidR="00776708" w:rsidRPr="00776708" w:rsidRDefault="00776708" w:rsidP="00776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42128B9D" w14:textId="77777777" w:rsidR="00776708" w:rsidRPr="00776708" w:rsidRDefault="00776708" w:rsidP="00776708"/>
        </w:tc>
      </w:tr>
      <w:tr w:rsidR="00776708" w:rsidRPr="00776708" w14:paraId="63E46669" w14:textId="77777777" w:rsidTr="00776708">
        <w:trPr>
          <w:trHeight w:val="315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8E57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83051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279B4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3C5E7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351D" w14:textId="77777777" w:rsidR="00776708" w:rsidRPr="00776708" w:rsidRDefault="00776708" w:rsidP="00776708"/>
        </w:tc>
        <w:tc>
          <w:tcPr>
            <w:tcW w:w="36" w:type="dxa"/>
            <w:vAlign w:val="center"/>
            <w:hideMark/>
          </w:tcPr>
          <w:p w14:paraId="052E7FAB" w14:textId="77777777" w:rsidR="00776708" w:rsidRPr="00776708" w:rsidRDefault="00776708" w:rsidP="00776708"/>
        </w:tc>
      </w:tr>
      <w:tr w:rsidR="00776708" w:rsidRPr="00776708" w14:paraId="0492F763" w14:textId="77777777" w:rsidTr="00776708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B930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479E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268CA" w14:textId="77777777" w:rsidR="00776708" w:rsidRPr="00776708" w:rsidRDefault="00776708" w:rsidP="00776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AF8E7" w14:textId="77777777" w:rsidR="00776708" w:rsidRPr="00776708" w:rsidRDefault="00776708" w:rsidP="00776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67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A8DB" w14:textId="77777777" w:rsidR="00776708" w:rsidRPr="00776708" w:rsidRDefault="00776708" w:rsidP="00776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D79CBF9" w14:textId="77777777" w:rsidR="00776708" w:rsidRPr="00776708" w:rsidRDefault="00776708" w:rsidP="00776708"/>
        </w:tc>
      </w:tr>
    </w:tbl>
    <w:p w14:paraId="10D3DA58" w14:textId="77777777" w:rsidR="00776708" w:rsidRPr="00776708" w:rsidRDefault="00776708" w:rsidP="00776708">
      <w:pPr>
        <w:jc w:val="both"/>
        <w:rPr>
          <w:rFonts w:asciiTheme="minorHAnsi" w:eastAsiaTheme="majorEastAsia" w:hAnsiTheme="minorHAnsi"/>
          <w:sz w:val="24"/>
          <w:szCs w:val="24"/>
        </w:rPr>
      </w:pPr>
    </w:p>
    <w:sectPr w:rsidR="00776708" w:rsidRPr="00776708" w:rsidSect="00776708">
      <w:pgSz w:w="16838" w:h="11906" w:orient="landscape" w:code="9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8747" w14:textId="77777777" w:rsidR="00534B30" w:rsidRDefault="00534B30">
      <w:r>
        <w:separator/>
      </w:r>
    </w:p>
  </w:endnote>
  <w:endnote w:type="continuationSeparator" w:id="0">
    <w:p w14:paraId="49659E6A" w14:textId="77777777" w:rsidR="00534B30" w:rsidRDefault="0053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314036"/>
      <w:docPartObj>
        <w:docPartGallery w:val="Page Numbers (Bottom of Page)"/>
        <w:docPartUnique/>
      </w:docPartObj>
    </w:sdtPr>
    <w:sdtEndPr/>
    <w:sdtContent>
      <w:p w14:paraId="119FF020" w14:textId="046B05B9" w:rsidR="007D1BA8" w:rsidRDefault="007D1B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38817" w14:textId="77777777" w:rsidR="007D1BA8" w:rsidRDefault="007D1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A70A" w14:textId="77777777" w:rsidR="00534B30" w:rsidRDefault="00534B30">
      <w:r>
        <w:separator/>
      </w:r>
    </w:p>
  </w:footnote>
  <w:footnote w:type="continuationSeparator" w:id="0">
    <w:p w14:paraId="4F85C7F6" w14:textId="77777777" w:rsidR="00534B30" w:rsidRDefault="0053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8B45" w14:textId="77777777" w:rsidR="00FB5114" w:rsidRDefault="00534B30">
    <w:pPr>
      <w:pStyle w:val="Zhlav"/>
    </w:pPr>
  </w:p>
  <w:p w14:paraId="645ECE2D" w14:textId="77777777" w:rsidR="00FB5114" w:rsidRDefault="00534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60699"/>
    <w:multiLevelType w:val="multilevel"/>
    <w:tmpl w:val="41D4C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758428A7"/>
    <w:multiLevelType w:val="hybridMultilevel"/>
    <w:tmpl w:val="3404FAB6"/>
    <w:lvl w:ilvl="0" w:tplc="C96E3C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09C8B98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9A"/>
    <w:rsid w:val="0000335E"/>
    <w:rsid w:val="000B2519"/>
    <w:rsid w:val="000E0D6E"/>
    <w:rsid w:val="0013163D"/>
    <w:rsid w:val="001D4D71"/>
    <w:rsid w:val="00236382"/>
    <w:rsid w:val="002D24F0"/>
    <w:rsid w:val="002E71F8"/>
    <w:rsid w:val="00335E01"/>
    <w:rsid w:val="00341B5A"/>
    <w:rsid w:val="003456EA"/>
    <w:rsid w:val="003B3F09"/>
    <w:rsid w:val="004558A4"/>
    <w:rsid w:val="004607FC"/>
    <w:rsid w:val="00474BEF"/>
    <w:rsid w:val="004E5C7F"/>
    <w:rsid w:val="00534B30"/>
    <w:rsid w:val="005B2C6B"/>
    <w:rsid w:val="005E0F04"/>
    <w:rsid w:val="00707D96"/>
    <w:rsid w:val="007321DD"/>
    <w:rsid w:val="00762771"/>
    <w:rsid w:val="00776708"/>
    <w:rsid w:val="007D1BA8"/>
    <w:rsid w:val="0086609A"/>
    <w:rsid w:val="00965239"/>
    <w:rsid w:val="009A7FA5"/>
    <w:rsid w:val="00A62E88"/>
    <w:rsid w:val="00AC5851"/>
    <w:rsid w:val="00C47A37"/>
    <w:rsid w:val="00D43DD5"/>
    <w:rsid w:val="00D47C9A"/>
    <w:rsid w:val="00D71CE0"/>
    <w:rsid w:val="00DE4BAE"/>
    <w:rsid w:val="00E519E5"/>
    <w:rsid w:val="00E8277E"/>
    <w:rsid w:val="00F00646"/>
    <w:rsid w:val="00F94990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7461"/>
  <w15:docId w15:val="{D21EC19D-9822-4466-B135-8C4C6F76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C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7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7C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 odrážkami,Odstavec se seznamem1"/>
    <w:basedOn w:val="Normln"/>
    <w:link w:val="OdstavecseseznamemChar"/>
    <w:uiPriority w:val="34"/>
    <w:qFormat/>
    <w:rsid w:val="00D47C9A"/>
    <w:pPr>
      <w:ind w:left="720"/>
      <w:contextualSpacing/>
    </w:pPr>
  </w:style>
  <w:style w:type="character" w:customStyle="1" w:styleId="OdstavecseseznamemChar">
    <w:name w:val="Odstavec se seznamem Char"/>
    <w:aliases w:val="Odstavec s odrážkami Char,Odstavec se seznamem1 Char"/>
    <w:basedOn w:val="Standardnpsmoodstavce"/>
    <w:link w:val="Odstavecseseznamem"/>
    <w:uiPriority w:val="34"/>
    <w:locked/>
    <w:rsid w:val="00D47C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62E88"/>
    <w:pPr>
      <w:spacing w:after="200"/>
    </w:pPr>
    <w:rPr>
      <w:b/>
      <w:bCs/>
      <w:color w:val="4F81BD" w:themeColor="accent1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7D1B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1B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1736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</dc:creator>
  <cp:lastModifiedBy>Jikord Jikord</cp:lastModifiedBy>
  <cp:revision>15</cp:revision>
  <dcterms:created xsi:type="dcterms:W3CDTF">2018-08-12T18:56:00Z</dcterms:created>
  <dcterms:modified xsi:type="dcterms:W3CDTF">2021-11-03T09:41:00Z</dcterms:modified>
</cp:coreProperties>
</file>