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4E674E" w:rsidRDefault="0028677E" w:rsidP="0028677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č. smlouvy zadavatele: 2017-00009/ORI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JUDr. Jaroslav Bursík, advokát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ev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. č. ČAK </w:t>
      </w:r>
      <w:r w:rsidRPr="00524342">
        <w:rPr>
          <w:rFonts w:ascii="Tahoma" w:hAnsi="Tahoma" w:cs="Tahoma"/>
          <w:b/>
          <w:bCs/>
          <w:sz w:val="20"/>
          <w:szCs w:val="20"/>
        </w:rPr>
        <w:t>09822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hr-H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Bursík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F2019">
        <w:rPr>
          <w:rFonts w:ascii="Tahoma" w:hAnsi="Tahoma" w:cs="Tahoma"/>
          <w:b/>
          <w:bCs/>
          <w:sz w:val="20"/>
          <w:szCs w:val="20"/>
        </w:rPr>
        <w:t>&amp;</w:t>
      </w:r>
      <w:r>
        <w:rPr>
          <w:rFonts w:ascii="Tahoma" w:hAnsi="Tahoma" w:cs="Tahoma"/>
          <w:b/>
          <w:bCs/>
          <w:sz w:val="20"/>
          <w:szCs w:val="20"/>
          <w:lang w:val="hr-HR"/>
        </w:rPr>
        <w:t xml:space="preserve"> Grafnetter, advokátní kanceláři</w:t>
      </w:r>
    </w:p>
    <w:p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 xml:space="preserve">Belgická </w:t>
      </w:r>
      <w:r w:rsidR="00777EBE">
        <w:rPr>
          <w:rFonts w:ascii="Tahoma" w:hAnsi="Tahoma" w:cs="Tahoma"/>
          <w:sz w:val="20"/>
          <w:szCs w:val="20"/>
        </w:rPr>
        <w:t>196/</w:t>
      </w:r>
      <w:r w:rsidRPr="00524342">
        <w:rPr>
          <w:rFonts w:ascii="Tahoma" w:hAnsi="Tahoma" w:cs="Tahoma"/>
          <w:sz w:val="20"/>
          <w:szCs w:val="20"/>
        </w:rPr>
        <w:t>38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120 00</w:t>
      </w:r>
      <w:r>
        <w:rPr>
          <w:rFonts w:ascii="Tahoma" w:hAnsi="Tahoma" w:cs="Tahoma"/>
          <w:sz w:val="20"/>
          <w:szCs w:val="20"/>
        </w:rPr>
        <w:t>, Praha 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691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81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560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CZ7505070463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Pr="00D37E7D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D37E7D">
        <w:rPr>
          <w:rFonts w:ascii="Tahoma" w:hAnsi="Tahoma" w:cs="Tahoma"/>
          <w:sz w:val="20"/>
          <w:szCs w:val="20"/>
        </w:rPr>
        <w:t>vyhl</w:t>
      </w:r>
      <w:proofErr w:type="spellEnd"/>
      <w:r w:rsidRPr="00D37E7D">
        <w:rPr>
          <w:rFonts w:ascii="Tahoma" w:hAnsi="Tahoma" w:cs="Tahoma"/>
          <w:sz w:val="20"/>
          <w:szCs w:val="20"/>
        </w:rPr>
        <w:t>. č. 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6F3CA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Předmětem této smlouvy je ze strany advokáta na základě požadavků klienta úplatné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poskytování právních služeb klientovi jako zadavateli veřejných zakázek (dále jen „VZ“) dle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zákona č. 13</w:t>
      </w:r>
      <w:r w:rsidR="006B12C8">
        <w:rPr>
          <w:rFonts w:ascii="Tahoma" w:hAnsi="Tahoma" w:cs="Tahoma"/>
          <w:sz w:val="20"/>
          <w:szCs w:val="20"/>
        </w:rPr>
        <w:t>4</w:t>
      </w:r>
      <w:r w:rsidRPr="00D37E7D">
        <w:rPr>
          <w:rFonts w:ascii="Tahoma" w:hAnsi="Tahoma" w:cs="Tahoma"/>
          <w:sz w:val="20"/>
          <w:szCs w:val="20"/>
        </w:rPr>
        <w:t>/20</w:t>
      </w:r>
      <w:r w:rsidR="006B12C8"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6 Sb., o </w:t>
      </w:r>
      <w:r w:rsidR="006B12C8">
        <w:rPr>
          <w:rFonts w:ascii="Tahoma" w:hAnsi="Tahoma" w:cs="Tahoma"/>
          <w:sz w:val="20"/>
          <w:szCs w:val="20"/>
        </w:rPr>
        <w:t xml:space="preserve">zadávání </w:t>
      </w:r>
      <w:r w:rsidRPr="00D37E7D">
        <w:rPr>
          <w:rFonts w:ascii="Tahoma" w:hAnsi="Tahoma" w:cs="Tahoma"/>
          <w:sz w:val="20"/>
          <w:szCs w:val="20"/>
        </w:rPr>
        <w:t>veřejných zakáz</w:t>
      </w:r>
      <w:r w:rsidR="006B12C8">
        <w:rPr>
          <w:rFonts w:ascii="Tahoma" w:hAnsi="Tahoma" w:cs="Tahoma"/>
          <w:sz w:val="20"/>
          <w:szCs w:val="20"/>
        </w:rPr>
        <w:t>ek</w:t>
      </w:r>
      <w:r w:rsidRPr="00D37E7D">
        <w:rPr>
          <w:rFonts w:ascii="Tahoma" w:hAnsi="Tahoma" w:cs="Tahoma"/>
          <w:sz w:val="20"/>
          <w:szCs w:val="20"/>
        </w:rPr>
        <w:t>, v</w:t>
      </w:r>
      <w:r w:rsidR="006B12C8">
        <w:rPr>
          <w:rFonts w:ascii="Tahoma" w:hAnsi="Tahoma" w:cs="Tahoma"/>
          <w:sz w:val="20"/>
          <w:szCs w:val="20"/>
        </w:rPr>
        <w:t xml:space="preserve"> účinném znění</w:t>
      </w:r>
      <w:r w:rsidRPr="00D37E7D">
        <w:rPr>
          <w:rFonts w:ascii="Tahoma" w:hAnsi="Tahoma" w:cs="Tahoma"/>
          <w:sz w:val="20"/>
          <w:szCs w:val="20"/>
        </w:rPr>
        <w:t xml:space="preserve"> (dále jen „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ZVZ“),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to komplexní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</w:t>
      </w:r>
      <w:r w:rsidR="00B6592B">
        <w:rPr>
          <w:rFonts w:ascii="Tahoma" w:hAnsi="Tahoma" w:cs="Tahoma"/>
          <w:sz w:val="20"/>
          <w:szCs w:val="20"/>
        </w:rPr>
        <w:t xml:space="preserve"> podlimitní veřejné zakázky na stavební práce</w:t>
      </w:r>
      <w:r w:rsidR="006F3CA5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zadávan</w:t>
      </w:r>
      <w:r>
        <w:rPr>
          <w:rFonts w:ascii="Tahoma" w:hAnsi="Tahoma" w:cs="Tahoma"/>
          <w:sz w:val="20"/>
          <w:szCs w:val="20"/>
        </w:rPr>
        <w:t>é</w:t>
      </w:r>
      <w:r w:rsidRPr="00D37E7D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282AA8">
        <w:rPr>
          <w:rFonts w:ascii="Tahoma" w:hAnsi="Tahoma" w:cs="Tahoma"/>
          <w:sz w:val="20"/>
          <w:szCs w:val="20"/>
        </w:rPr>
        <w:t>v</w:t>
      </w:r>
      <w:r w:rsidR="006B12C8">
        <w:rPr>
          <w:rFonts w:ascii="Tahoma" w:hAnsi="Tahoma" w:cs="Tahoma"/>
          <w:sz w:val="20"/>
          <w:szCs w:val="20"/>
        </w:rPr>
        <w:t>e zjednodušeném podlimitním</w:t>
      </w:r>
      <w:r w:rsidR="00282AA8">
        <w:rPr>
          <w:rFonts w:ascii="Tahoma" w:hAnsi="Tahoma" w:cs="Tahoma"/>
          <w:sz w:val="20"/>
          <w:szCs w:val="20"/>
        </w:rPr>
        <w:t xml:space="preserve"> režimu</w:t>
      </w:r>
      <w:r w:rsidR="006F3CA5" w:rsidRPr="006F3CA5">
        <w:rPr>
          <w:rFonts w:ascii="Tahoma" w:hAnsi="Tahoma" w:cs="Tahoma"/>
          <w:sz w:val="20"/>
          <w:szCs w:val="20"/>
        </w:rPr>
        <w:t xml:space="preserve"> dle § </w:t>
      </w:r>
      <w:r w:rsidR="006B12C8">
        <w:rPr>
          <w:rFonts w:ascii="Tahoma" w:hAnsi="Tahoma" w:cs="Tahoma"/>
          <w:sz w:val="20"/>
          <w:szCs w:val="20"/>
        </w:rPr>
        <w:t>53</w:t>
      </w:r>
      <w:r w:rsidR="006F3CA5" w:rsidRPr="006F3CA5">
        <w:rPr>
          <w:rFonts w:ascii="Tahoma" w:hAnsi="Tahoma" w:cs="Tahoma"/>
          <w:sz w:val="20"/>
          <w:szCs w:val="20"/>
        </w:rPr>
        <w:t xml:space="preserve"> </w:t>
      </w:r>
      <w:r w:rsidR="006B12C8">
        <w:rPr>
          <w:rFonts w:ascii="Tahoma" w:hAnsi="Tahoma" w:cs="Tahoma"/>
          <w:sz w:val="20"/>
          <w:szCs w:val="20"/>
        </w:rPr>
        <w:t>Z</w:t>
      </w:r>
      <w:r w:rsidR="006F3CA5">
        <w:rPr>
          <w:rFonts w:ascii="Tahoma" w:hAnsi="Tahoma" w:cs="Tahoma"/>
          <w:sz w:val="20"/>
          <w:szCs w:val="20"/>
        </w:rPr>
        <w:t>ZVZ,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s tím související poskytování právních porad, konzultací, sepisování právních písemností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rozborů v rámci vyřizování právní agendy klienta jako zadavatele VZ zadávaných dle 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 ve vztahu k veřejné zakázce „</w:t>
      </w:r>
      <w:r w:rsidR="00217630" w:rsidRPr="00217630">
        <w:rPr>
          <w:rFonts w:ascii="Tahoma" w:hAnsi="Tahoma" w:cs="Tahoma"/>
          <w:sz w:val="20"/>
          <w:szCs w:val="20"/>
        </w:rPr>
        <w:t>Karlovy Vary, Rekonstrukce ulice U podjezdu – I. etapa</w:t>
      </w:r>
      <w:r>
        <w:rPr>
          <w:rFonts w:ascii="Tahoma" w:hAnsi="Tahoma" w:cs="Tahoma"/>
          <w:sz w:val="20"/>
          <w:szCs w:val="20"/>
        </w:rPr>
        <w:t>“</w:t>
      </w:r>
      <w:r w:rsidR="00217630">
        <w:rPr>
          <w:rFonts w:ascii="Tahoma" w:hAnsi="Tahoma" w:cs="Tahoma"/>
          <w:sz w:val="20"/>
          <w:szCs w:val="20"/>
        </w:rPr>
        <w:t>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 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855BD4" w:rsidRDefault="00855BD4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855BD4" w:rsidRDefault="00855BD4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lastRenderedPageBreak/>
        <w:t xml:space="preserve">konzultace při tvorbě zadávacích podmínek z hlediska právního (netýká se zpracování technických podkladů či podmínek, z jejichž povahy vyplývá, že k jejich sestavení či 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zajištění veškerých uveřejnění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ZVZ.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Pr="003930C2">
        <w:rPr>
          <w:rFonts w:ascii="Tahoma" w:hAnsi="Tahoma" w:cs="Tahoma"/>
          <w:sz w:val="20"/>
          <w:szCs w:val="20"/>
        </w:rPr>
        <w:t xml:space="preserve"> a 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 xml:space="preserve">rozhodnutí správního orgánu soudem dle § 244 a </w:t>
      </w:r>
      <w:proofErr w:type="spellStart"/>
      <w:r w:rsidRPr="003930C2">
        <w:rPr>
          <w:rFonts w:ascii="Tahoma" w:hAnsi="Tahoma" w:cs="Tahoma"/>
          <w:sz w:val="20"/>
          <w:szCs w:val="20"/>
        </w:rPr>
        <w:t>násl</w:t>
      </w:r>
      <w:proofErr w:type="spellEnd"/>
      <w:r w:rsidRPr="003930C2">
        <w:rPr>
          <w:rFonts w:ascii="Tahoma" w:hAnsi="Tahoma" w:cs="Tahoma"/>
          <w:sz w:val="20"/>
          <w:szCs w:val="20"/>
        </w:rPr>
        <w:t>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C54FC3">
        <w:rPr>
          <w:rFonts w:ascii="Tahoma" w:hAnsi="Tahoma" w:cs="Tahoma"/>
          <w:sz w:val="20"/>
          <w:szCs w:val="20"/>
        </w:rPr>
        <w:t>5</w:t>
      </w:r>
      <w:r w:rsidR="0022030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 xml:space="preserve">, že v případě zrušení zadávacího řízení do okamžiku otevírání obálek přísluší advokátovi poměrná část paušální odměny dle čl. 2.1 ve výši 50%. Zrušení řízení v následujících fázích 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A8427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Pr="00D37E7D">
        <w:rPr>
          <w:rFonts w:ascii="Tahoma" w:hAnsi="Tahoma" w:cs="Tahoma"/>
          <w:sz w:val="20"/>
          <w:szCs w:val="20"/>
        </w:rPr>
        <w:t xml:space="preserve">a to tak, že do 10.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klient daňový doklad (fakturu) s 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 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odpovídá za soulad faktur s účetními a 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obou smluvních stran přiměřeně z § 2430 a </w:t>
      </w:r>
      <w:proofErr w:type="spellStart"/>
      <w:r w:rsidRPr="00D37E7D">
        <w:rPr>
          <w:rFonts w:ascii="Tahoma" w:hAnsi="Tahoma" w:cs="Tahoma"/>
          <w:sz w:val="20"/>
          <w:szCs w:val="20"/>
        </w:rPr>
        <w:t>násl</w:t>
      </w:r>
      <w:proofErr w:type="spellEnd"/>
      <w:r w:rsidRPr="00D37E7D">
        <w:rPr>
          <w:rFonts w:ascii="Tahoma" w:hAnsi="Tahoma" w:cs="Tahoma"/>
          <w:sz w:val="20"/>
          <w:szCs w:val="20"/>
        </w:rPr>
        <w:t>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F744F2" w:rsidRDefault="00F744F2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 xml:space="preserve">, činí 60 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výpovědí kteroukoliv ze smluvních stran s 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vylučovaly, neuvedly se vzájemně v omyl a 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 dnem od dodání.</w:t>
      </w:r>
    </w:p>
    <w:p w:rsidR="004E674E" w:rsidRDefault="004E674E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a účinnosti dnem podpisu posledním z účastníků této smlouvy.</w:t>
      </w:r>
    </w:p>
    <w:p w:rsidR="004E674E" w:rsidRDefault="004E674E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A8427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>tatutární město Karlovy Vary je podle § 2 odst. 1, písm. d) zák. č. 340/2015 Sb., o zvláštních podmínkách účinnosti některých smluv, uveřejňování těchto smluv a o registru smluv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 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 xml:space="preserve">jsou si vědomy všech povinností, které z citovaného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Karlových Varech dne </w:t>
      </w:r>
      <w:proofErr w:type="gramStart"/>
      <w:r w:rsidR="004C5F5F">
        <w:rPr>
          <w:rFonts w:ascii="Tahoma" w:hAnsi="Tahoma" w:cs="Tahoma"/>
          <w:sz w:val="20"/>
          <w:szCs w:val="20"/>
        </w:rPr>
        <w:t>27.3.2017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Praze dne </w:t>
      </w:r>
      <w:r w:rsidR="004C5F5F">
        <w:rPr>
          <w:rFonts w:ascii="Tahoma" w:hAnsi="Tahoma" w:cs="Tahoma"/>
          <w:sz w:val="20"/>
          <w:szCs w:val="20"/>
        </w:rPr>
        <w:t>27.3.2017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  <w:r w:rsidR="004E674E">
        <w:rPr>
          <w:rFonts w:ascii="Tahoma" w:hAnsi="Tahoma" w:cs="Tahoma"/>
          <w:b/>
          <w:sz w:val="20"/>
          <w:szCs w:val="20"/>
        </w:rPr>
        <w:t>JUDr. Jaroslav Bursík, advokát</w:t>
      </w:r>
    </w:p>
    <w:p w:rsidR="00D52508" w:rsidRPr="009D6D3A" w:rsidRDefault="00A674EE" w:rsidP="004E674E">
      <w:r w:rsidRPr="00A84272">
        <w:rPr>
          <w:rFonts w:ascii="Tahoma" w:hAnsi="Tahoma" w:cs="Tahoma"/>
          <w:sz w:val="20"/>
          <w:szCs w:val="20"/>
        </w:rPr>
        <w:t xml:space="preserve">         </w:t>
      </w:r>
      <w:bookmarkStart w:id="0" w:name="_GoBack"/>
      <w:bookmarkEnd w:id="0"/>
      <w:r w:rsidR="009D6D3A">
        <w:rPr>
          <w:rFonts w:ascii="Tahoma" w:hAnsi="Tahoma" w:cs="Tahoma"/>
          <w:sz w:val="20"/>
          <w:szCs w:val="20"/>
        </w:rPr>
        <w:t xml:space="preserve">     </w:t>
      </w:r>
      <w:r w:rsidRPr="00A84272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4E674E"/>
    <w:rsid w:val="00022AF8"/>
    <w:rsid w:val="00043FA2"/>
    <w:rsid w:val="00067B73"/>
    <w:rsid w:val="000B2BAA"/>
    <w:rsid w:val="000C71F3"/>
    <w:rsid w:val="00172A19"/>
    <w:rsid w:val="001736B0"/>
    <w:rsid w:val="001A1F54"/>
    <w:rsid w:val="001E3252"/>
    <w:rsid w:val="002073A9"/>
    <w:rsid w:val="00217630"/>
    <w:rsid w:val="00220307"/>
    <w:rsid w:val="00246D01"/>
    <w:rsid w:val="00282AA8"/>
    <w:rsid w:val="0028677E"/>
    <w:rsid w:val="00291275"/>
    <w:rsid w:val="002A6E66"/>
    <w:rsid w:val="002B1B1E"/>
    <w:rsid w:val="002B58B6"/>
    <w:rsid w:val="002D4CCC"/>
    <w:rsid w:val="003113ED"/>
    <w:rsid w:val="00355D7D"/>
    <w:rsid w:val="00355FCE"/>
    <w:rsid w:val="00387F7F"/>
    <w:rsid w:val="003F6724"/>
    <w:rsid w:val="004331BF"/>
    <w:rsid w:val="00464037"/>
    <w:rsid w:val="004C5F5F"/>
    <w:rsid w:val="004E674E"/>
    <w:rsid w:val="004F733F"/>
    <w:rsid w:val="00531892"/>
    <w:rsid w:val="00551CC4"/>
    <w:rsid w:val="005D67A0"/>
    <w:rsid w:val="005E4913"/>
    <w:rsid w:val="0062308D"/>
    <w:rsid w:val="00626350"/>
    <w:rsid w:val="00637F90"/>
    <w:rsid w:val="00650096"/>
    <w:rsid w:val="006860BC"/>
    <w:rsid w:val="006B12C8"/>
    <w:rsid w:val="006C245A"/>
    <w:rsid w:val="006D2FF5"/>
    <w:rsid w:val="006F3CA5"/>
    <w:rsid w:val="00733B8D"/>
    <w:rsid w:val="00777EBE"/>
    <w:rsid w:val="007F511B"/>
    <w:rsid w:val="00855BD4"/>
    <w:rsid w:val="00874896"/>
    <w:rsid w:val="00904478"/>
    <w:rsid w:val="00973519"/>
    <w:rsid w:val="00993774"/>
    <w:rsid w:val="009A7647"/>
    <w:rsid w:val="009D6D3A"/>
    <w:rsid w:val="00A674EE"/>
    <w:rsid w:val="00A84272"/>
    <w:rsid w:val="00A85FAD"/>
    <w:rsid w:val="00AE41C5"/>
    <w:rsid w:val="00B6592B"/>
    <w:rsid w:val="00B909CF"/>
    <w:rsid w:val="00BF2019"/>
    <w:rsid w:val="00C061DC"/>
    <w:rsid w:val="00C54FC3"/>
    <w:rsid w:val="00D52508"/>
    <w:rsid w:val="00DA29BD"/>
    <w:rsid w:val="00DA5675"/>
    <w:rsid w:val="00DC787C"/>
    <w:rsid w:val="00DD753F"/>
    <w:rsid w:val="00E16E35"/>
    <w:rsid w:val="00E175F3"/>
    <w:rsid w:val="00E45E48"/>
    <w:rsid w:val="00EA5E87"/>
    <w:rsid w:val="00EB2F34"/>
    <w:rsid w:val="00EF4DEA"/>
    <w:rsid w:val="00F326AF"/>
    <w:rsid w:val="00F610C5"/>
    <w:rsid w:val="00F7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7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B9D4-0900-4696-88EE-2EA8E0FF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2187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kocourek</cp:lastModifiedBy>
  <cp:revision>2</cp:revision>
  <cp:lastPrinted>2017-03-23T13:17:00Z</cp:lastPrinted>
  <dcterms:created xsi:type="dcterms:W3CDTF">2017-03-30T12:31:00Z</dcterms:created>
  <dcterms:modified xsi:type="dcterms:W3CDTF">2017-03-30T12:31:00Z</dcterms:modified>
</cp:coreProperties>
</file>