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25A0FA78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AB0EE3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AB0EE3">
        <w:rPr>
          <w:sz w:val="24"/>
          <w:szCs w:val="24"/>
        </w:rPr>
        <w:t>,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43524C2F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302D0">
        <w:rPr>
          <w:sz w:val="24"/>
          <w:szCs w:val="24"/>
        </w:rPr>
        <w:t>XXXX</w:t>
      </w:r>
    </w:p>
    <w:p w14:paraId="71BA997E" w14:textId="3DA57526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302D0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589CE5B5" w14:textId="0EB8D71C" w:rsidR="00AB0EE3" w:rsidRDefault="00A66240" w:rsidP="000D591D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8302D0">
        <w:rPr>
          <w:rFonts w:ascii="Times New Roman" w:hAnsi="Times New Roman"/>
          <w:sz w:val="24"/>
          <w:szCs w:val="24"/>
        </w:rPr>
        <w:t>XXXX</w:t>
      </w:r>
      <w:r w:rsidR="00AB0EE3">
        <w:rPr>
          <w:rFonts w:ascii="Times New Roman" w:hAnsi="Times New Roman"/>
          <w:sz w:val="24"/>
          <w:szCs w:val="24"/>
        </w:rPr>
        <w:t xml:space="preserve">, </w:t>
      </w:r>
    </w:p>
    <w:p w14:paraId="195CCDDD" w14:textId="308BCA9A" w:rsidR="00A66240" w:rsidRPr="000E78B0" w:rsidRDefault="008302D0" w:rsidP="00AB0EE3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8F60ECA" w14:textId="77777777"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14:paraId="14CEC784" w14:textId="7868410E" w:rsidR="00AB0EE3" w:rsidRDefault="00AB0EE3" w:rsidP="00AB0EE3">
      <w:pPr>
        <w:spacing w:line="100" w:lineRule="atLeast"/>
        <w:rPr>
          <w:b/>
          <w:sz w:val="24"/>
          <w:szCs w:val="24"/>
        </w:rPr>
      </w:pPr>
      <w:r w:rsidRPr="00AB0EE3">
        <w:rPr>
          <w:b/>
          <w:sz w:val="24"/>
          <w:szCs w:val="24"/>
        </w:rPr>
        <w:t xml:space="preserve">IWU, s.r.o. </w:t>
      </w:r>
    </w:p>
    <w:p w14:paraId="7643940F" w14:textId="063485BE" w:rsidR="00A66240" w:rsidRPr="000E78B0" w:rsidRDefault="00A66240" w:rsidP="00AB0EE3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0EE3" w:rsidRPr="00AB0EE3">
        <w:rPr>
          <w:sz w:val="24"/>
          <w:szCs w:val="24"/>
        </w:rPr>
        <w:t>Jana Zajíce 162/21, Bubeneč, 170 00 Praha 7</w:t>
      </w:r>
    </w:p>
    <w:p w14:paraId="1994083A" w14:textId="24ED2BC0" w:rsid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0EE3">
        <w:rPr>
          <w:sz w:val="24"/>
          <w:szCs w:val="24"/>
        </w:rPr>
        <w:t>v obchodním rejstříku u Městského soudu v Praze,</w:t>
      </w:r>
    </w:p>
    <w:p w14:paraId="2BB5A124" w14:textId="469BDE32" w:rsidR="00AB0EE3" w:rsidRPr="000E78B0" w:rsidRDefault="00AB0EE3" w:rsidP="00A6624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oddíl C, vložka 300317</w:t>
      </w:r>
    </w:p>
    <w:p w14:paraId="5F0C4773" w14:textId="1ED55C96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8302D0">
        <w:rPr>
          <w:sz w:val="24"/>
          <w:szCs w:val="24"/>
        </w:rPr>
        <w:t>XXXX</w:t>
      </w:r>
      <w:r w:rsidR="00AB0EE3">
        <w:rPr>
          <w:sz w:val="24"/>
          <w:szCs w:val="24"/>
        </w:rPr>
        <w:t>, jednatelem</w:t>
      </w:r>
    </w:p>
    <w:p w14:paraId="751DF153" w14:textId="6E185334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0EE3" w:rsidRPr="00AB0EE3">
        <w:rPr>
          <w:sz w:val="24"/>
          <w:szCs w:val="24"/>
        </w:rPr>
        <w:t>07395680</w:t>
      </w:r>
    </w:p>
    <w:p w14:paraId="18BFE23C" w14:textId="2F07BBC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0EE3">
        <w:rPr>
          <w:sz w:val="24"/>
          <w:szCs w:val="24"/>
        </w:rPr>
        <w:t>CZ</w:t>
      </w:r>
      <w:r w:rsidR="00AB0EE3" w:rsidRPr="00AB0EE3">
        <w:rPr>
          <w:sz w:val="24"/>
          <w:szCs w:val="24"/>
        </w:rPr>
        <w:t>07395680</w:t>
      </w:r>
    </w:p>
    <w:p w14:paraId="1456CCA0" w14:textId="6A41922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0EE3" w:rsidRPr="00AB0EE3">
        <w:rPr>
          <w:sz w:val="24"/>
          <w:szCs w:val="24"/>
        </w:rPr>
        <w:t>v86ijcz</w:t>
      </w:r>
    </w:p>
    <w:p w14:paraId="60F4CBC6" w14:textId="4CA552D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302D0">
        <w:rPr>
          <w:sz w:val="24"/>
          <w:szCs w:val="24"/>
        </w:rPr>
        <w:t>XXXX</w:t>
      </w:r>
    </w:p>
    <w:p w14:paraId="2A3A46DE" w14:textId="37C6DDF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302D0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1BF5353D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ab/>
      </w:r>
    </w:p>
    <w:p w14:paraId="384944DD" w14:textId="1576024F" w:rsidR="00A66240" w:rsidRDefault="00AB0EE3" w:rsidP="008302D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66240" w:rsidRPr="000E78B0">
        <w:rPr>
          <w:rFonts w:ascii="Times New Roman" w:hAnsi="Times New Roman"/>
          <w:sz w:val="24"/>
          <w:szCs w:val="24"/>
        </w:rPr>
        <w:t>technických:</w:t>
      </w:r>
      <w:r w:rsidR="00A66240"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02D0">
        <w:rPr>
          <w:rFonts w:ascii="Times New Roman" w:hAnsi="Times New Roman"/>
          <w:sz w:val="24"/>
          <w:szCs w:val="24"/>
        </w:rPr>
        <w:t>XXXX¨</w:t>
      </w:r>
    </w:p>
    <w:p w14:paraId="0E48AF33" w14:textId="77777777" w:rsidR="008302D0" w:rsidRPr="000E78B0" w:rsidRDefault="008302D0" w:rsidP="008302D0">
      <w:pPr>
        <w:pStyle w:val="Odstavecseseznamem"/>
        <w:spacing w:after="0" w:line="100" w:lineRule="atLeast"/>
        <w:ind w:left="480"/>
        <w:contextualSpacing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29256C4E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240DF4">
        <w:rPr>
          <w:sz w:val="24"/>
          <w:szCs w:val="24"/>
        </w:rPr>
        <w:t> opravě vstupního schodiště vojenského ubytovacího zařízení (dále jen „VUZ“) Stará Boleslav</w:t>
      </w:r>
      <w:r w:rsidR="00F92CE1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387C0AE0" w14:textId="1AB8B28D" w:rsidR="000B70BA" w:rsidRDefault="00240DF4" w:rsidP="00240DF4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realizace dle zpracované projektové dokumentace „VUZ Stará Boleslav – oprava vstupního schodiště“, kterou zpracovala společnost KT ING s.r.o., IČO: </w:t>
      </w:r>
      <w:r w:rsidRPr="00240DF4">
        <w:rPr>
          <w:rFonts w:ascii="Times New Roman" w:hAnsi="Times New Roman"/>
          <w:sz w:val="24"/>
          <w:szCs w:val="24"/>
        </w:rPr>
        <w:t>24739464</w:t>
      </w:r>
      <w:r>
        <w:rPr>
          <w:rFonts w:ascii="Times New Roman" w:hAnsi="Times New Roman"/>
          <w:sz w:val="24"/>
          <w:szCs w:val="24"/>
        </w:rPr>
        <w:t xml:space="preserve"> a dle oceněného soupisu stavebních prací;</w:t>
      </w:r>
    </w:p>
    <w:p w14:paraId="7D4C39DF" w14:textId="590D1ECD" w:rsidR="000910F2" w:rsidRDefault="00240DF4" w:rsidP="00240DF4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a sanace vstupního schodiště.</w:t>
      </w:r>
    </w:p>
    <w:p w14:paraId="0DFCD4DF" w14:textId="77777777" w:rsidR="00191FFA" w:rsidRDefault="00191FF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1B3D427C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5C6EBA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39EFBD56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240DF4">
        <w:rPr>
          <w:sz w:val="24"/>
          <w:szCs w:val="24"/>
        </w:rPr>
        <w:t>30. 12. 2021</w:t>
      </w:r>
      <w:r w:rsidR="000910F2">
        <w:rPr>
          <w:sz w:val="24"/>
          <w:szCs w:val="24"/>
        </w:rPr>
        <w:t xml:space="preserve"> </w:t>
      </w:r>
      <w:r w:rsidR="00240DF4">
        <w:rPr>
          <w:sz w:val="24"/>
          <w:szCs w:val="24"/>
        </w:rPr>
        <w:t>ode dne předání staveniště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5D3AF0AF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240DF4">
        <w:rPr>
          <w:sz w:val="24"/>
          <w:szCs w:val="24"/>
        </w:rPr>
        <w:t>VUZ Stará Boleslav, Boleslavská 1292, Brandýs nad Labem – Stará Boleslav.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6ABC72A0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AB0EE3">
        <w:rPr>
          <w:b/>
          <w:sz w:val="24"/>
          <w:szCs w:val="24"/>
        </w:rPr>
        <w:t>446 206,57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r w:rsidR="00AB0EE3">
        <w:rPr>
          <w:sz w:val="24"/>
          <w:szCs w:val="24"/>
        </w:rPr>
        <w:t>čtyřistačtyřicetšesttisícdvěstěšest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B0EE3">
        <w:rPr>
          <w:sz w:val="24"/>
          <w:szCs w:val="24"/>
        </w:rPr>
        <w:t>, padesátsedm haléřů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7B0085E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492F62D0" w:rsidR="007F1244" w:rsidRPr="000E78B0" w:rsidRDefault="003B6F68" w:rsidP="007F1244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4D85EECC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4D2E">
        <w:rPr>
          <w:rFonts w:ascii="Times New Roman" w:hAnsi="Times New Roman"/>
          <w:b w:val="0"/>
          <w:i w:val="0"/>
          <w:szCs w:val="24"/>
        </w:rPr>
        <w:t>nedodělků a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 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3B4D2E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7420EB4D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lastRenderedPageBreak/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0D78B93A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541947A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08AD8694" w14:textId="4C3B04DD" w:rsidR="001976C5" w:rsidRPr="000E78B0" w:rsidRDefault="001976C5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14:paraId="4BA64789" w14:textId="10F3AD88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306FE3F9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0D94A3D1" w14:textId="77777777" w:rsidR="003B4D2E" w:rsidRPr="003B4D2E" w:rsidRDefault="005B1AF0" w:rsidP="0082783E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3B4D2E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 w:rsidRPr="003B4D2E">
        <w:rPr>
          <w:rFonts w:ascii="Times New Roman" w:hAnsi="Times New Roman"/>
          <w:sz w:val="24"/>
          <w:szCs w:val="24"/>
        </w:rPr>
        <w:t>je součástí vojenského areálu, práce budou probíhat</w:t>
      </w:r>
      <w:r w:rsidR="003B4D2E" w:rsidRPr="003B4D2E">
        <w:rPr>
          <w:rFonts w:ascii="Times New Roman" w:hAnsi="Times New Roman"/>
          <w:sz w:val="24"/>
          <w:szCs w:val="24"/>
        </w:rPr>
        <w:t xml:space="preserve"> za provozu. </w:t>
      </w:r>
    </w:p>
    <w:p w14:paraId="75192557" w14:textId="1A5D5009" w:rsidR="00255407" w:rsidRPr="003B4D2E" w:rsidRDefault="00255407" w:rsidP="0082783E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4D2E">
        <w:rPr>
          <w:rFonts w:ascii="Times New Roman" w:hAnsi="Times New Roman"/>
          <w:sz w:val="24"/>
          <w:szCs w:val="24"/>
        </w:rPr>
        <w:t xml:space="preserve">Původcem a vlastníkem veškerého odpadu vzniklého při realizace díla se stává zhotovitel dnem podpisu této smlouvy. </w:t>
      </w:r>
      <w:r w:rsidR="008B2A3C" w:rsidRPr="003B4D2E">
        <w:rPr>
          <w:rFonts w:ascii="Times New Roman" w:hAnsi="Times New Roman"/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3B4D2E">
        <w:rPr>
          <w:rFonts w:ascii="Times New Roman" w:hAnsi="Times New Roman"/>
          <w:sz w:val="24"/>
          <w:szCs w:val="24"/>
        </w:rPr>
        <w:t>, přičemž tato cena bude předem schválena objednatelem.</w:t>
      </w:r>
      <w:r w:rsidR="008B2A3C" w:rsidRPr="003B4D2E">
        <w:rPr>
          <w:rFonts w:ascii="Times New Roman" w:hAnsi="Times New Roman"/>
          <w:sz w:val="24"/>
          <w:szCs w:val="24"/>
        </w:rPr>
        <w:t xml:space="preserve"> Doklady o odstranění kovového odpadu budou předány objednateli nejpozději do 8 dnů od odevzdání odpadu, včetně dokladů o výkupu (vážní lístky).</w:t>
      </w:r>
    </w:p>
    <w:p w14:paraId="38593515" w14:textId="563DCD59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</w:t>
      </w:r>
      <w:r w:rsidR="003B4D2E">
        <w:rPr>
          <w:sz w:val="24"/>
          <w:szCs w:val="24"/>
        </w:rPr>
        <w:t xml:space="preserve">ativní poplatky (vytyčení sítí </w:t>
      </w:r>
      <w:r w:rsidRPr="000E78B0">
        <w:rPr>
          <w:sz w:val="24"/>
          <w:szCs w:val="24"/>
        </w:rPr>
        <w:t>atd.) hradí zhotovitel.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1586D863" w:rsidR="00EE4ADA" w:rsidRPr="00EE4ADA" w:rsidRDefault="000E78B0" w:rsidP="00EE4AD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3B4D2E" w:rsidRPr="003B4D2E">
        <w:rPr>
          <w:color w:val="000000"/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54870A7C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6272A200" w14:textId="235B48C3" w:rsidR="00EE4ADA" w:rsidRPr="00361E51" w:rsidRDefault="00EE4ADA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59CE63DC"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14:paraId="5DD9D7BF" w14:textId="22D994B8"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7127FF44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2678C17A"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6C4DD0AF" w14:textId="7BF90DFF" w:rsidR="00037190" w:rsidRPr="00037190" w:rsidRDefault="00347BA5" w:rsidP="003B4D2E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3B4D2E">
        <w:rPr>
          <w:rFonts w:ascii="Times New Roman" w:hAnsi="Times New Roman"/>
          <w:sz w:val="24"/>
          <w:szCs w:val="24"/>
        </w:rPr>
        <w:t>předání a převzetí díla bez vad a nedodělků</w:t>
      </w:r>
      <w:r w:rsidRPr="00347BA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0363277B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0B6DD1">
        <w:rPr>
          <w:rFonts w:ascii="Times New Roman" w:hAnsi="Times New Roman"/>
          <w:sz w:val="24"/>
          <w:szCs w:val="24"/>
        </w:rPr>
        <w:t>2</w:t>
      </w:r>
      <w:r w:rsidR="003B4D2E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0807C71B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0B6DD1">
        <w:rPr>
          <w:rFonts w:ascii="Times New Roman" w:hAnsi="Times New Roman"/>
          <w:sz w:val="24"/>
          <w:szCs w:val="24"/>
        </w:rPr>
        <w:t>2</w:t>
      </w:r>
      <w:r w:rsidR="003B4D2E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74A6C07F"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0B6DD1">
        <w:rPr>
          <w:rFonts w:ascii="Times New Roman" w:hAnsi="Times New Roman"/>
          <w:sz w:val="24"/>
          <w:szCs w:val="24"/>
        </w:rPr>
        <w:t>3</w:t>
      </w:r>
      <w:r w:rsidR="003B4D2E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25CDEF11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0B6DD1">
        <w:rPr>
          <w:rFonts w:ascii="Times New Roman" w:hAnsi="Times New Roman"/>
          <w:sz w:val="24"/>
          <w:szCs w:val="24"/>
        </w:rPr>
        <w:t>2</w:t>
      </w:r>
      <w:r w:rsidR="003B4D2E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3EEDA2A8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0B6DD1">
        <w:rPr>
          <w:rFonts w:ascii="Times New Roman" w:hAnsi="Times New Roman"/>
          <w:color w:val="000000"/>
          <w:sz w:val="24"/>
          <w:szCs w:val="24"/>
        </w:rPr>
        <w:t>2</w:t>
      </w:r>
      <w:r w:rsidR="003B4D2E" w:rsidRPr="003B4D2E">
        <w:rPr>
          <w:rFonts w:ascii="Times New Roman" w:hAnsi="Times New Roman"/>
          <w:color w:val="000000"/>
          <w:sz w:val="24"/>
          <w:szCs w:val="24"/>
        </w:rPr>
        <w:t>00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3FE4E5B0" w:rsidR="001A6F2A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B6DD1">
        <w:rPr>
          <w:rFonts w:ascii="Times New Roman" w:hAnsi="Times New Roman"/>
          <w:sz w:val="24"/>
          <w:szCs w:val="24"/>
        </w:rPr>
        <w:t>ém znění je stanovena ve výši 5</w:t>
      </w:r>
      <w:r w:rsidRPr="000E78B0">
        <w:rPr>
          <w:rFonts w:ascii="Times New Roman" w:hAnsi="Times New Roman"/>
          <w:sz w:val="24"/>
          <w:szCs w:val="24"/>
        </w:rPr>
        <w:t>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5BAA147B" w14:textId="4F7748B2" w:rsidR="006F0781" w:rsidRPr="006F0781" w:rsidRDefault="006F0781" w:rsidP="006F078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 w:rsidR="000B6DD1">
        <w:rPr>
          <w:rFonts w:ascii="Times New Roman" w:hAnsi="Times New Roman"/>
          <w:sz w:val="24"/>
          <w:szCs w:val="24"/>
        </w:rPr>
        <w:t>čl. VIII. odst. 11</w:t>
      </w:r>
      <w:r>
        <w:rPr>
          <w:rFonts w:ascii="Times New Roman" w:hAnsi="Times New Roman"/>
          <w:sz w:val="24"/>
          <w:szCs w:val="24"/>
        </w:rPr>
        <w:t xml:space="preserve">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0B6DD1">
        <w:rPr>
          <w:rFonts w:ascii="Times New Roman" w:hAnsi="Times New Roman"/>
          <w:sz w:val="24"/>
          <w:szCs w:val="24"/>
        </w:rPr>
        <w:t>2</w:t>
      </w:r>
      <w:r w:rsidR="003B4D2E">
        <w:rPr>
          <w:rFonts w:ascii="Times New Roman" w:hAnsi="Times New Roman"/>
          <w:sz w:val="24"/>
          <w:szCs w:val="24"/>
        </w:rPr>
        <w:t>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66567DB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0DAFE0F2" w:rsidR="000D591D" w:rsidRPr="000E78B0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3B4D2E">
        <w:rPr>
          <w:szCs w:val="24"/>
        </w:rPr>
        <w:t xml:space="preserve">č. 2 – Oceněný soupis </w:t>
      </w:r>
      <w:r w:rsidR="003B4D2E" w:rsidRPr="003B4D2E">
        <w:rPr>
          <w:szCs w:val="24"/>
        </w:rPr>
        <w:t>stavebních prací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1082DF00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AB0EE3">
        <w:rPr>
          <w:sz w:val="24"/>
          <w:szCs w:val="24"/>
        </w:rPr>
        <w:t>Praze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15663879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AB0EE3">
        <w:rPr>
          <w:rFonts w:ascii="Times New Roman" w:hAnsi="Times New Roman"/>
          <w:sz w:val="24"/>
          <w:szCs w:val="24"/>
        </w:rPr>
        <w:t>IWU, s.r.o.</w:t>
      </w:r>
    </w:p>
    <w:p w14:paraId="2E50A4EA" w14:textId="209C09AF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8302D0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7FEEF200" w14:textId="260164DC"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AB0EE3">
        <w:rPr>
          <w:sz w:val="24"/>
          <w:szCs w:val="24"/>
        </w:rPr>
        <w:t>jednatel</w:t>
      </w:r>
      <w:r w:rsidR="00F92CE1"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6A0F1A" w16cid:durableId="24FEB5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C63E" w14:textId="77777777" w:rsidR="00985178" w:rsidRDefault="00985178">
      <w:r>
        <w:separator/>
      </w:r>
    </w:p>
  </w:endnote>
  <w:endnote w:type="continuationSeparator" w:id="0">
    <w:p w14:paraId="490B36C4" w14:textId="77777777" w:rsidR="00985178" w:rsidRDefault="0098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8302D0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A0B5A" w14:textId="77777777" w:rsidR="00985178" w:rsidRDefault="00985178">
      <w:r>
        <w:separator/>
      </w:r>
    </w:p>
  </w:footnote>
  <w:footnote w:type="continuationSeparator" w:id="0">
    <w:p w14:paraId="214CD5EB" w14:textId="77777777" w:rsidR="00985178" w:rsidRDefault="0098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59DE14FC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240DF4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AB0EE3">
      <w:rPr>
        <w:b/>
        <w:sz w:val="24"/>
        <w:szCs w:val="24"/>
      </w:rPr>
      <w:t>370</w:t>
    </w:r>
    <w:r w:rsidRPr="00722094">
      <w:rPr>
        <w:b/>
        <w:sz w:val="24"/>
        <w:szCs w:val="24"/>
      </w:rPr>
      <w:t>-00/</w:t>
    </w:r>
    <w:r w:rsidR="00240DF4">
      <w:rPr>
        <w:b/>
        <w:sz w:val="24"/>
        <w:szCs w:val="24"/>
      </w:rPr>
      <w:t>21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6.5pt" o:ole="">
          <v:imagedata r:id="rId1" o:title=""/>
        </v:shape>
        <o:OLEObject Type="Embed" ProgID="Word.Document.12" ShapeID="_x0000_i1025" DrawAspect="Content" ObjectID="_1697457066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293C3D3D" w:rsidR="00F92CE1" w:rsidRPr="00722094" w:rsidRDefault="003B4D2E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 U</w:t>
    </w:r>
    <w:r w:rsidR="00F92CE1">
      <w:rPr>
        <w:b/>
        <w:sz w:val="24"/>
        <w:szCs w:val="24"/>
      </w:rPr>
      <w:t>-</w:t>
    </w:r>
    <w:r w:rsidR="00AB0EE3">
      <w:rPr>
        <w:b/>
        <w:sz w:val="24"/>
        <w:szCs w:val="24"/>
      </w:rPr>
      <w:t>370</w:t>
    </w:r>
    <w:r w:rsidR="00F92CE1" w:rsidRPr="00722094">
      <w:rPr>
        <w:b/>
        <w:sz w:val="24"/>
        <w:szCs w:val="24"/>
      </w:rPr>
      <w:t>-00/</w:t>
    </w:r>
    <w:r>
      <w:rPr>
        <w:b/>
        <w:sz w:val="24"/>
        <w:szCs w:val="24"/>
      </w:rPr>
      <w:t>21</w:t>
    </w:r>
  </w:p>
  <w:p w14:paraId="513B0EB1" w14:textId="77777777" w:rsidR="00F92CE1" w:rsidRPr="003B5832" w:rsidRDefault="00F92CE1" w:rsidP="003B4D2E">
    <w:pPr>
      <w:pStyle w:val="Zhlav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676.5pt" o:ole="">
          <v:imagedata r:id="rId1" o:title=""/>
        </v:shape>
        <o:OLEObject Type="Embed" ProgID="Word.Document.12" ShapeID="_x0000_i1026" DrawAspect="Content" ObjectID="_169745706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9AE"/>
    <w:rsid w:val="000B6DD1"/>
    <w:rsid w:val="000B70BA"/>
    <w:rsid w:val="000B7C5B"/>
    <w:rsid w:val="000C4430"/>
    <w:rsid w:val="000D591D"/>
    <w:rsid w:val="000D63FC"/>
    <w:rsid w:val="000D7890"/>
    <w:rsid w:val="000D7975"/>
    <w:rsid w:val="000D7E23"/>
    <w:rsid w:val="000E12C3"/>
    <w:rsid w:val="000E78B0"/>
    <w:rsid w:val="000F0469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79A8"/>
    <w:rsid w:val="00231BB5"/>
    <w:rsid w:val="002354D1"/>
    <w:rsid w:val="002368C4"/>
    <w:rsid w:val="00237A30"/>
    <w:rsid w:val="0024096C"/>
    <w:rsid w:val="00240DF4"/>
    <w:rsid w:val="00241028"/>
    <w:rsid w:val="00242275"/>
    <w:rsid w:val="0024417C"/>
    <w:rsid w:val="00245376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4D2E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C6EBA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24C3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02D0"/>
    <w:rsid w:val="00831C13"/>
    <w:rsid w:val="00835B21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1F77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178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0EE3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D015C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2366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40A4-427F-4DBE-A0ED-7549DB4A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3729</Words>
  <Characters>22004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25682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2019-02-22T09:32:00Z</cp:lastPrinted>
  <dcterms:created xsi:type="dcterms:W3CDTF">2021-11-03T14:05:00Z</dcterms:created>
  <dcterms:modified xsi:type="dcterms:W3CDTF">2021-11-03T14:05:00Z</dcterms:modified>
</cp:coreProperties>
</file>