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3235960</wp:posOffset>
            </wp:positionH>
            <wp:positionV relativeFrom="paragraph">
              <wp:posOffset>127000</wp:posOffset>
            </wp:positionV>
            <wp:extent cx="1444625" cy="4508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44625" cy="4508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č.29112/2021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272"/>
        <w:gridCol w:w="7211"/>
      </w:tblGrid>
      <w:tr>
        <w:trPr>
          <w:trHeight w:val="2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72"/>
        <w:gridCol w:w="7211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3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72"/>
        <w:gridCol w:w="7211"/>
      </w:tblGrid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„Zhotovitel“}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2272"/>
        <w:gridCol w:w="7211"/>
      </w:tblGrid>
      <w:tr>
        <w:trPr>
          <w:trHeight w:val="2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Městys Luka nad Jihlavou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 máje 76, 588 22 Luka nad Jihlavou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Viktorem Wólflem - starosta městyse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00286192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..Objednatel"}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05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1" w:val="left"/>
        </w:tabs>
        <w:bidi w:val="0"/>
        <w:spacing w:before="0" w:after="320" w:line="300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rozsahu : pluhování a posyp chemickým materiálem v délce 800,80 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300" w:line="30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300" w:line="30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pozemní komunikaci MK v úseku Luka nad Jihlavou Cihelna — místní část Otín.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III. Doba plnění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zimním období roku 2021/2022, a to konkrétně od 1.11.2021 do 31.3.2022.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 w:line="30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—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62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zimní údržbu pozemních komunikací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338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377" w:left="985" w:right="1389" w:bottom="1270" w:header="949" w:footer="842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1275" distB="533400" distL="114300" distR="5097780" simplePos="0" relativeHeight="125829379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margin">
                  <wp:posOffset>347345</wp:posOffset>
                </wp:positionV>
                <wp:extent cx="902970" cy="1873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97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599999999999994pt;margin-top:27.350000000000001pt;width:71.099999999999994pt;height:14.75pt;z-index:-125829374;mso-wrap-distance-left:9.pt;mso-wrap-distance-top:3.25pt;mso-wrap-distance-right:401.39999999999998pt;mso-wrap-distance-bottom:4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" distB="537845" distL="3303270" distR="1111250" simplePos="0" relativeHeight="125829381" behindDoc="0" locked="0" layoutInCell="1" allowOverlap="1">
                <wp:simplePos x="0" y="0"/>
                <wp:positionH relativeFrom="page">
                  <wp:posOffset>4060190</wp:posOffset>
                </wp:positionH>
                <wp:positionV relativeFrom="margin">
                  <wp:posOffset>342900</wp:posOffset>
                </wp:positionV>
                <wp:extent cx="1700530" cy="1873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Lukách nad Jihlavou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9.69999999999999pt;margin-top:27.pt;width:133.90000000000001pt;height:14.75pt;z-index:-125829372;mso-wrap-distance-left:260.10000000000002pt;mso-wrap-distance-top:2.8999999999999999pt;mso-wrap-distance-right:87.5pt;mso-wrap-distance-bottom:42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Lukách nad Jihlavou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567690" distL="5220970" distR="114300" simplePos="0" relativeHeight="125829383" behindDoc="0" locked="0" layoutInCell="1" allowOverlap="1">
                <wp:simplePos x="0" y="0"/>
                <wp:positionH relativeFrom="page">
                  <wp:posOffset>5977890</wp:posOffset>
                </wp:positionH>
                <wp:positionV relativeFrom="margin">
                  <wp:posOffset>306070</wp:posOffset>
                </wp:positionV>
                <wp:extent cx="779780" cy="1943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978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6 -10- 2021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0.69999999999999pt;margin-top:24.100000000000001pt;width:61.399999999999999pt;height:15.300000000000001pt;z-index:-125829370;mso-wrap-distance-left:411.10000000000002pt;mso-wrap-distance-right:9.pt;mso-wrap-distance-bottom:44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6 -10- 2021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margin">
                  <wp:posOffset>1156970</wp:posOffset>
                </wp:positionV>
                <wp:extent cx="980440" cy="59436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044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Viktor Wolfi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9.10000000000002pt;margin-top:91.099999999999994pt;width:77.200000000000003pt;height:46.799999999999997pt;z-index:-12582936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Viktor Wolfi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Zhotoviteli Ing. Radovan Necid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1.11.2021 do 31.03.2022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037"/>
        <w:gridCol w:w="846"/>
        <w:gridCol w:w="1998"/>
      </w:tblGrid>
      <w:tr>
        <w:trPr>
          <w:trHeight w:val="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I&lt;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01" w:left="1248" w:right="1770" w:bottom="1301" w:header="873" w:footer="8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ind w:firstLine="34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360"/>
      <w:ind w:firstLine="34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