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1ED0" w14:textId="77777777" w:rsidR="007F004C" w:rsidRPr="007F004C" w:rsidRDefault="007F004C" w:rsidP="007F004C">
      <w:pPr>
        <w:spacing w:after="0" w:line="240" w:lineRule="auto"/>
        <w:rPr>
          <w:rFonts w:ascii="Helvetica Neue" w:eastAsia="Times New Roman" w:hAnsi="Helvetica Neue" w:cs="Calibri"/>
          <w:sz w:val="26"/>
          <w:szCs w:val="26"/>
          <w:lang w:eastAsia="cs-CZ"/>
        </w:rPr>
      </w:pPr>
    </w:p>
    <w:p w14:paraId="7C7438C3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ED07C3">
        <w:rPr>
          <w:rFonts w:ascii="Garamond" w:hAnsi="Garamond" w:cs="Arial"/>
          <w:b/>
          <w:sz w:val="28"/>
          <w:szCs w:val="28"/>
        </w:rPr>
        <w:t>SMLOU</w:t>
      </w:r>
      <w:r>
        <w:rPr>
          <w:rFonts w:ascii="Garamond" w:hAnsi="Garamond" w:cs="Arial"/>
          <w:b/>
          <w:sz w:val="28"/>
          <w:szCs w:val="28"/>
        </w:rPr>
        <w:t>V</w:t>
      </w:r>
      <w:r w:rsidRPr="00ED07C3">
        <w:rPr>
          <w:rFonts w:ascii="Garamond" w:hAnsi="Garamond" w:cs="Arial"/>
          <w:b/>
          <w:sz w:val="28"/>
          <w:szCs w:val="28"/>
        </w:rPr>
        <w:t>A O POSKYTOVÁNÍ PRÁVNÍCH SLUŽEB</w:t>
      </w:r>
    </w:p>
    <w:p w14:paraId="11B27AF1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07232AD3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6B2E87C3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Smluvní strany:</w:t>
      </w:r>
    </w:p>
    <w:p w14:paraId="731B3CFF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6A020D7C" w14:textId="2FD15532" w:rsidR="000E33C6" w:rsidRPr="000E33C6" w:rsidRDefault="000E33C6" w:rsidP="000E33C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0E33C6">
        <w:rPr>
          <w:rFonts w:ascii="Garamond" w:hAnsi="Garamond" w:cs="Arial"/>
          <w:sz w:val="24"/>
          <w:szCs w:val="24"/>
        </w:rPr>
        <w:t>1.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0E33C6">
        <w:rPr>
          <w:rFonts w:ascii="Garamond" w:hAnsi="Garamond" w:cs="Arial"/>
          <w:b/>
          <w:sz w:val="24"/>
          <w:szCs w:val="24"/>
        </w:rPr>
        <w:t>SOTES Sokolov spol. s r.o.</w:t>
      </w:r>
      <w:bookmarkStart w:id="0" w:name="_GoBack"/>
      <w:bookmarkEnd w:id="0"/>
    </w:p>
    <w:p w14:paraId="773640E9" w14:textId="77777777" w:rsidR="000E33C6" w:rsidRPr="000E33C6" w:rsidRDefault="000E33C6" w:rsidP="000E33C6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bCs/>
        </w:rPr>
        <w:t xml:space="preserve"> </w:t>
      </w:r>
      <w:r w:rsidRPr="000E33C6">
        <w:rPr>
          <w:rFonts w:ascii="Garamond" w:hAnsi="Garamond" w:cs="Arial"/>
          <w:bCs/>
          <w:sz w:val="24"/>
          <w:szCs w:val="24"/>
        </w:rPr>
        <w:t>IČO: 25248758</w:t>
      </w:r>
    </w:p>
    <w:p w14:paraId="6E8D0722" w14:textId="77777777" w:rsidR="000E33C6" w:rsidRDefault="000E33C6" w:rsidP="000E33C6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0E33C6">
        <w:rPr>
          <w:rFonts w:ascii="Garamond" w:hAnsi="Garamond" w:cs="Arial"/>
          <w:bCs/>
          <w:sz w:val="24"/>
          <w:szCs w:val="24"/>
        </w:rPr>
        <w:t>se sídlem Chebská 1939, 356 01 Sokolov</w:t>
      </w:r>
    </w:p>
    <w:p w14:paraId="235DCDF5" w14:textId="74BF97C2" w:rsidR="00253DCE" w:rsidRDefault="000E33C6" w:rsidP="000E33C6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0E33C6">
        <w:rPr>
          <w:rFonts w:ascii="Garamond" w:hAnsi="Garamond" w:cs="Arial"/>
          <w:bCs/>
          <w:sz w:val="24"/>
          <w:szCs w:val="24"/>
        </w:rPr>
        <w:t>zastoupená jednatelem Mgr. Ladislavem Sedláčkem, nar. 4. 12.1970</w:t>
      </w:r>
      <w:r w:rsidR="00253DCE" w:rsidRPr="004B59EE">
        <w:rPr>
          <w:rFonts w:ascii="Garamond" w:hAnsi="Garamond" w:cs="Arial"/>
          <w:b/>
          <w:sz w:val="24"/>
          <w:szCs w:val="24"/>
        </w:rPr>
        <w:t xml:space="preserve"> </w:t>
      </w:r>
    </w:p>
    <w:p w14:paraId="60B30772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    </w:t>
      </w:r>
    </w:p>
    <w:p w14:paraId="4F317947" w14:textId="77777777" w:rsidR="00253DCE" w:rsidRDefault="00253DCE" w:rsidP="00253DCE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jako klient na straně jedné                               (dále jen </w:t>
      </w:r>
      <w:r>
        <w:rPr>
          <w:rFonts w:ascii="Garamond" w:hAnsi="Garamond" w:cs="Arial"/>
          <w:bCs/>
          <w:sz w:val="24"/>
          <w:szCs w:val="24"/>
        </w:rPr>
        <w:t>jako „</w:t>
      </w:r>
      <w:r w:rsidRPr="00ED07C3">
        <w:rPr>
          <w:rFonts w:ascii="Garamond" w:hAnsi="Garamond" w:cs="Arial"/>
          <w:bCs/>
          <w:sz w:val="24"/>
          <w:szCs w:val="24"/>
        </w:rPr>
        <w:t>klient</w:t>
      </w:r>
      <w:r>
        <w:rPr>
          <w:rFonts w:ascii="Garamond" w:hAnsi="Garamond" w:cs="Arial"/>
          <w:bCs/>
          <w:sz w:val="24"/>
          <w:szCs w:val="24"/>
        </w:rPr>
        <w:t>“</w:t>
      </w:r>
      <w:r w:rsidRPr="00ED07C3">
        <w:rPr>
          <w:rFonts w:ascii="Garamond" w:hAnsi="Garamond" w:cs="Arial"/>
          <w:bCs/>
          <w:sz w:val="24"/>
          <w:szCs w:val="24"/>
        </w:rPr>
        <w:t xml:space="preserve">) </w:t>
      </w:r>
    </w:p>
    <w:p w14:paraId="380682F8" w14:textId="77777777" w:rsidR="00253DCE" w:rsidRPr="00ED07C3" w:rsidRDefault="00253DCE" w:rsidP="00253DCE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14:paraId="6CDB2654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E5A543C" w14:textId="77777777" w:rsidR="00253DCE" w:rsidRPr="001638C4" w:rsidRDefault="00253DCE" w:rsidP="00253DC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2. </w:t>
      </w:r>
      <w:r w:rsidRPr="001638C4">
        <w:rPr>
          <w:rFonts w:ascii="Garamond" w:hAnsi="Garamond" w:cs="Arial"/>
          <w:b/>
          <w:sz w:val="24"/>
          <w:szCs w:val="24"/>
        </w:rPr>
        <w:t>Vlčková a partneři, advokátní kancelář s.r.o.</w:t>
      </w:r>
    </w:p>
    <w:p w14:paraId="5A5E550A" w14:textId="77777777" w:rsidR="00253DCE" w:rsidRPr="001638C4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es-MX"/>
        </w:rPr>
      </w:pPr>
      <w:r w:rsidRPr="001638C4">
        <w:rPr>
          <w:rFonts w:ascii="Garamond" w:hAnsi="Garamond" w:cs="Arial"/>
          <w:bCs/>
          <w:sz w:val="24"/>
          <w:szCs w:val="24"/>
          <w:lang w:val="es-MX"/>
        </w:rPr>
        <w:t>IČ: 08268860</w:t>
      </w:r>
    </w:p>
    <w:p w14:paraId="6FF15944" w14:textId="5E3D4F68" w:rsidR="00253DCE" w:rsidRDefault="00193D18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</w:t>
      </w:r>
      <w:r w:rsidR="00253DCE">
        <w:rPr>
          <w:rFonts w:ascii="Garamond" w:hAnsi="Garamond" w:cs="Arial"/>
          <w:bCs/>
          <w:sz w:val="24"/>
          <w:szCs w:val="24"/>
        </w:rPr>
        <w:t xml:space="preserve">e sídlem: </w:t>
      </w:r>
      <w:r w:rsidR="00253DCE" w:rsidRPr="00ED07C3">
        <w:rPr>
          <w:rFonts w:ascii="Garamond" w:hAnsi="Garamond" w:cs="Arial"/>
          <w:bCs/>
          <w:sz w:val="24"/>
          <w:szCs w:val="24"/>
        </w:rPr>
        <w:t>Jana Masaryka 252/6, Vinohrady, 120 00 Praha 2</w:t>
      </w:r>
    </w:p>
    <w:p w14:paraId="651B0B15" w14:textId="6EBA6945" w:rsidR="00193D18" w:rsidRPr="00ED07C3" w:rsidRDefault="00193D18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pobočka Sokolov: </w:t>
      </w:r>
      <w:r w:rsidRPr="00193D18">
        <w:rPr>
          <w:rFonts w:ascii="Garamond" w:hAnsi="Garamond" w:cs="Arial"/>
          <w:bCs/>
          <w:sz w:val="24"/>
          <w:szCs w:val="24"/>
        </w:rPr>
        <w:t>5. května 714, Sokolov (budova ČSOB)</w:t>
      </w:r>
    </w:p>
    <w:p w14:paraId="18FA707B" w14:textId="77777777" w:rsidR="00253DCE" w:rsidRPr="001638C4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zastoupena paní Mgr. Danielou Vlčkovou, advokátkou, ev. č. ČAK: 13753</w:t>
      </w:r>
    </w:p>
    <w:p w14:paraId="5AB9CC04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4D48B2C" w14:textId="77777777" w:rsidR="00253DCE" w:rsidRPr="00ED07C3" w:rsidRDefault="00253DCE" w:rsidP="00253DCE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jako advokát na straně druhé                            (dále jen </w:t>
      </w:r>
      <w:r>
        <w:rPr>
          <w:rFonts w:ascii="Garamond" w:hAnsi="Garamond" w:cs="Arial"/>
          <w:bCs/>
          <w:sz w:val="24"/>
          <w:szCs w:val="24"/>
        </w:rPr>
        <w:t>jako „</w:t>
      </w:r>
      <w:r w:rsidRPr="00ED07C3">
        <w:rPr>
          <w:rFonts w:ascii="Garamond" w:hAnsi="Garamond" w:cs="Arial"/>
          <w:bCs/>
          <w:sz w:val="24"/>
          <w:szCs w:val="24"/>
        </w:rPr>
        <w:t>advokát</w:t>
      </w:r>
      <w:r>
        <w:rPr>
          <w:rFonts w:ascii="Garamond" w:hAnsi="Garamond" w:cs="Arial"/>
          <w:bCs/>
          <w:sz w:val="24"/>
          <w:szCs w:val="24"/>
        </w:rPr>
        <w:t>“</w:t>
      </w:r>
      <w:r w:rsidRPr="00ED07C3">
        <w:rPr>
          <w:rFonts w:ascii="Garamond" w:hAnsi="Garamond" w:cs="Arial"/>
          <w:bCs/>
          <w:sz w:val="24"/>
          <w:szCs w:val="24"/>
        </w:rPr>
        <w:t>)</w:t>
      </w:r>
    </w:p>
    <w:p w14:paraId="08EBE909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D57ADC6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uzavírají v souladu s </w:t>
      </w:r>
      <w:proofErr w:type="spellStart"/>
      <w:r w:rsidRPr="00ED07C3">
        <w:rPr>
          <w:rFonts w:ascii="Garamond" w:hAnsi="Garamond" w:cs="Arial"/>
          <w:bCs/>
          <w:sz w:val="24"/>
          <w:szCs w:val="24"/>
        </w:rPr>
        <w:t>ust</w:t>
      </w:r>
      <w:proofErr w:type="spellEnd"/>
      <w:r w:rsidRPr="00ED07C3">
        <w:rPr>
          <w:rFonts w:ascii="Garamond" w:hAnsi="Garamond" w:cs="Arial"/>
          <w:bCs/>
          <w:sz w:val="24"/>
          <w:szCs w:val="24"/>
        </w:rPr>
        <w:t>. zák. č. 85/1996 Sb., o advokacii a v souladu s </w:t>
      </w:r>
      <w:proofErr w:type="spellStart"/>
      <w:r w:rsidRPr="00ED07C3">
        <w:rPr>
          <w:rFonts w:ascii="Garamond" w:hAnsi="Garamond" w:cs="Arial"/>
          <w:bCs/>
          <w:sz w:val="24"/>
          <w:szCs w:val="24"/>
        </w:rPr>
        <w:t>ust</w:t>
      </w:r>
      <w:proofErr w:type="spellEnd"/>
      <w:r w:rsidRPr="00ED07C3">
        <w:rPr>
          <w:rFonts w:ascii="Garamond" w:hAnsi="Garamond" w:cs="Arial"/>
          <w:bCs/>
          <w:sz w:val="24"/>
          <w:szCs w:val="24"/>
        </w:rPr>
        <w:t>. § 2430 a násl. zák. č. 89/2012 Sb., občanský zákoník v souladu s </w:t>
      </w:r>
      <w:proofErr w:type="spellStart"/>
      <w:r w:rsidRPr="00ED07C3">
        <w:rPr>
          <w:rFonts w:ascii="Garamond" w:hAnsi="Garamond" w:cs="Arial"/>
          <w:bCs/>
          <w:sz w:val="24"/>
          <w:szCs w:val="24"/>
        </w:rPr>
        <w:t>ust</w:t>
      </w:r>
      <w:proofErr w:type="spellEnd"/>
      <w:r w:rsidRPr="00ED07C3">
        <w:rPr>
          <w:rFonts w:ascii="Garamond" w:hAnsi="Garamond" w:cs="Arial"/>
          <w:bCs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3 a"/>
        </w:smartTagPr>
        <w:r w:rsidRPr="00ED07C3">
          <w:rPr>
            <w:rFonts w:ascii="Garamond" w:hAnsi="Garamond" w:cs="Arial"/>
            <w:bCs/>
            <w:sz w:val="24"/>
            <w:szCs w:val="24"/>
          </w:rPr>
          <w:t>3 a</w:t>
        </w:r>
      </w:smartTag>
      <w:r w:rsidRPr="00ED07C3">
        <w:rPr>
          <w:rFonts w:ascii="Garamond" w:hAnsi="Garamond" w:cs="Arial"/>
          <w:bCs/>
          <w:sz w:val="24"/>
          <w:szCs w:val="24"/>
        </w:rPr>
        <w:t xml:space="preserve"> násl. </w:t>
      </w:r>
      <w:proofErr w:type="spellStart"/>
      <w:r w:rsidRPr="00ED07C3">
        <w:rPr>
          <w:rFonts w:ascii="Garamond" w:hAnsi="Garamond" w:cs="Arial"/>
          <w:bCs/>
          <w:sz w:val="24"/>
          <w:szCs w:val="24"/>
        </w:rPr>
        <w:t>vyhl</w:t>
      </w:r>
      <w:proofErr w:type="spellEnd"/>
      <w:r w:rsidRPr="00ED07C3">
        <w:rPr>
          <w:rFonts w:ascii="Garamond" w:hAnsi="Garamond" w:cs="Arial"/>
          <w:bCs/>
          <w:sz w:val="24"/>
          <w:szCs w:val="24"/>
        </w:rPr>
        <w:t>. č. 177/1996 Sb., o odměnách advokátů v platném znění</w:t>
      </w:r>
      <w:r>
        <w:rPr>
          <w:rFonts w:ascii="Garamond" w:hAnsi="Garamond" w:cs="Arial"/>
          <w:bCs/>
          <w:sz w:val="24"/>
          <w:szCs w:val="24"/>
        </w:rPr>
        <w:t>,</w:t>
      </w:r>
      <w:r w:rsidRPr="00ED07C3">
        <w:rPr>
          <w:rFonts w:ascii="Garamond" w:hAnsi="Garamond" w:cs="Arial"/>
          <w:bCs/>
          <w:sz w:val="24"/>
          <w:szCs w:val="24"/>
        </w:rPr>
        <w:t xml:space="preserve"> tuto</w:t>
      </w:r>
    </w:p>
    <w:p w14:paraId="07B264EB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61D632A2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</w:t>
      </w:r>
      <w:r w:rsidRPr="00ED07C3">
        <w:rPr>
          <w:rFonts w:ascii="Garamond" w:hAnsi="Garamond" w:cs="Arial"/>
          <w:bCs/>
          <w:sz w:val="24"/>
          <w:szCs w:val="24"/>
        </w:rPr>
        <w:t xml:space="preserve"> m l o u v u    o    p o s k y t o v á n í</w:t>
      </w:r>
    </w:p>
    <w:p w14:paraId="71615195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p r á v n í c h    s l u ž e b  :</w:t>
      </w:r>
    </w:p>
    <w:p w14:paraId="3D83AE13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FB9ECEF" w14:textId="77777777" w:rsidR="00253DCE" w:rsidRPr="009C52AE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9C52AE">
        <w:rPr>
          <w:rFonts w:ascii="Garamond" w:hAnsi="Garamond" w:cs="Arial"/>
          <w:b/>
          <w:sz w:val="24"/>
          <w:szCs w:val="24"/>
        </w:rPr>
        <w:t>Článek I.</w:t>
      </w:r>
    </w:p>
    <w:p w14:paraId="1AC38B75" w14:textId="77777777" w:rsidR="00253DCE" w:rsidRPr="009C52AE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9C52AE">
        <w:rPr>
          <w:rFonts w:ascii="Garamond" w:hAnsi="Garamond" w:cs="Arial"/>
          <w:b/>
          <w:sz w:val="24"/>
          <w:szCs w:val="24"/>
        </w:rPr>
        <w:t>Předmět smlouvy</w:t>
      </w:r>
    </w:p>
    <w:p w14:paraId="5AC9BA14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07F48269" w14:textId="77777777" w:rsidR="00253DCE" w:rsidRPr="00ED07C3" w:rsidRDefault="00253DCE" w:rsidP="00253D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Advokát se zavazuje na základě této smlouvy poskytovat klientovi právní služby způsobem, za podmínek a v rozsahu, jak je uvedeno níže. </w:t>
      </w:r>
    </w:p>
    <w:p w14:paraId="4A3BB443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6F7F3811" w14:textId="6EE60714" w:rsidR="00253DCE" w:rsidRDefault="00253DCE" w:rsidP="00253D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Předmětem této smlouvy je poskytování právních služeb advokátem, spočívající v konzultacích, ve vypracování smluv, dohod, písemných stanovisek k různým problémům, jednání s třetími stranami v zájmu klienta, účasti na jednáních, pokud o to klient požádá, ve zpracování žalob či jiných podání k soudům či orgánům státní správy a zastupování klienta </w:t>
      </w:r>
      <w:r>
        <w:rPr>
          <w:rFonts w:ascii="Garamond" w:hAnsi="Garamond" w:cs="Arial"/>
          <w:bCs/>
          <w:sz w:val="24"/>
          <w:szCs w:val="24"/>
        </w:rPr>
        <w:t xml:space="preserve">v řízení před soudem. Advokát poskytuje konzultace klientovi jak písemně, osobně, emailem, tak telefonicky, přičemž kontaktní údaje jsou uvedeny v zápatí této Smlouvy. </w:t>
      </w:r>
    </w:p>
    <w:p w14:paraId="7E96DA2F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C3D4092" w14:textId="77777777" w:rsidR="00253DCE" w:rsidRPr="0013144A" w:rsidRDefault="00253DCE" w:rsidP="00253D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3144A">
        <w:rPr>
          <w:rFonts w:ascii="Garamond" w:hAnsi="Garamond" w:cs="Arial"/>
          <w:bCs/>
          <w:sz w:val="24"/>
          <w:szCs w:val="24"/>
        </w:rPr>
        <w:t xml:space="preserve">Klient je povinen poskytnout advokátovi potřebnou součinnost, tj. s dostatečným časovým předstihem předložit potřebné listiny či vyjádření svých odborných pracovníků a dle pokynů advokáta činit potřebné kroky ve věci, pokud s postupem navrženým advokátem souhlasí. Klient odpovídá za věcnou správnost a úplnost poskytnutých informací a předaných materiálů. </w:t>
      </w:r>
    </w:p>
    <w:p w14:paraId="54E318D9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lastRenderedPageBreak/>
        <w:t xml:space="preserve"> </w:t>
      </w:r>
    </w:p>
    <w:p w14:paraId="273D27C2" w14:textId="77777777" w:rsidR="00253DCE" w:rsidRDefault="00253DCE" w:rsidP="00253D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Advokát je povinen chránit a prosazovat práva a oprávněné zájmy klienta a řídit se jeho pokyny. Pokyny klienta však není vázán, jsou-li v rozporu se zákonem nebo stavovským předpisem. O tom je povinen advokát klienta přiměřeně poučit. </w:t>
      </w:r>
    </w:p>
    <w:p w14:paraId="702AF8AB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3B92A4FE" w14:textId="77777777" w:rsidR="00253DCE" w:rsidRPr="00ED07C3" w:rsidRDefault="00253DCE" w:rsidP="00253D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Advokát je povinen zachovávat mlčenlivost o všech skutečnostech, o nichž se dozvěděl v souvislosti s poskytováním právních služeb. </w:t>
      </w:r>
    </w:p>
    <w:p w14:paraId="03D07B45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015B51E" w14:textId="77777777" w:rsidR="00253DCE" w:rsidRDefault="00253DCE" w:rsidP="00253DC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Advokát odpovídá klientovi za škodu, kterou mu způsobil v souvislosti s poskytováním právních služeb. Advokát se odpovědnosti zprostí, prokáže-li, že škodě nemohlo být zabráněno ani při vynaložení veškerého úsilí, které na něm lze požadovat.</w:t>
      </w:r>
    </w:p>
    <w:p w14:paraId="0BD242CD" w14:textId="77777777" w:rsidR="00253DCE" w:rsidRDefault="00253DCE" w:rsidP="00253DCE">
      <w:pPr>
        <w:pStyle w:val="Odstavecseseznamem"/>
        <w:rPr>
          <w:rFonts w:ascii="Garamond" w:hAnsi="Garamond" w:cs="Arial"/>
          <w:bCs/>
          <w:sz w:val="24"/>
          <w:szCs w:val="24"/>
        </w:rPr>
      </w:pPr>
    </w:p>
    <w:p w14:paraId="1C59728A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E8BD739" w14:textId="77777777" w:rsidR="00253DCE" w:rsidRPr="0067227F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7227F">
        <w:rPr>
          <w:rFonts w:ascii="Garamond" w:hAnsi="Garamond" w:cs="Arial"/>
          <w:b/>
          <w:sz w:val="24"/>
          <w:szCs w:val="24"/>
        </w:rPr>
        <w:t>Článek II.</w:t>
      </w:r>
    </w:p>
    <w:p w14:paraId="45CC7D4C" w14:textId="77777777" w:rsidR="00253DCE" w:rsidRPr="0067227F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67227F">
        <w:rPr>
          <w:rFonts w:ascii="Garamond" w:hAnsi="Garamond" w:cs="Arial"/>
          <w:b/>
          <w:sz w:val="24"/>
          <w:szCs w:val="24"/>
        </w:rPr>
        <w:t>Odměna advokáta</w:t>
      </w:r>
    </w:p>
    <w:p w14:paraId="50EFB369" w14:textId="77777777" w:rsidR="00253DCE" w:rsidRPr="0067227F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4443B340" w14:textId="45F4062D" w:rsidR="00253DCE" w:rsidRPr="00180647" w:rsidRDefault="00253DCE" w:rsidP="002533F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80647">
        <w:rPr>
          <w:rFonts w:ascii="Garamond" w:hAnsi="Garamond" w:cs="Arial"/>
          <w:bCs/>
          <w:sz w:val="24"/>
          <w:szCs w:val="24"/>
        </w:rPr>
        <w:t>Klient se zavazuje zaplatit advokátovi za poskytované právní služby</w:t>
      </w:r>
      <w:r w:rsidR="000E33C6" w:rsidRPr="00180647">
        <w:rPr>
          <w:rFonts w:ascii="Garamond" w:hAnsi="Garamond" w:cs="Arial"/>
          <w:bCs/>
          <w:sz w:val="24"/>
          <w:szCs w:val="24"/>
        </w:rPr>
        <w:t xml:space="preserve"> paušální částku ve výši </w:t>
      </w:r>
      <w:r w:rsidR="000E33C6" w:rsidRPr="00180647">
        <w:rPr>
          <w:rFonts w:ascii="Garamond" w:hAnsi="Garamond" w:cs="Arial"/>
          <w:b/>
          <w:sz w:val="24"/>
          <w:szCs w:val="24"/>
        </w:rPr>
        <w:t>7.000,- Kč</w:t>
      </w:r>
      <w:r w:rsidR="000E33C6" w:rsidRPr="00180647">
        <w:rPr>
          <w:rFonts w:ascii="Garamond" w:hAnsi="Garamond" w:cs="Arial"/>
          <w:bCs/>
          <w:sz w:val="24"/>
          <w:szCs w:val="24"/>
        </w:rPr>
        <w:t xml:space="preserve"> plus DPH</w:t>
      </w:r>
      <w:r w:rsidR="00180647" w:rsidRPr="00180647">
        <w:rPr>
          <w:rFonts w:ascii="Garamond" w:hAnsi="Garamond" w:cs="Arial"/>
          <w:bCs/>
          <w:sz w:val="24"/>
          <w:szCs w:val="24"/>
        </w:rPr>
        <w:t xml:space="preserve"> měsíčně. </w:t>
      </w:r>
      <w:r w:rsidR="000E33C6" w:rsidRPr="00180647">
        <w:rPr>
          <w:rFonts w:ascii="Garamond" w:hAnsi="Garamond" w:cs="Arial"/>
          <w:bCs/>
          <w:sz w:val="24"/>
          <w:szCs w:val="24"/>
        </w:rPr>
        <w:t xml:space="preserve">Paušální odměna odpovídá </w:t>
      </w:r>
      <w:r w:rsidR="00180647" w:rsidRPr="00180647">
        <w:rPr>
          <w:rFonts w:ascii="Garamond" w:hAnsi="Garamond" w:cs="Arial"/>
          <w:bCs/>
          <w:sz w:val="24"/>
          <w:szCs w:val="24"/>
        </w:rPr>
        <w:t>3</w:t>
      </w:r>
      <w:r w:rsidR="000E33C6" w:rsidRPr="00180647">
        <w:rPr>
          <w:rFonts w:ascii="Garamond" w:hAnsi="Garamond" w:cs="Arial"/>
          <w:bCs/>
          <w:sz w:val="24"/>
          <w:szCs w:val="24"/>
        </w:rPr>
        <w:t xml:space="preserve"> hodinám právních služeb v jednom měsíci. </w:t>
      </w:r>
    </w:p>
    <w:p w14:paraId="53264D7C" w14:textId="77777777" w:rsidR="000E33C6" w:rsidRDefault="000E33C6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44086EC" w14:textId="77777777" w:rsidR="00253DCE" w:rsidRDefault="00253DCE" w:rsidP="00253D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Klient může dohodnout s advokátem v případě konkrétní časově a odborně náročné věci zvláštní odměnu pro takovou věc.</w:t>
      </w:r>
    </w:p>
    <w:p w14:paraId="6A85026B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ab/>
      </w:r>
    </w:p>
    <w:p w14:paraId="0BBAB84A" w14:textId="77777777" w:rsidR="00253DCE" w:rsidRDefault="00253DCE" w:rsidP="00253D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V případě zastupování klienta v soudních sporech, s výjimkou insolvenčního řízení, náleží advokátovi odměna dle jednotlivých úkonů vypočtená v souladu s </w:t>
      </w:r>
      <w:proofErr w:type="spellStart"/>
      <w:r w:rsidRPr="00ED07C3">
        <w:rPr>
          <w:rFonts w:ascii="Garamond" w:hAnsi="Garamond" w:cs="Arial"/>
          <w:bCs/>
          <w:sz w:val="24"/>
          <w:szCs w:val="24"/>
        </w:rPr>
        <w:t>ust</w:t>
      </w:r>
      <w:proofErr w:type="spellEnd"/>
      <w:r w:rsidRPr="00ED07C3">
        <w:rPr>
          <w:rFonts w:ascii="Garamond" w:hAnsi="Garamond" w:cs="Arial"/>
          <w:bCs/>
          <w:sz w:val="24"/>
          <w:szCs w:val="24"/>
        </w:rPr>
        <w:t xml:space="preserve">. § 7 </w:t>
      </w:r>
      <w:proofErr w:type="spellStart"/>
      <w:r w:rsidRPr="00ED07C3">
        <w:rPr>
          <w:rFonts w:ascii="Garamond" w:hAnsi="Garamond" w:cs="Arial"/>
          <w:bCs/>
          <w:sz w:val="24"/>
          <w:szCs w:val="24"/>
        </w:rPr>
        <w:t>vyhl.č</w:t>
      </w:r>
      <w:proofErr w:type="spellEnd"/>
      <w:r w:rsidRPr="00ED07C3">
        <w:rPr>
          <w:rFonts w:ascii="Garamond" w:hAnsi="Garamond" w:cs="Arial"/>
          <w:bCs/>
          <w:sz w:val="24"/>
          <w:szCs w:val="24"/>
        </w:rPr>
        <w:t>. 177/1996 Sb., o odměnách advokátů a náhradách za poskytování právních služeb</w:t>
      </w:r>
      <w:r>
        <w:rPr>
          <w:rFonts w:ascii="Garamond" w:hAnsi="Garamond" w:cs="Arial"/>
          <w:bCs/>
          <w:sz w:val="24"/>
          <w:szCs w:val="24"/>
        </w:rPr>
        <w:t>, pokud se tak s klientem dohodnou, v opačném případě zůstává použita hodinová sazba</w:t>
      </w:r>
      <w:r w:rsidRPr="00ED07C3">
        <w:rPr>
          <w:rFonts w:ascii="Garamond" w:hAnsi="Garamond" w:cs="Arial"/>
          <w:bCs/>
          <w:sz w:val="24"/>
          <w:szCs w:val="24"/>
        </w:rPr>
        <w:t xml:space="preserve">. </w:t>
      </w:r>
    </w:p>
    <w:p w14:paraId="153C9433" w14:textId="77777777" w:rsidR="00253DCE" w:rsidRPr="00127CC2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00E2D89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Odměna je splatná měsíčně zpětně na základě vystaveného daňového dokladu, když jeho splatnost je sjednána na </w:t>
      </w:r>
      <w:r>
        <w:rPr>
          <w:rFonts w:ascii="Garamond" w:hAnsi="Garamond" w:cs="Arial"/>
          <w:bCs/>
          <w:sz w:val="24"/>
          <w:szCs w:val="24"/>
        </w:rPr>
        <w:t>7</w:t>
      </w:r>
      <w:r w:rsidRPr="00ED07C3">
        <w:rPr>
          <w:rFonts w:ascii="Garamond" w:hAnsi="Garamond" w:cs="Arial"/>
          <w:bCs/>
          <w:sz w:val="24"/>
          <w:szCs w:val="24"/>
        </w:rPr>
        <w:t xml:space="preserve"> dní. Advokát je plátcem daně z přidané hodnoty a k odměně je oprávněn připočítat DPH v aktuálně platné výši. </w:t>
      </w:r>
    </w:p>
    <w:p w14:paraId="4AF5C5C6" w14:textId="77777777" w:rsidR="00253DCE" w:rsidRPr="003600C4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1B11113" w14:textId="3995B0EB" w:rsidR="00253DCE" w:rsidRDefault="00253DCE" w:rsidP="00253DCE">
      <w:pPr>
        <w:spacing w:after="0" w:line="240" w:lineRule="auto"/>
        <w:jc w:val="both"/>
        <w:rPr>
          <w:rFonts w:ascii="Garamond" w:hAnsi="Garamond"/>
          <w:sz w:val="24"/>
          <w:szCs w:val="24"/>
          <w:lang w:val="cs"/>
        </w:rPr>
      </w:pPr>
      <w:r>
        <w:rPr>
          <w:rFonts w:ascii="Garamond" w:hAnsi="Garamond"/>
          <w:sz w:val="24"/>
          <w:szCs w:val="24"/>
          <w:lang w:val="cs"/>
        </w:rPr>
        <w:t>4</w:t>
      </w:r>
      <w:r w:rsidRPr="003600C4">
        <w:rPr>
          <w:rFonts w:ascii="Garamond" w:hAnsi="Garamond"/>
          <w:sz w:val="24"/>
          <w:szCs w:val="24"/>
          <w:lang w:val="cs"/>
        </w:rPr>
        <w:t xml:space="preserve">. </w:t>
      </w:r>
      <w:r>
        <w:rPr>
          <w:rFonts w:ascii="Garamond" w:hAnsi="Garamond"/>
          <w:sz w:val="24"/>
          <w:szCs w:val="24"/>
          <w:lang w:val="cs"/>
        </w:rPr>
        <w:t>O</w:t>
      </w:r>
      <w:r w:rsidRPr="003600C4">
        <w:rPr>
          <w:rFonts w:ascii="Garamond" w:hAnsi="Garamond"/>
          <w:sz w:val="24"/>
          <w:szCs w:val="24"/>
          <w:lang w:val="cs"/>
        </w:rPr>
        <w:t>dměna nezahrnuje náhradu peněžních výdajů, kter</w:t>
      </w:r>
      <w:r>
        <w:rPr>
          <w:rFonts w:ascii="Garamond" w:hAnsi="Garamond"/>
          <w:sz w:val="24"/>
          <w:szCs w:val="24"/>
          <w:lang w:val="cs"/>
        </w:rPr>
        <w:t xml:space="preserve">é </w:t>
      </w:r>
      <w:r w:rsidRPr="003600C4">
        <w:rPr>
          <w:rFonts w:ascii="Garamond" w:hAnsi="Garamond"/>
          <w:sz w:val="24"/>
          <w:szCs w:val="24"/>
          <w:lang w:val="cs"/>
        </w:rPr>
        <w:t>byl</w:t>
      </w:r>
      <w:r>
        <w:rPr>
          <w:rFonts w:ascii="Garamond" w:hAnsi="Garamond"/>
          <w:sz w:val="24"/>
          <w:szCs w:val="24"/>
          <w:lang w:val="cs"/>
        </w:rPr>
        <w:t>y</w:t>
      </w:r>
      <w:r w:rsidRPr="003600C4">
        <w:rPr>
          <w:rFonts w:ascii="Garamond" w:hAnsi="Garamond"/>
          <w:sz w:val="24"/>
          <w:szCs w:val="24"/>
          <w:lang w:val="cs"/>
        </w:rPr>
        <w:t xml:space="preserve"> </w:t>
      </w:r>
      <w:r>
        <w:rPr>
          <w:rFonts w:ascii="Garamond" w:hAnsi="Garamond"/>
          <w:sz w:val="24"/>
          <w:szCs w:val="24"/>
          <w:lang w:val="cs"/>
        </w:rPr>
        <w:t xml:space="preserve">vynaloženy </w:t>
      </w:r>
      <w:r w:rsidRPr="003600C4">
        <w:rPr>
          <w:rFonts w:ascii="Garamond" w:hAnsi="Garamond"/>
          <w:sz w:val="24"/>
          <w:szCs w:val="24"/>
          <w:lang w:val="cs"/>
        </w:rPr>
        <w:t>v souvislosti s poskytováním právní</w:t>
      </w:r>
      <w:r>
        <w:rPr>
          <w:rFonts w:ascii="Garamond" w:hAnsi="Garamond"/>
          <w:sz w:val="24"/>
          <w:szCs w:val="24"/>
          <w:lang w:val="cs"/>
        </w:rPr>
        <w:t>ch</w:t>
      </w:r>
      <w:r w:rsidRPr="003600C4">
        <w:rPr>
          <w:rFonts w:ascii="Garamond" w:hAnsi="Garamond"/>
          <w:sz w:val="24"/>
          <w:szCs w:val="24"/>
          <w:lang w:val="cs"/>
        </w:rPr>
        <w:t xml:space="preserve"> služ</w:t>
      </w:r>
      <w:r>
        <w:rPr>
          <w:rFonts w:ascii="Garamond" w:hAnsi="Garamond"/>
          <w:sz w:val="24"/>
          <w:szCs w:val="24"/>
          <w:lang w:val="cs"/>
        </w:rPr>
        <w:t>eb</w:t>
      </w:r>
      <w:r w:rsidRPr="003600C4">
        <w:rPr>
          <w:rFonts w:ascii="Garamond" w:hAnsi="Garamond"/>
          <w:sz w:val="24"/>
          <w:szCs w:val="24"/>
          <w:lang w:val="cs"/>
        </w:rPr>
        <w:t>, zejména soud</w:t>
      </w:r>
      <w:r>
        <w:rPr>
          <w:rFonts w:ascii="Garamond" w:hAnsi="Garamond"/>
          <w:sz w:val="24"/>
          <w:szCs w:val="24"/>
          <w:lang w:val="cs"/>
        </w:rPr>
        <w:t>ní</w:t>
      </w:r>
      <w:r w:rsidRPr="003600C4">
        <w:rPr>
          <w:rFonts w:ascii="Garamond" w:hAnsi="Garamond"/>
          <w:sz w:val="24"/>
          <w:szCs w:val="24"/>
          <w:lang w:val="cs"/>
        </w:rPr>
        <w:t>, správní, notářsk</w:t>
      </w:r>
      <w:r>
        <w:rPr>
          <w:rFonts w:ascii="Garamond" w:hAnsi="Garamond"/>
          <w:sz w:val="24"/>
          <w:szCs w:val="24"/>
          <w:lang w:val="cs"/>
        </w:rPr>
        <w:t>é</w:t>
      </w:r>
      <w:r w:rsidRPr="003600C4">
        <w:rPr>
          <w:rFonts w:ascii="Garamond" w:hAnsi="Garamond"/>
          <w:sz w:val="24"/>
          <w:szCs w:val="24"/>
          <w:lang w:val="cs"/>
        </w:rPr>
        <w:t xml:space="preserve"> a jin</w:t>
      </w:r>
      <w:r>
        <w:rPr>
          <w:rFonts w:ascii="Garamond" w:hAnsi="Garamond"/>
          <w:sz w:val="24"/>
          <w:szCs w:val="24"/>
          <w:lang w:val="cs"/>
        </w:rPr>
        <w:t>é</w:t>
      </w:r>
      <w:r w:rsidRPr="003600C4">
        <w:rPr>
          <w:rFonts w:ascii="Garamond" w:hAnsi="Garamond"/>
          <w:sz w:val="24"/>
          <w:szCs w:val="24"/>
          <w:lang w:val="cs"/>
        </w:rPr>
        <w:t xml:space="preserve"> poplatky, </w:t>
      </w:r>
      <w:r>
        <w:rPr>
          <w:rFonts w:ascii="Garamond" w:hAnsi="Garamond"/>
          <w:sz w:val="24"/>
          <w:szCs w:val="24"/>
          <w:lang w:val="cs"/>
        </w:rPr>
        <w:t xml:space="preserve">cestovní náklady (v případě že služba je poskytována v jiném městě, než kde má advokát </w:t>
      </w:r>
      <w:r w:rsidRPr="00180647">
        <w:rPr>
          <w:rFonts w:ascii="Garamond" w:hAnsi="Garamond"/>
          <w:sz w:val="24"/>
          <w:szCs w:val="24"/>
          <w:lang w:val="cs"/>
        </w:rPr>
        <w:t>sídlo</w:t>
      </w:r>
      <w:r w:rsidR="000E33C6" w:rsidRPr="00180647">
        <w:rPr>
          <w:rFonts w:ascii="Garamond" w:hAnsi="Garamond"/>
          <w:sz w:val="24"/>
          <w:szCs w:val="24"/>
          <w:lang w:val="cs"/>
        </w:rPr>
        <w:t xml:space="preserve"> nebo pobočku</w:t>
      </w:r>
      <w:r w:rsidRPr="00180647">
        <w:rPr>
          <w:rFonts w:ascii="Garamond" w:hAnsi="Garamond"/>
          <w:sz w:val="24"/>
          <w:szCs w:val="24"/>
          <w:lang w:val="cs"/>
        </w:rPr>
        <w:t>),</w:t>
      </w:r>
      <w:r>
        <w:rPr>
          <w:rFonts w:ascii="Garamond" w:hAnsi="Garamond"/>
          <w:sz w:val="24"/>
          <w:szCs w:val="24"/>
          <w:lang w:val="cs"/>
        </w:rPr>
        <w:t xml:space="preserve"> náklady na znalecké posudky, překlady, ověřené kopie atd. V případě, že takové náklady advokátovi vzniknout, vyúčtuje je spolu se svou odměnou. </w:t>
      </w:r>
    </w:p>
    <w:p w14:paraId="10E8DF12" w14:textId="77777777" w:rsidR="00253DCE" w:rsidRDefault="00253DCE" w:rsidP="00253DCE">
      <w:pPr>
        <w:spacing w:after="0" w:line="240" w:lineRule="auto"/>
        <w:jc w:val="both"/>
        <w:rPr>
          <w:rFonts w:ascii="Garamond" w:hAnsi="Garamond"/>
          <w:sz w:val="24"/>
          <w:szCs w:val="24"/>
          <w:lang w:val="cs"/>
        </w:rPr>
      </w:pPr>
    </w:p>
    <w:p w14:paraId="50C26EDC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4E23C609" w14:textId="77777777" w:rsidR="00253DCE" w:rsidRPr="00893A31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93A31">
        <w:rPr>
          <w:rFonts w:ascii="Garamond" w:hAnsi="Garamond" w:cs="Arial"/>
          <w:b/>
          <w:sz w:val="24"/>
          <w:szCs w:val="24"/>
        </w:rPr>
        <w:t>Článek III.</w:t>
      </w:r>
    </w:p>
    <w:p w14:paraId="4D71387C" w14:textId="77777777" w:rsidR="00253DCE" w:rsidRPr="00893A31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93A31">
        <w:rPr>
          <w:rFonts w:ascii="Garamond" w:hAnsi="Garamond" w:cs="Arial"/>
          <w:b/>
          <w:sz w:val="24"/>
          <w:szCs w:val="24"/>
        </w:rPr>
        <w:t>Trvání smlouvy</w:t>
      </w:r>
    </w:p>
    <w:p w14:paraId="0B90D87F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4ECE45BF" w14:textId="77777777" w:rsidR="00253DCE" w:rsidRPr="001A6A2E" w:rsidRDefault="00253DCE" w:rsidP="00253DC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A6A2E">
        <w:rPr>
          <w:rFonts w:ascii="Garamond" w:hAnsi="Garamond" w:cs="Arial"/>
          <w:bCs/>
          <w:sz w:val="24"/>
          <w:szCs w:val="24"/>
        </w:rPr>
        <w:t xml:space="preserve">Smlouva se uzavírá s účinností ode dne jejího podpisu na dobu neurčitou. Smlouvu je možno oboustranně vypovědět ve dvouměsíční výpovědní lhůtě, která počíná běžet prvním dnem měsíce následujícího po doručení </w:t>
      </w:r>
      <w:r w:rsidRPr="004B59EE">
        <w:rPr>
          <w:rFonts w:ascii="Garamond" w:hAnsi="Garamond" w:cs="Arial"/>
          <w:bCs/>
          <w:sz w:val="24"/>
          <w:szCs w:val="24"/>
        </w:rPr>
        <w:t>písemné výpovědi, kdy advokát vyúčtuje již poskytnuté služby hodinovou sazbou 2.500,- Kč na hod</w:t>
      </w:r>
      <w:r>
        <w:rPr>
          <w:rFonts w:ascii="Garamond" w:hAnsi="Garamond" w:cs="Arial"/>
          <w:bCs/>
          <w:sz w:val="24"/>
          <w:szCs w:val="24"/>
        </w:rPr>
        <w:t xml:space="preserve">inu. </w:t>
      </w:r>
    </w:p>
    <w:p w14:paraId="5A568069" w14:textId="77777777" w:rsidR="00253DCE" w:rsidRPr="00320ECF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438915AF" w14:textId="77777777" w:rsidR="00253DCE" w:rsidRDefault="00253DCE" w:rsidP="00253DC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13144A">
        <w:rPr>
          <w:rFonts w:ascii="Garamond" w:hAnsi="Garamond" w:cs="Arial"/>
          <w:bCs/>
          <w:sz w:val="24"/>
          <w:szCs w:val="24"/>
        </w:rPr>
        <w:t>Advokát je povinen učinit nezbytná opatření potřebná k tomu, aby klientovi nevznikla ukončením platnosti smlouvy škoda a je povinen předat klientovi zapůjčené listiny, jakož i rozpracované jednotlivé causy, nedohodnou-li se strany jinak.</w:t>
      </w:r>
    </w:p>
    <w:p w14:paraId="7D11B6BC" w14:textId="77777777" w:rsidR="00253DCE" w:rsidRDefault="00253DCE" w:rsidP="00253DCE">
      <w:pPr>
        <w:pStyle w:val="Odstavecseseznamem"/>
        <w:rPr>
          <w:rFonts w:ascii="Garamond" w:hAnsi="Garamond" w:cs="Arial"/>
          <w:bCs/>
          <w:sz w:val="24"/>
          <w:szCs w:val="24"/>
        </w:rPr>
      </w:pPr>
    </w:p>
    <w:p w14:paraId="2B9C342C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28A48CA" w14:textId="77777777" w:rsidR="00253DCE" w:rsidRPr="00320ECF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320ECF">
        <w:rPr>
          <w:rFonts w:ascii="Garamond" w:hAnsi="Garamond" w:cs="Arial"/>
          <w:b/>
          <w:sz w:val="24"/>
          <w:szCs w:val="24"/>
        </w:rPr>
        <w:t>Článek IV.</w:t>
      </w:r>
    </w:p>
    <w:p w14:paraId="2E1727D4" w14:textId="77777777" w:rsidR="00253DCE" w:rsidRPr="00320ECF" w:rsidRDefault="00253DCE" w:rsidP="00253D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Závěrečná ustanovení </w:t>
      </w:r>
    </w:p>
    <w:p w14:paraId="495FBD91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8F83D70" w14:textId="77777777" w:rsidR="00253DCE" w:rsidRPr="00ED07C3" w:rsidRDefault="00253DCE" w:rsidP="00253D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 xml:space="preserve">V ostatním platí pro právní vztahy neupravené touto smlouvou ustanovení </w:t>
      </w:r>
      <w:r>
        <w:rPr>
          <w:rFonts w:ascii="Garamond" w:hAnsi="Garamond" w:cs="Arial"/>
          <w:bCs/>
          <w:sz w:val="24"/>
          <w:szCs w:val="24"/>
        </w:rPr>
        <w:t>občanského zákoníku</w:t>
      </w:r>
      <w:r w:rsidRPr="00ED07C3">
        <w:rPr>
          <w:rFonts w:ascii="Garamond" w:hAnsi="Garamond" w:cs="Arial"/>
          <w:bCs/>
          <w:sz w:val="24"/>
          <w:szCs w:val="24"/>
        </w:rPr>
        <w:t xml:space="preserve"> upravující </w:t>
      </w:r>
      <w:r>
        <w:rPr>
          <w:rFonts w:ascii="Garamond" w:hAnsi="Garamond" w:cs="Arial"/>
          <w:bCs/>
          <w:sz w:val="24"/>
          <w:szCs w:val="24"/>
        </w:rPr>
        <w:t xml:space="preserve">příkazní </w:t>
      </w:r>
      <w:r w:rsidRPr="00ED07C3">
        <w:rPr>
          <w:rFonts w:ascii="Garamond" w:hAnsi="Garamond" w:cs="Arial"/>
          <w:bCs/>
          <w:sz w:val="24"/>
          <w:szCs w:val="24"/>
        </w:rPr>
        <w:t>smlouvu, jakož i ustanovení zákona o advokacii.</w:t>
      </w:r>
    </w:p>
    <w:p w14:paraId="6659E2C1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15CE3B3" w14:textId="77777777" w:rsidR="00253DCE" w:rsidRPr="00ED07C3" w:rsidRDefault="00253DCE" w:rsidP="00253D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Veškeré dodatky k této smlouvě je možno činit pouze písemnou formou.</w:t>
      </w:r>
    </w:p>
    <w:p w14:paraId="03981EDA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DE435FB" w14:textId="77777777" w:rsidR="00253DCE" w:rsidRPr="00ED07C3" w:rsidRDefault="00253DCE" w:rsidP="00253D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Smlouva nabývá platnosti dnem podpisu oběma smluvními stranami.</w:t>
      </w:r>
    </w:p>
    <w:p w14:paraId="36F7E581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F2C6180" w14:textId="77777777" w:rsidR="00253DCE" w:rsidRDefault="00253DCE" w:rsidP="00253D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Garamond" w:hAnsi="Garamond" w:cs="Arial"/>
          <w:bCs/>
          <w:sz w:val="24"/>
          <w:szCs w:val="24"/>
        </w:rPr>
      </w:pPr>
      <w:r w:rsidRPr="00ED07C3">
        <w:rPr>
          <w:rFonts w:ascii="Garamond" w:hAnsi="Garamond" w:cs="Arial"/>
          <w:bCs/>
          <w:sz w:val="24"/>
          <w:szCs w:val="24"/>
        </w:rPr>
        <w:t>Smlouva je sepsána ve dvou vyhotoveních, přičemž každá ze smluvních stran obdrží po jednom vyhotovení.</w:t>
      </w:r>
    </w:p>
    <w:p w14:paraId="44A54AF5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4398295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D533EFB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7DA40D81" w14:textId="77777777" w:rsidR="00253DCE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9A7047A" w14:textId="77777777" w:rsidR="00253DCE" w:rsidRPr="00ED07C3" w:rsidRDefault="00253DCE" w:rsidP="00253DCE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3763847A" w14:textId="77777777" w:rsidR="00253DCE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ED07C3">
        <w:rPr>
          <w:rFonts w:ascii="Garamond" w:hAnsi="Garamond"/>
          <w:bCs/>
          <w:sz w:val="24"/>
          <w:szCs w:val="24"/>
        </w:rPr>
        <w:t xml:space="preserve">V </w:t>
      </w:r>
      <w:r>
        <w:rPr>
          <w:rFonts w:ascii="Garamond" w:hAnsi="Garamond"/>
          <w:bCs/>
          <w:sz w:val="24"/>
          <w:szCs w:val="24"/>
        </w:rPr>
        <w:t>………………….</w:t>
      </w:r>
      <w:r w:rsidRPr="00ED07C3">
        <w:rPr>
          <w:rFonts w:ascii="Garamond" w:hAnsi="Garamond"/>
          <w:bCs/>
          <w:sz w:val="24"/>
          <w:szCs w:val="24"/>
        </w:rPr>
        <w:t xml:space="preserve"> dne ………………..…………</w:t>
      </w:r>
    </w:p>
    <w:p w14:paraId="7FDE1315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058F19DF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5DE0429F" w14:textId="77777777" w:rsidR="00253DCE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ED07C3">
        <w:rPr>
          <w:rFonts w:ascii="Garamond" w:hAnsi="Garamond"/>
          <w:bCs/>
          <w:sz w:val="24"/>
          <w:szCs w:val="24"/>
        </w:rPr>
        <w:t>…………………………………….</w:t>
      </w:r>
    </w:p>
    <w:p w14:paraId="46E6C736" w14:textId="092C8684" w:rsidR="00737693" w:rsidRPr="00737693" w:rsidRDefault="00737693" w:rsidP="00737693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737693">
        <w:rPr>
          <w:rFonts w:ascii="Garamond" w:hAnsi="Garamond"/>
          <w:bCs/>
          <w:sz w:val="24"/>
          <w:szCs w:val="24"/>
        </w:rPr>
        <w:tab/>
        <w:t>SOTES Sokolov spol. s r.o.</w:t>
      </w:r>
    </w:p>
    <w:p w14:paraId="40EC4831" w14:textId="37C51FD4" w:rsidR="00737693" w:rsidRDefault="00737693" w:rsidP="00737693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737693">
        <w:rPr>
          <w:rFonts w:ascii="Garamond" w:hAnsi="Garamond"/>
          <w:bCs/>
          <w:sz w:val="24"/>
          <w:szCs w:val="24"/>
        </w:rPr>
        <w:t xml:space="preserve">    </w:t>
      </w:r>
      <w:r w:rsidRPr="00737693">
        <w:rPr>
          <w:rFonts w:ascii="Garamond" w:hAnsi="Garamond"/>
          <w:bCs/>
          <w:sz w:val="24"/>
          <w:szCs w:val="24"/>
        </w:rPr>
        <w:tab/>
        <w:t>Mgr. Ladislav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37693">
        <w:rPr>
          <w:rFonts w:ascii="Garamond" w:hAnsi="Garamond"/>
          <w:bCs/>
          <w:sz w:val="24"/>
          <w:szCs w:val="24"/>
        </w:rPr>
        <w:t>Sedláč</w:t>
      </w:r>
      <w:r>
        <w:rPr>
          <w:rFonts w:ascii="Garamond" w:hAnsi="Garamond"/>
          <w:bCs/>
          <w:sz w:val="24"/>
          <w:szCs w:val="24"/>
        </w:rPr>
        <w:t>e</w:t>
      </w:r>
      <w:r w:rsidRPr="00737693">
        <w:rPr>
          <w:rFonts w:ascii="Garamond" w:hAnsi="Garamond"/>
          <w:bCs/>
          <w:sz w:val="24"/>
          <w:szCs w:val="24"/>
        </w:rPr>
        <w:t>k</w:t>
      </w:r>
    </w:p>
    <w:p w14:paraId="3A062E13" w14:textId="77777777" w:rsidR="00253DCE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1A22733C" w14:textId="77777777" w:rsidR="00253DCE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36AB8097" w14:textId="77777777" w:rsidR="00253DCE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6C70F8BE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450393B3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ED07C3">
        <w:rPr>
          <w:rFonts w:ascii="Garamond" w:hAnsi="Garamond"/>
          <w:bCs/>
          <w:sz w:val="24"/>
          <w:szCs w:val="24"/>
        </w:rPr>
        <w:t>……………………………………</w:t>
      </w:r>
    </w:p>
    <w:p w14:paraId="35460B7A" w14:textId="77777777" w:rsidR="00253DCE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Vlčková a partneři, advokátní kancelář s.r.o.</w:t>
      </w:r>
    </w:p>
    <w:p w14:paraId="5B330BCE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Mgr. Daniela Vlčková </w:t>
      </w:r>
    </w:p>
    <w:p w14:paraId="5058B86C" w14:textId="77777777" w:rsidR="00253DCE" w:rsidRPr="00ED07C3" w:rsidRDefault="00253DCE" w:rsidP="00253DCE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76A7F839" w14:textId="77777777" w:rsidR="00253DCE" w:rsidRDefault="00253DCE" w:rsidP="00253DCE"/>
    <w:p w14:paraId="34E4B602" w14:textId="77777777" w:rsidR="007E66E5" w:rsidRDefault="007E66E5" w:rsidP="007F004C">
      <w:pPr>
        <w:spacing w:after="0" w:line="240" w:lineRule="auto"/>
        <w:rPr>
          <w:rFonts w:ascii="Helvetica Neue" w:eastAsia="Times New Roman" w:hAnsi="Helvetica Neue" w:cs="Calibri"/>
          <w:b/>
          <w:bCs/>
          <w:sz w:val="26"/>
          <w:szCs w:val="26"/>
          <w:lang w:eastAsia="cs-CZ"/>
        </w:rPr>
      </w:pPr>
    </w:p>
    <w:sectPr w:rsidR="007E66E5" w:rsidSect="00FF5E8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18F43" w14:textId="77777777" w:rsidR="007237DE" w:rsidRDefault="007237DE" w:rsidP="00FF5E8D">
      <w:pPr>
        <w:spacing w:after="0" w:line="240" w:lineRule="auto"/>
      </w:pPr>
      <w:r>
        <w:separator/>
      </w:r>
    </w:p>
  </w:endnote>
  <w:endnote w:type="continuationSeparator" w:id="0">
    <w:p w14:paraId="57B1A2A8" w14:textId="77777777" w:rsidR="007237DE" w:rsidRDefault="007237DE" w:rsidP="00FF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ADF6" w14:textId="77777777" w:rsidR="00FF5E8D" w:rsidRDefault="00FF5E8D">
    <w:pPr>
      <w:pStyle w:val="Zpat"/>
      <w:rPr>
        <w:noProof/>
        <w:sz w:val="24"/>
        <w:szCs w:val="24"/>
      </w:rPr>
    </w:pPr>
  </w:p>
  <w:p w14:paraId="7A002738" w14:textId="074B1C55" w:rsidR="00FF5E8D" w:rsidRDefault="00FF5E8D">
    <w:pPr>
      <w:pStyle w:val="Zpat"/>
    </w:pPr>
    <w:r w:rsidRPr="00FF5E8D">
      <w:rPr>
        <w:noProof/>
        <w:sz w:val="24"/>
        <w:szCs w:val="24"/>
        <w:lang w:eastAsia="cs-CZ"/>
      </w:rPr>
      <w:drawing>
        <wp:inline distT="0" distB="0" distL="0" distR="0" wp14:anchorId="587B90D2" wp14:editId="6F904F04">
          <wp:extent cx="5753100" cy="9423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7751" r="-517"/>
                  <a:stretch/>
                </pic:blipFill>
                <pic:spPr bwMode="auto">
                  <a:xfrm>
                    <a:off x="0" y="0"/>
                    <a:ext cx="5760435" cy="943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64B7" w14:textId="77777777" w:rsidR="007237DE" w:rsidRDefault="007237DE" w:rsidP="00FF5E8D">
      <w:pPr>
        <w:spacing w:after="0" w:line="240" w:lineRule="auto"/>
      </w:pPr>
      <w:r>
        <w:separator/>
      </w:r>
    </w:p>
  </w:footnote>
  <w:footnote w:type="continuationSeparator" w:id="0">
    <w:p w14:paraId="7A40A08B" w14:textId="77777777" w:rsidR="007237DE" w:rsidRDefault="007237DE" w:rsidP="00FF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413A" w14:textId="29E7D3FE" w:rsidR="00FF5E8D" w:rsidRDefault="00FF5E8D">
    <w:pPr>
      <w:pStyle w:val="Zhlav"/>
    </w:pPr>
    <w:r w:rsidRPr="00FF5E8D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DBC8E31" wp14:editId="1BBCBCCD">
          <wp:simplePos x="0" y="0"/>
          <wp:positionH relativeFrom="column">
            <wp:posOffset>-209550</wp:posOffset>
          </wp:positionH>
          <wp:positionV relativeFrom="paragraph">
            <wp:posOffset>-229235</wp:posOffset>
          </wp:positionV>
          <wp:extent cx="2070100" cy="812800"/>
          <wp:effectExtent l="0" t="0" r="0" b="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ndic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73F"/>
    <w:multiLevelType w:val="hybridMultilevel"/>
    <w:tmpl w:val="EAA2E6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679D6"/>
    <w:multiLevelType w:val="multilevel"/>
    <w:tmpl w:val="D2A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32F53"/>
    <w:multiLevelType w:val="multilevel"/>
    <w:tmpl w:val="5F4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37561"/>
    <w:multiLevelType w:val="multilevel"/>
    <w:tmpl w:val="DD8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20F16"/>
    <w:multiLevelType w:val="hybridMultilevel"/>
    <w:tmpl w:val="EF205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A28A2"/>
    <w:multiLevelType w:val="hybridMultilevel"/>
    <w:tmpl w:val="A8929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03A40"/>
    <w:multiLevelType w:val="hybridMultilevel"/>
    <w:tmpl w:val="B19A1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A368F"/>
    <w:multiLevelType w:val="hybridMultilevel"/>
    <w:tmpl w:val="BADE6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1418B"/>
    <w:rsid w:val="00041E2C"/>
    <w:rsid w:val="000E33C6"/>
    <w:rsid w:val="00180647"/>
    <w:rsid w:val="00193D18"/>
    <w:rsid w:val="001D6A29"/>
    <w:rsid w:val="00253DCE"/>
    <w:rsid w:val="002C5156"/>
    <w:rsid w:val="00346B07"/>
    <w:rsid w:val="003A22B9"/>
    <w:rsid w:val="005F555D"/>
    <w:rsid w:val="007237DE"/>
    <w:rsid w:val="00737693"/>
    <w:rsid w:val="007E66E5"/>
    <w:rsid w:val="007F004C"/>
    <w:rsid w:val="00826529"/>
    <w:rsid w:val="00983C56"/>
    <w:rsid w:val="00A30CB2"/>
    <w:rsid w:val="00C53C1E"/>
    <w:rsid w:val="00C71CB4"/>
    <w:rsid w:val="00CD7116"/>
    <w:rsid w:val="00F5703B"/>
    <w:rsid w:val="00FB2C29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4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E8D"/>
  </w:style>
  <w:style w:type="paragraph" w:styleId="Zpat">
    <w:name w:val="footer"/>
    <w:basedOn w:val="Normln"/>
    <w:link w:val="ZpatChar"/>
    <w:uiPriority w:val="99"/>
    <w:unhideWhenUsed/>
    <w:rsid w:val="00FF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E8D"/>
  </w:style>
  <w:style w:type="paragraph" w:styleId="Odstavecseseznamem">
    <w:name w:val="List Paragraph"/>
    <w:basedOn w:val="Normln"/>
    <w:uiPriority w:val="34"/>
    <w:qFormat/>
    <w:rsid w:val="00253D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5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E8D"/>
  </w:style>
  <w:style w:type="paragraph" w:styleId="Zpat">
    <w:name w:val="footer"/>
    <w:basedOn w:val="Normln"/>
    <w:link w:val="ZpatChar"/>
    <w:uiPriority w:val="99"/>
    <w:unhideWhenUsed/>
    <w:rsid w:val="00FF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E8D"/>
  </w:style>
  <w:style w:type="paragraph" w:styleId="Odstavecseseznamem">
    <w:name w:val="List Paragraph"/>
    <w:basedOn w:val="Normln"/>
    <w:uiPriority w:val="34"/>
    <w:qFormat/>
    <w:rsid w:val="00253D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Vlčková</dc:creator>
  <cp:lastModifiedBy>ekonomka</cp:lastModifiedBy>
  <cp:revision>2</cp:revision>
  <dcterms:created xsi:type="dcterms:W3CDTF">2021-11-02T13:23:00Z</dcterms:created>
  <dcterms:modified xsi:type="dcterms:W3CDTF">2021-11-02T13:23:00Z</dcterms:modified>
</cp:coreProperties>
</file>