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AUTOCONT a.s., Romana Havelky 5b, 586 01 Jihlava, Česká republika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u rejstříkového soudu v Ostravě pod spisovou značkou B 11012, se sídlem Hornopolní 3322/34, Ostrava IČO 04308697, DIČ CZ04308697, Tel.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16" w:val="left"/>
        </w:tabs>
        <w:bidi w:val="0"/>
        <w:spacing w:before="0" w:after="220" w:line="26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Česká spořitelna a.s., č.ú.:</w:t>
        <w:tab/>
        <w:t>IBAN: CZ8508000000000006563752, SWIFT: GIBACZPX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 / plátce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</w:t>
      </w:r>
    </w:p>
    <w:tbl>
      <w:tblPr>
        <w:tblOverlap w:val="never"/>
        <w:jc w:val="left"/>
        <w:tblLayout w:type="fixed"/>
      </w:tblPr>
      <w:tblGrid>
        <w:gridCol w:w="1450"/>
        <w:gridCol w:w="3448"/>
        <w:gridCol w:w="2736"/>
        <w:gridCol w:w="999"/>
      </w:tblGrid>
      <w:tr>
        <w:trPr>
          <w:trHeight w:val="25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Vaše ref.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Kont. osoba odběratele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platnosti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30.10.2021</w:t>
            </w:r>
          </w:p>
        </w:tc>
      </w:tr>
      <w:tr>
        <w:trPr>
          <w:trHeight w:val="2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vystavení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17.09.2021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Bank. převod, splatnost 14 dnů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dodání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29.11.2021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Služba poskytnutá vzdáleně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Prodejce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7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tabs>
          <w:tab w:leader="underscore" w:pos="4542" w:val="left"/>
          <w:tab w:leader="underscore" w:pos="974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položky Popis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Jedn. Jedn. cena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Částka</w:t>
      </w:r>
    </w:p>
    <w:tbl>
      <w:tblPr>
        <w:tblOverlap w:val="never"/>
        <w:jc w:val="center"/>
        <w:tblLayout w:type="fixed"/>
      </w:tblPr>
      <w:tblGrid>
        <w:gridCol w:w="4591"/>
        <w:gridCol w:w="4056"/>
        <w:gridCol w:w="1678"/>
      </w:tblGrid>
      <w:tr>
        <w:trPr>
          <w:trHeight w:val="37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Kaspersky Endpoint Security SELECT, 230 licencí, 1 ROK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 ks 92 756,00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92 756,00</w:t>
            </w:r>
          </w:p>
        </w:tc>
      </w:tr>
      <w:tr>
        <w:trPr>
          <w:trHeight w:val="51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Kaspersky Security for Mail Server Add-on , 154 licencí = 230 mailboxů, 1 ROK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 ks 12 864,00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12 864,00</w:t>
            </w:r>
          </w:p>
        </w:tc>
      </w:tr>
      <w:tr>
        <w:trPr>
          <w:trHeight w:val="28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105 620,00</w:t>
            </w:r>
          </w:p>
        </w:tc>
      </w:tr>
      <w:tr>
        <w:trPr>
          <w:trHeight w:val="22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Částka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22 180,20</w:t>
            </w:r>
          </w:p>
        </w:tc>
      </w:tr>
      <w:tr>
        <w:trPr>
          <w:trHeight w:val="22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Zaokrouhlení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včetně DPH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127 800,20</w:t>
            </w:r>
          </w:p>
        </w:tc>
      </w:tr>
      <w:tr>
        <w:trPr>
          <w:trHeight w:val="3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Ceny v prodejní nabídce jsou uvedeny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Částky jsou uvedeny 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500" w:line="230" w:lineRule="auto"/>
        <w:ind w:left="58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zástupce odběratele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Stránky 1 / 1</w:t>
      </w:r>
    </w:p>
    <w:sectPr>
      <w:headerReference w:type="default" r:id="rId5"/>
      <w:footnotePr>
        <w:pos w:val="pageBottom"/>
        <w:numFmt w:val="decimal"/>
        <w:numRestart w:val="continuous"/>
      </w:footnotePr>
      <w:pgSz w:w="11900" w:h="16840"/>
      <w:pgMar w:top="1489" w:left="610" w:right="884" w:bottom="953" w:header="0" w:footer="52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486410</wp:posOffset>
              </wp:positionH>
              <wp:positionV relativeFrom="page">
                <wp:posOffset>560070</wp:posOffset>
              </wp:positionV>
              <wp:extent cx="6469380" cy="2755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69380" cy="2755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1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38"/>
                              <w:szCs w:val="38"/>
                              <w:shd w:val="clear" w:color="auto" w:fill="auto"/>
                              <w:lang w:val="cs-CZ" w:eastAsia="cs-CZ" w:bidi="cs-CZ"/>
                            </w:rPr>
                            <w:t>AUTOCONT</w:t>
                            <w:tab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Nabídka PN100619143-2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.299999999999997pt;margin-top:44.100000000000001pt;width:509.39999999999998pt;height:21.6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1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38"/>
                        <w:szCs w:val="38"/>
                        <w:shd w:val="clear" w:color="auto" w:fill="auto"/>
                        <w:lang w:val="cs-CZ" w:eastAsia="cs-CZ" w:bidi="cs-CZ"/>
                      </w:rPr>
                      <w:t>AUTOCONT</w:t>
                      <w:tab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Nabídka PN100619143-2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922655</wp:posOffset>
              </wp:positionV>
              <wp:extent cx="656844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684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2.600000000000001pt;margin-top:72.650000000000006pt;width:51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ind w:left="5800" w:firstLine="2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