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6BB9" w14:textId="77777777" w:rsidR="00FE7363" w:rsidRPr="008F4332" w:rsidRDefault="00FE7363" w:rsidP="00FE7363">
      <w:pPr>
        <w:keepNext/>
        <w:keepLines/>
        <w:ind w:left="426" w:right="-426"/>
        <w:jc w:val="both"/>
        <w:rPr>
          <w:rFonts w:asciiTheme="minorHAnsi" w:hAnsiTheme="minorHAnsi" w:cstheme="minorHAnsi"/>
          <w:b/>
          <w:sz w:val="22"/>
          <w:szCs w:val="22"/>
        </w:rPr>
      </w:pPr>
      <w:r w:rsidRPr="008F4332">
        <w:rPr>
          <w:rFonts w:asciiTheme="minorHAnsi" w:hAnsiTheme="minorHAnsi" w:cstheme="minorHAnsi"/>
          <w:b/>
          <w:sz w:val="22"/>
          <w:szCs w:val="22"/>
        </w:rPr>
        <w:t>Česká republika – Státní pozemkový úřad</w:t>
      </w:r>
    </w:p>
    <w:p w14:paraId="15986131" w14:textId="77777777" w:rsidR="00FE7363" w:rsidRPr="005329D0" w:rsidRDefault="00FE7363" w:rsidP="00FE7363">
      <w:pPr>
        <w:keepNext/>
        <w:keepLines/>
        <w:ind w:left="426" w:right="-426"/>
        <w:jc w:val="both"/>
        <w:rPr>
          <w:rFonts w:asciiTheme="minorHAnsi" w:hAnsiTheme="minorHAnsi" w:cstheme="minorHAnsi"/>
          <w:bCs/>
          <w:sz w:val="22"/>
          <w:szCs w:val="22"/>
        </w:rPr>
      </w:pPr>
      <w:r w:rsidRPr="005329D0">
        <w:rPr>
          <w:rFonts w:asciiTheme="minorHAnsi" w:hAnsiTheme="minorHAnsi" w:cstheme="minorHAnsi"/>
          <w:bCs/>
          <w:sz w:val="22"/>
          <w:szCs w:val="22"/>
        </w:rPr>
        <w:t>IČ: 013 12 774</w:t>
      </w:r>
    </w:p>
    <w:p w14:paraId="11D54522" w14:textId="77777777" w:rsidR="00FE7363" w:rsidRPr="005329D0" w:rsidRDefault="00FE7363" w:rsidP="00FE7363">
      <w:pPr>
        <w:keepNext/>
        <w:keepLines/>
        <w:ind w:left="426" w:right="-426"/>
        <w:jc w:val="both"/>
        <w:rPr>
          <w:rFonts w:asciiTheme="minorHAnsi" w:hAnsiTheme="minorHAnsi" w:cstheme="minorHAnsi"/>
          <w:bCs/>
          <w:sz w:val="22"/>
          <w:szCs w:val="22"/>
        </w:rPr>
      </w:pPr>
      <w:r w:rsidRPr="005329D0">
        <w:rPr>
          <w:rFonts w:asciiTheme="minorHAnsi" w:hAnsiTheme="minorHAnsi" w:cstheme="minorHAnsi"/>
          <w:bCs/>
          <w:sz w:val="22"/>
          <w:szCs w:val="22"/>
        </w:rPr>
        <w:t>Husinecká 1024/</w:t>
      </w:r>
      <w:proofErr w:type="gramStart"/>
      <w:r w:rsidRPr="005329D0">
        <w:rPr>
          <w:rFonts w:asciiTheme="minorHAnsi" w:hAnsiTheme="minorHAnsi" w:cstheme="minorHAnsi"/>
          <w:bCs/>
          <w:sz w:val="22"/>
          <w:szCs w:val="22"/>
        </w:rPr>
        <w:t>11a</w:t>
      </w:r>
      <w:proofErr w:type="gramEnd"/>
    </w:p>
    <w:p w14:paraId="3DC9E2E6" w14:textId="77777777" w:rsidR="00FE7363" w:rsidRPr="005329D0" w:rsidRDefault="00FE7363" w:rsidP="00FE7363">
      <w:pPr>
        <w:keepNext/>
        <w:keepLines/>
        <w:ind w:left="426" w:right="-426"/>
        <w:jc w:val="both"/>
        <w:rPr>
          <w:rFonts w:asciiTheme="minorHAnsi" w:hAnsiTheme="minorHAnsi" w:cstheme="minorHAnsi"/>
          <w:bCs/>
          <w:sz w:val="22"/>
          <w:szCs w:val="22"/>
        </w:rPr>
      </w:pPr>
      <w:r w:rsidRPr="005329D0">
        <w:rPr>
          <w:rFonts w:asciiTheme="minorHAnsi" w:hAnsiTheme="minorHAnsi" w:cstheme="minorHAnsi"/>
          <w:bCs/>
          <w:sz w:val="22"/>
          <w:szCs w:val="22"/>
        </w:rPr>
        <w:t>130 00 Praha 3</w:t>
      </w:r>
    </w:p>
    <w:p w14:paraId="05125837" w14:textId="77777777" w:rsidR="00FE7363" w:rsidRPr="005329D0" w:rsidRDefault="00FE7363" w:rsidP="00FE7363">
      <w:pPr>
        <w:keepNext/>
        <w:keepLines/>
        <w:ind w:left="426" w:right="-426"/>
        <w:jc w:val="both"/>
        <w:rPr>
          <w:rFonts w:asciiTheme="minorHAnsi" w:hAnsiTheme="minorHAnsi" w:cstheme="minorHAnsi"/>
          <w:bCs/>
          <w:sz w:val="22"/>
          <w:szCs w:val="22"/>
        </w:rPr>
      </w:pPr>
      <w:r w:rsidRPr="005329D0">
        <w:rPr>
          <w:rFonts w:asciiTheme="minorHAnsi" w:hAnsiTheme="minorHAnsi" w:cstheme="minorHAnsi"/>
          <w:bCs/>
          <w:sz w:val="22"/>
          <w:szCs w:val="22"/>
        </w:rPr>
        <w:t>(dále jen „</w:t>
      </w:r>
      <w:r w:rsidRPr="008F4332">
        <w:rPr>
          <w:rFonts w:asciiTheme="minorHAnsi" w:hAnsiTheme="minorHAnsi" w:cstheme="minorHAnsi"/>
          <w:b/>
          <w:sz w:val="22"/>
          <w:szCs w:val="22"/>
        </w:rPr>
        <w:t>převodce</w:t>
      </w:r>
      <w:r w:rsidRPr="005329D0">
        <w:rPr>
          <w:rFonts w:asciiTheme="minorHAnsi" w:hAnsiTheme="minorHAnsi" w:cstheme="minorHAnsi"/>
          <w:bCs/>
          <w:sz w:val="22"/>
          <w:szCs w:val="22"/>
        </w:rPr>
        <w:t>“)</w:t>
      </w:r>
    </w:p>
    <w:p w14:paraId="2BCEF479" w14:textId="77777777" w:rsidR="00FE7363" w:rsidRPr="005329D0" w:rsidRDefault="00FE7363" w:rsidP="00FE7363">
      <w:pPr>
        <w:spacing w:before="120" w:after="120"/>
        <w:ind w:left="426" w:right="-426"/>
        <w:jc w:val="both"/>
        <w:rPr>
          <w:rFonts w:asciiTheme="minorHAnsi" w:hAnsiTheme="minorHAnsi" w:cstheme="minorHAnsi"/>
          <w:bCs/>
          <w:sz w:val="22"/>
          <w:szCs w:val="22"/>
        </w:rPr>
      </w:pPr>
      <w:r w:rsidRPr="005329D0">
        <w:rPr>
          <w:rFonts w:asciiTheme="minorHAnsi" w:hAnsiTheme="minorHAnsi" w:cstheme="minorHAnsi"/>
          <w:bCs/>
          <w:sz w:val="22"/>
          <w:szCs w:val="22"/>
        </w:rPr>
        <w:t>a</w:t>
      </w:r>
    </w:p>
    <w:p w14:paraId="3D858C2A" w14:textId="297D838B" w:rsidR="00FE7363" w:rsidRPr="008F4332" w:rsidRDefault="00FE7363" w:rsidP="00FE7363">
      <w:pPr>
        <w:pStyle w:val="Odstavecseseznamem"/>
        <w:numPr>
          <w:ilvl w:val="0"/>
          <w:numId w:val="2"/>
        </w:numPr>
        <w:spacing w:before="120" w:after="120"/>
        <w:ind w:right="-426"/>
        <w:jc w:val="both"/>
        <w:rPr>
          <w:rFonts w:asciiTheme="minorHAnsi" w:hAnsiTheme="minorHAnsi" w:cstheme="minorHAnsi"/>
          <w:b/>
          <w:sz w:val="22"/>
          <w:szCs w:val="22"/>
        </w:rPr>
      </w:pPr>
      <w:r w:rsidRPr="008F4332">
        <w:rPr>
          <w:rFonts w:asciiTheme="minorHAnsi" w:hAnsiTheme="minorHAnsi" w:cstheme="minorHAnsi"/>
          <w:b/>
          <w:sz w:val="22"/>
          <w:szCs w:val="22"/>
        </w:rPr>
        <w:t xml:space="preserve">Andrew Michael </w:t>
      </w:r>
      <w:proofErr w:type="spellStart"/>
      <w:r w:rsidRPr="008F4332">
        <w:rPr>
          <w:rFonts w:asciiTheme="minorHAnsi" w:hAnsiTheme="minorHAnsi" w:cstheme="minorHAnsi"/>
          <w:b/>
          <w:sz w:val="22"/>
          <w:szCs w:val="22"/>
        </w:rPr>
        <w:t>Jirat-Wasiutynski</w:t>
      </w:r>
      <w:proofErr w:type="spellEnd"/>
      <w:r w:rsidR="00061AE1" w:rsidRPr="008F4332">
        <w:rPr>
          <w:rFonts w:asciiTheme="minorHAnsi" w:hAnsiTheme="minorHAnsi" w:cstheme="minorHAnsi"/>
          <w:b/>
          <w:sz w:val="22"/>
          <w:szCs w:val="22"/>
        </w:rPr>
        <w:t xml:space="preserve">, narozen </w:t>
      </w:r>
      <w:r w:rsidR="00A96617">
        <w:rPr>
          <w:rFonts w:asciiTheme="minorHAnsi" w:hAnsiTheme="minorHAnsi" w:cstheme="minorHAnsi"/>
          <w:b/>
          <w:sz w:val="22"/>
          <w:szCs w:val="22"/>
        </w:rPr>
        <w:t>XXX</w:t>
      </w:r>
      <w:r w:rsidR="00D318DC">
        <w:rPr>
          <w:rFonts w:asciiTheme="minorHAnsi" w:hAnsiTheme="minorHAnsi" w:cstheme="minorHAnsi"/>
          <w:b/>
          <w:sz w:val="22"/>
          <w:szCs w:val="22"/>
        </w:rPr>
        <w:t>.1971</w:t>
      </w:r>
    </w:p>
    <w:p w14:paraId="475F08AA" w14:textId="709C427C" w:rsidR="00FE7363" w:rsidRPr="005329D0" w:rsidRDefault="00A96617" w:rsidP="00FE7363">
      <w:pPr>
        <w:spacing w:before="120" w:after="120"/>
        <w:ind w:left="426" w:right="-426"/>
        <w:jc w:val="both"/>
        <w:rPr>
          <w:rFonts w:asciiTheme="minorHAnsi" w:hAnsiTheme="minorHAnsi" w:cstheme="minorHAnsi"/>
          <w:bCs/>
          <w:sz w:val="22"/>
          <w:szCs w:val="22"/>
        </w:rPr>
      </w:pPr>
      <w:r>
        <w:rPr>
          <w:rFonts w:asciiTheme="minorHAnsi" w:hAnsiTheme="minorHAnsi" w:cstheme="minorHAnsi"/>
          <w:bCs/>
          <w:sz w:val="22"/>
          <w:szCs w:val="22"/>
        </w:rPr>
        <w:t>XXX</w:t>
      </w:r>
    </w:p>
    <w:p w14:paraId="23DC40B2" w14:textId="4E9A6567" w:rsidR="00FE7363" w:rsidRPr="005329D0" w:rsidRDefault="00A96617" w:rsidP="00FE7363">
      <w:pPr>
        <w:spacing w:before="120" w:after="120"/>
        <w:ind w:left="426" w:right="-426"/>
        <w:jc w:val="both"/>
        <w:rPr>
          <w:rFonts w:asciiTheme="minorHAnsi" w:hAnsiTheme="minorHAnsi" w:cstheme="minorHAnsi"/>
          <w:bCs/>
          <w:sz w:val="22"/>
          <w:szCs w:val="22"/>
        </w:rPr>
      </w:pPr>
      <w:r>
        <w:rPr>
          <w:rFonts w:asciiTheme="minorHAnsi" w:hAnsiTheme="minorHAnsi" w:cstheme="minorHAnsi"/>
          <w:bCs/>
          <w:sz w:val="22"/>
          <w:szCs w:val="22"/>
        </w:rPr>
        <w:t>XXX</w:t>
      </w:r>
      <w:r w:rsidR="00D318DC">
        <w:rPr>
          <w:rFonts w:asciiTheme="minorHAnsi" w:hAnsiTheme="minorHAnsi" w:cstheme="minorHAnsi"/>
          <w:bCs/>
          <w:sz w:val="22"/>
          <w:szCs w:val="22"/>
        </w:rPr>
        <w:t xml:space="preserve"> Londýn</w:t>
      </w:r>
    </w:p>
    <w:p w14:paraId="53AAA575" w14:textId="6DE5C1BB" w:rsidR="00FE7363" w:rsidRDefault="00A96617" w:rsidP="00FE7363">
      <w:pPr>
        <w:spacing w:before="120" w:after="120"/>
        <w:ind w:left="426" w:right="-426"/>
        <w:jc w:val="both"/>
        <w:rPr>
          <w:rFonts w:asciiTheme="minorHAnsi" w:hAnsiTheme="minorHAnsi" w:cstheme="minorHAnsi"/>
          <w:bCs/>
          <w:sz w:val="22"/>
          <w:szCs w:val="22"/>
        </w:rPr>
      </w:pPr>
      <w:r>
        <w:rPr>
          <w:rFonts w:asciiTheme="minorHAnsi" w:hAnsiTheme="minorHAnsi" w:cstheme="minorHAnsi"/>
          <w:bCs/>
          <w:sz w:val="22"/>
          <w:szCs w:val="22"/>
        </w:rPr>
        <w:t>XXX</w:t>
      </w:r>
    </w:p>
    <w:p w14:paraId="6B67BE81" w14:textId="77777777" w:rsidR="008F4332" w:rsidRPr="005329D0" w:rsidRDefault="008F4332" w:rsidP="00FE7363">
      <w:pPr>
        <w:spacing w:before="120" w:after="120"/>
        <w:ind w:left="426" w:right="-426"/>
        <w:jc w:val="both"/>
        <w:rPr>
          <w:rFonts w:asciiTheme="minorHAnsi" w:hAnsiTheme="minorHAnsi" w:cstheme="minorHAnsi"/>
          <w:bCs/>
          <w:sz w:val="22"/>
          <w:szCs w:val="22"/>
        </w:rPr>
      </w:pPr>
    </w:p>
    <w:p w14:paraId="549A6D91" w14:textId="788F833A" w:rsidR="00FE7363" w:rsidRPr="008F4332" w:rsidRDefault="00FE7363" w:rsidP="00FE7363">
      <w:pPr>
        <w:pStyle w:val="Odstavecseseznamem"/>
        <w:numPr>
          <w:ilvl w:val="0"/>
          <w:numId w:val="2"/>
        </w:numPr>
        <w:spacing w:before="120" w:after="120"/>
        <w:ind w:right="-426"/>
        <w:jc w:val="both"/>
        <w:rPr>
          <w:rFonts w:asciiTheme="minorHAnsi" w:hAnsiTheme="minorHAnsi" w:cstheme="minorHAnsi"/>
          <w:b/>
          <w:sz w:val="22"/>
          <w:szCs w:val="22"/>
        </w:rPr>
      </w:pPr>
      <w:r w:rsidRPr="008F4332">
        <w:rPr>
          <w:rFonts w:asciiTheme="minorHAnsi" w:hAnsiTheme="minorHAnsi" w:cstheme="minorHAnsi"/>
          <w:b/>
          <w:sz w:val="22"/>
          <w:szCs w:val="22"/>
        </w:rPr>
        <w:t xml:space="preserve">Marie </w:t>
      </w:r>
      <w:proofErr w:type="spellStart"/>
      <w:r w:rsidRPr="008F4332">
        <w:rPr>
          <w:rFonts w:asciiTheme="minorHAnsi" w:hAnsiTheme="minorHAnsi" w:cstheme="minorHAnsi"/>
          <w:b/>
          <w:sz w:val="22"/>
          <w:szCs w:val="22"/>
        </w:rPr>
        <w:t>Éve</w:t>
      </w:r>
      <w:proofErr w:type="spellEnd"/>
      <w:r w:rsidRPr="008F4332">
        <w:rPr>
          <w:rFonts w:asciiTheme="minorHAnsi" w:hAnsiTheme="minorHAnsi" w:cstheme="minorHAnsi"/>
          <w:b/>
          <w:sz w:val="22"/>
          <w:szCs w:val="22"/>
        </w:rPr>
        <w:t xml:space="preserve"> </w:t>
      </w:r>
      <w:proofErr w:type="spellStart"/>
      <w:r w:rsidRPr="008F4332">
        <w:rPr>
          <w:rFonts w:asciiTheme="minorHAnsi" w:hAnsiTheme="minorHAnsi" w:cstheme="minorHAnsi"/>
          <w:b/>
          <w:sz w:val="22"/>
          <w:szCs w:val="22"/>
        </w:rPr>
        <w:t>Jirat-Wasiutynski</w:t>
      </w:r>
      <w:proofErr w:type="spellEnd"/>
      <w:r w:rsidR="00061AE1" w:rsidRPr="008F4332">
        <w:rPr>
          <w:rFonts w:asciiTheme="minorHAnsi" w:hAnsiTheme="minorHAnsi" w:cstheme="minorHAnsi"/>
          <w:b/>
          <w:sz w:val="22"/>
          <w:szCs w:val="22"/>
        </w:rPr>
        <w:t xml:space="preserve">, narozená </w:t>
      </w:r>
      <w:r w:rsidR="00A96617">
        <w:rPr>
          <w:rFonts w:asciiTheme="minorHAnsi" w:hAnsiTheme="minorHAnsi" w:cstheme="minorHAnsi"/>
          <w:b/>
          <w:sz w:val="22"/>
          <w:szCs w:val="22"/>
        </w:rPr>
        <w:t>XXX</w:t>
      </w:r>
      <w:r w:rsidR="00D318DC">
        <w:rPr>
          <w:rFonts w:asciiTheme="minorHAnsi" w:hAnsiTheme="minorHAnsi" w:cstheme="minorHAnsi"/>
          <w:b/>
          <w:sz w:val="22"/>
          <w:szCs w:val="22"/>
        </w:rPr>
        <w:t>.1975</w:t>
      </w:r>
    </w:p>
    <w:p w14:paraId="436A3B60" w14:textId="617BD127" w:rsidR="00FE7363" w:rsidRPr="005329D0" w:rsidRDefault="00A96617" w:rsidP="00FE7363">
      <w:pPr>
        <w:spacing w:before="120" w:after="120"/>
        <w:ind w:left="426" w:right="-426"/>
        <w:jc w:val="both"/>
        <w:rPr>
          <w:rFonts w:asciiTheme="minorHAnsi" w:hAnsiTheme="minorHAnsi" w:cstheme="minorHAnsi"/>
          <w:sz w:val="22"/>
          <w:szCs w:val="22"/>
        </w:rPr>
      </w:pPr>
      <w:r>
        <w:rPr>
          <w:rFonts w:asciiTheme="minorHAnsi" w:hAnsiTheme="minorHAnsi" w:cstheme="minorHAnsi"/>
          <w:sz w:val="22"/>
          <w:szCs w:val="22"/>
        </w:rPr>
        <w:t>XXX</w:t>
      </w:r>
    </w:p>
    <w:p w14:paraId="5D74BAB3" w14:textId="755D858B" w:rsidR="00FE7363" w:rsidRPr="005329D0" w:rsidRDefault="00A96617" w:rsidP="00FE7363">
      <w:pPr>
        <w:spacing w:before="120" w:after="120"/>
        <w:ind w:left="426" w:right="-426"/>
        <w:jc w:val="both"/>
        <w:rPr>
          <w:rFonts w:asciiTheme="minorHAnsi" w:hAnsiTheme="minorHAnsi" w:cstheme="minorHAnsi"/>
          <w:sz w:val="22"/>
          <w:szCs w:val="22"/>
        </w:rPr>
      </w:pPr>
      <w:r>
        <w:rPr>
          <w:rFonts w:asciiTheme="minorHAnsi" w:hAnsiTheme="minorHAnsi" w:cstheme="minorHAnsi"/>
          <w:sz w:val="22"/>
          <w:szCs w:val="22"/>
        </w:rPr>
        <w:t>XXX</w:t>
      </w:r>
      <w:r w:rsidR="00D318DC">
        <w:rPr>
          <w:rFonts w:asciiTheme="minorHAnsi" w:hAnsiTheme="minorHAnsi" w:cstheme="minorHAnsi"/>
          <w:sz w:val="22"/>
          <w:szCs w:val="22"/>
        </w:rPr>
        <w:t xml:space="preserve"> </w:t>
      </w:r>
      <w:proofErr w:type="spellStart"/>
      <w:r w:rsidR="00D318DC">
        <w:rPr>
          <w:rFonts w:asciiTheme="minorHAnsi" w:hAnsiTheme="minorHAnsi" w:cstheme="minorHAnsi"/>
          <w:sz w:val="22"/>
          <w:szCs w:val="22"/>
        </w:rPr>
        <w:t>Orford</w:t>
      </w:r>
      <w:proofErr w:type="spellEnd"/>
    </w:p>
    <w:p w14:paraId="622B4349" w14:textId="65B0635D" w:rsidR="00FE7363" w:rsidRPr="005329D0" w:rsidRDefault="00A96617" w:rsidP="00FE7363">
      <w:pPr>
        <w:spacing w:before="120" w:after="120"/>
        <w:ind w:left="426" w:right="-426"/>
        <w:jc w:val="both"/>
        <w:rPr>
          <w:rFonts w:asciiTheme="minorHAnsi" w:hAnsiTheme="minorHAnsi" w:cstheme="minorHAnsi"/>
          <w:sz w:val="22"/>
          <w:szCs w:val="22"/>
        </w:rPr>
      </w:pPr>
      <w:r>
        <w:rPr>
          <w:rFonts w:asciiTheme="minorHAnsi" w:hAnsiTheme="minorHAnsi" w:cstheme="minorHAnsi"/>
          <w:sz w:val="22"/>
          <w:szCs w:val="22"/>
        </w:rPr>
        <w:t>XXX</w:t>
      </w:r>
    </w:p>
    <w:p w14:paraId="30C134B1" w14:textId="0B3BC1DC" w:rsidR="00FE7363" w:rsidRPr="005329D0" w:rsidRDefault="00FE7363" w:rsidP="00FE7363">
      <w:pPr>
        <w:ind w:left="426" w:right="-426"/>
        <w:jc w:val="both"/>
        <w:rPr>
          <w:rFonts w:asciiTheme="minorHAnsi" w:hAnsiTheme="minorHAnsi" w:cstheme="minorHAnsi"/>
          <w:sz w:val="22"/>
          <w:szCs w:val="22"/>
        </w:rPr>
      </w:pPr>
      <w:r w:rsidRPr="005329D0">
        <w:rPr>
          <w:rFonts w:asciiTheme="minorHAnsi" w:hAnsiTheme="minorHAnsi" w:cstheme="minorHAnsi"/>
          <w:sz w:val="22"/>
          <w:szCs w:val="22"/>
        </w:rPr>
        <w:t>(dále jen „</w:t>
      </w:r>
      <w:r w:rsidRPr="005329D0">
        <w:rPr>
          <w:rFonts w:asciiTheme="minorHAnsi" w:hAnsiTheme="minorHAnsi" w:cstheme="minorHAnsi"/>
          <w:b/>
          <w:sz w:val="22"/>
          <w:szCs w:val="22"/>
        </w:rPr>
        <w:t>nabyvatel</w:t>
      </w:r>
      <w:r w:rsidRPr="005329D0">
        <w:rPr>
          <w:rFonts w:asciiTheme="minorHAnsi" w:hAnsiTheme="minorHAnsi" w:cstheme="minorHAnsi"/>
          <w:sz w:val="22"/>
          <w:szCs w:val="22"/>
        </w:rPr>
        <w:t>“)</w:t>
      </w:r>
    </w:p>
    <w:p w14:paraId="7F0F36B9" w14:textId="77777777" w:rsidR="00FE7363" w:rsidRPr="005329D0" w:rsidRDefault="00FE7363" w:rsidP="00FE7363">
      <w:pPr>
        <w:spacing w:after="120"/>
        <w:ind w:left="426" w:right="-426"/>
        <w:jc w:val="both"/>
        <w:rPr>
          <w:rFonts w:asciiTheme="minorHAnsi" w:hAnsiTheme="minorHAnsi" w:cstheme="minorHAnsi"/>
          <w:sz w:val="22"/>
          <w:szCs w:val="22"/>
        </w:rPr>
      </w:pPr>
    </w:p>
    <w:p w14:paraId="4DBF96C9" w14:textId="1204B34E" w:rsidR="00FE7363" w:rsidRDefault="00FE7363" w:rsidP="008F4332">
      <w:pPr>
        <w:spacing w:after="120"/>
        <w:ind w:right="-426"/>
        <w:jc w:val="both"/>
        <w:rPr>
          <w:rFonts w:asciiTheme="minorHAnsi" w:hAnsiTheme="minorHAnsi" w:cstheme="minorHAnsi"/>
          <w:b/>
          <w:bCs/>
          <w:smallCaps/>
          <w:sz w:val="22"/>
          <w:szCs w:val="22"/>
        </w:rPr>
      </w:pPr>
      <w:r w:rsidRPr="005329D0">
        <w:rPr>
          <w:rFonts w:asciiTheme="minorHAnsi" w:hAnsiTheme="minorHAnsi" w:cstheme="minorHAnsi"/>
          <w:sz w:val="22"/>
          <w:szCs w:val="22"/>
        </w:rPr>
        <w:t xml:space="preserve">uzavírají níže uvedeného dne, měsíce a roku ve smyslu </w:t>
      </w:r>
      <w:proofErr w:type="spellStart"/>
      <w:r w:rsidRPr="005329D0">
        <w:rPr>
          <w:rFonts w:asciiTheme="minorHAnsi" w:hAnsiTheme="minorHAnsi" w:cstheme="minorHAnsi"/>
          <w:sz w:val="22"/>
          <w:szCs w:val="22"/>
        </w:rPr>
        <w:t>ust</w:t>
      </w:r>
      <w:proofErr w:type="spellEnd"/>
      <w:r w:rsidRPr="005329D0">
        <w:rPr>
          <w:rFonts w:asciiTheme="minorHAnsi" w:hAnsiTheme="minorHAnsi" w:cstheme="minorHAnsi"/>
          <w:sz w:val="22"/>
          <w:szCs w:val="22"/>
        </w:rPr>
        <w:t>. § 11a a násl. zákona č. 229/1991 Sb., o úpravě vlastnických vztahů k půdě a jinému zemědělskému majetku, v platném znění (dále jen „</w:t>
      </w:r>
      <w:r w:rsidRPr="005329D0">
        <w:rPr>
          <w:rFonts w:asciiTheme="minorHAnsi" w:hAnsiTheme="minorHAnsi" w:cstheme="minorHAnsi"/>
          <w:b/>
          <w:sz w:val="22"/>
          <w:szCs w:val="22"/>
        </w:rPr>
        <w:t>zákon o půdě</w:t>
      </w:r>
      <w:r w:rsidRPr="005329D0">
        <w:rPr>
          <w:rFonts w:asciiTheme="minorHAnsi" w:hAnsiTheme="minorHAnsi" w:cstheme="minorHAnsi"/>
          <w:sz w:val="22"/>
          <w:szCs w:val="22"/>
        </w:rPr>
        <w:t>“), tuto</w:t>
      </w:r>
    </w:p>
    <w:p w14:paraId="4A087BE1" w14:textId="77777777" w:rsidR="00FE7363" w:rsidRPr="005329D0" w:rsidRDefault="00FE7363" w:rsidP="00FE7363">
      <w:pPr>
        <w:keepNext/>
        <w:keepLines/>
        <w:spacing w:before="240" w:after="240"/>
        <w:ind w:left="425" w:right="-426"/>
        <w:jc w:val="center"/>
        <w:rPr>
          <w:rFonts w:asciiTheme="minorHAnsi" w:hAnsiTheme="minorHAnsi" w:cstheme="minorHAnsi"/>
          <w:b/>
          <w:bCs/>
          <w:smallCaps/>
          <w:sz w:val="22"/>
          <w:szCs w:val="22"/>
        </w:rPr>
      </w:pPr>
      <w:r w:rsidRPr="005329D0">
        <w:rPr>
          <w:rFonts w:asciiTheme="minorHAnsi" w:hAnsiTheme="minorHAnsi" w:cstheme="minorHAnsi"/>
          <w:b/>
          <w:bCs/>
          <w:smallCaps/>
          <w:sz w:val="22"/>
          <w:szCs w:val="22"/>
        </w:rPr>
        <w:t>smlouvu o převodu nemovité věci</w:t>
      </w:r>
    </w:p>
    <w:p w14:paraId="42853EEE" w14:textId="77777777" w:rsidR="00FE7363" w:rsidRPr="005329D0" w:rsidRDefault="00FE7363" w:rsidP="00FE7363">
      <w:pPr>
        <w:keepNext/>
        <w:keepLines/>
        <w:spacing w:before="240" w:after="120"/>
        <w:ind w:left="425" w:right="-426"/>
        <w:jc w:val="center"/>
        <w:rPr>
          <w:rFonts w:asciiTheme="minorHAnsi" w:hAnsiTheme="minorHAnsi" w:cstheme="minorHAnsi"/>
          <w:b/>
          <w:sz w:val="22"/>
          <w:szCs w:val="22"/>
        </w:rPr>
      </w:pPr>
      <w:r w:rsidRPr="005329D0">
        <w:rPr>
          <w:rFonts w:asciiTheme="minorHAnsi" w:hAnsiTheme="minorHAnsi" w:cstheme="minorHAnsi"/>
          <w:b/>
          <w:sz w:val="22"/>
          <w:szCs w:val="22"/>
        </w:rPr>
        <w:t>I.</w:t>
      </w:r>
    </w:p>
    <w:p w14:paraId="0CCC0249" w14:textId="51ECDA62" w:rsidR="00FE7363" w:rsidRDefault="00FE7363" w:rsidP="00FE7363">
      <w:pPr>
        <w:autoSpaceDE w:val="0"/>
        <w:autoSpaceDN w:val="0"/>
        <w:adjustRightInd w:val="0"/>
        <w:ind w:right="-426"/>
        <w:jc w:val="both"/>
        <w:rPr>
          <w:rFonts w:asciiTheme="minorHAnsi" w:eastAsia="Garamond-Bold" w:hAnsiTheme="minorHAnsi" w:cstheme="minorHAnsi"/>
          <w:bCs/>
          <w:sz w:val="22"/>
          <w:szCs w:val="22"/>
          <w:lang w:eastAsia="cs-CZ"/>
        </w:rPr>
      </w:pPr>
      <w:r w:rsidRPr="005329D0">
        <w:rPr>
          <w:rFonts w:asciiTheme="minorHAnsi" w:eastAsia="Garamond-Bold" w:hAnsiTheme="minorHAnsi" w:cstheme="minorHAnsi"/>
          <w:bCs/>
          <w:sz w:val="22"/>
          <w:szCs w:val="22"/>
          <w:lang w:eastAsia="cs-CZ"/>
        </w:rPr>
        <w:t xml:space="preserve">Touto smlouvou se převodce zavazuje </w:t>
      </w:r>
      <w:r w:rsidRPr="0035482E">
        <w:rPr>
          <w:rFonts w:asciiTheme="minorHAnsi" w:eastAsia="Garamond-Bold" w:hAnsiTheme="minorHAnsi" w:cstheme="minorHAnsi"/>
          <w:bCs/>
          <w:sz w:val="22"/>
          <w:szCs w:val="22"/>
          <w:lang w:eastAsia="cs-CZ"/>
        </w:rPr>
        <w:t xml:space="preserve">převést na nabyvatele vlastnické právo k nemovitým věcem – pozemkům (dále jen „pozemky") ve prospěch nabyvatelů, a to v rozsahu id. ¼ ve prospěch Andrew Michael </w:t>
      </w:r>
      <w:proofErr w:type="spellStart"/>
      <w:r w:rsidRPr="0035482E">
        <w:rPr>
          <w:rFonts w:asciiTheme="minorHAnsi" w:eastAsia="Garamond-Bold" w:hAnsiTheme="minorHAnsi" w:cstheme="minorHAnsi"/>
          <w:bCs/>
          <w:sz w:val="22"/>
          <w:szCs w:val="22"/>
          <w:lang w:eastAsia="cs-CZ"/>
        </w:rPr>
        <w:t>Jirat-Wasiutynski</w:t>
      </w:r>
      <w:proofErr w:type="spellEnd"/>
      <w:r w:rsidRPr="0035482E">
        <w:rPr>
          <w:rFonts w:asciiTheme="minorHAnsi" w:eastAsia="Garamond-Bold" w:hAnsiTheme="minorHAnsi" w:cstheme="minorHAnsi"/>
          <w:bCs/>
          <w:sz w:val="22"/>
          <w:szCs w:val="22"/>
          <w:lang w:eastAsia="cs-CZ"/>
        </w:rPr>
        <w:t xml:space="preserve"> a id. ¾ ve prospěch Marie</w:t>
      </w:r>
      <w:r w:rsidRPr="005329D0">
        <w:rPr>
          <w:rFonts w:asciiTheme="minorHAnsi" w:eastAsia="Garamond-Bold" w:hAnsiTheme="minorHAnsi" w:cstheme="minorHAnsi"/>
          <w:bCs/>
          <w:sz w:val="22"/>
          <w:szCs w:val="22"/>
          <w:lang w:eastAsia="cs-CZ"/>
        </w:rPr>
        <w:t xml:space="preserve"> </w:t>
      </w:r>
      <w:proofErr w:type="spellStart"/>
      <w:r w:rsidRPr="005329D0">
        <w:rPr>
          <w:rFonts w:asciiTheme="minorHAnsi" w:eastAsia="Garamond-Bold" w:hAnsiTheme="minorHAnsi" w:cstheme="minorHAnsi"/>
          <w:bCs/>
          <w:sz w:val="22"/>
          <w:szCs w:val="22"/>
          <w:lang w:eastAsia="cs-CZ"/>
        </w:rPr>
        <w:t>Éve</w:t>
      </w:r>
      <w:proofErr w:type="spellEnd"/>
      <w:r w:rsidRPr="005329D0">
        <w:rPr>
          <w:rFonts w:asciiTheme="minorHAnsi" w:eastAsia="Garamond-Bold" w:hAnsiTheme="minorHAnsi" w:cstheme="minorHAnsi"/>
          <w:bCs/>
          <w:sz w:val="22"/>
          <w:szCs w:val="22"/>
          <w:lang w:eastAsia="cs-CZ"/>
        </w:rPr>
        <w:t xml:space="preserve"> </w:t>
      </w:r>
      <w:proofErr w:type="spellStart"/>
      <w:r w:rsidRPr="005329D0">
        <w:rPr>
          <w:rFonts w:asciiTheme="minorHAnsi" w:eastAsia="Garamond-Bold" w:hAnsiTheme="minorHAnsi" w:cstheme="minorHAnsi"/>
          <w:bCs/>
          <w:sz w:val="22"/>
          <w:szCs w:val="22"/>
          <w:lang w:eastAsia="cs-CZ"/>
        </w:rPr>
        <w:t>Jirat-Wasiutynski</w:t>
      </w:r>
      <w:proofErr w:type="spellEnd"/>
      <w:r w:rsidRPr="005329D0">
        <w:rPr>
          <w:rFonts w:asciiTheme="minorHAnsi" w:eastAsia="Garamond-Bold" w:hAnsiTheme="minorHAnsi" w:cstheme="minorHAnsi"/>
          <w:bCs/>
          <w:sz w:val="22"/>
          <w:szCs w:val="22"/>
          <w:lang w:eastAsia="cs-CZ"/>
        </w:rPr>
        <w:t>, specifikovaným v čl. II. této smlouvy, vč. jejich součástí a příslušenství, se všemi právy a povinnostmi, a tyto pozemky nabyvateli odevzdat a nabyvatel se zavazuje pozemky ve stavu, v jakém se ke dni podpisu této smlouvy nacházejí, převzít a poskytnout za ně protiplnění způsobem uvedeným v čl. IV. této smlouvy.</w:t>
      </w:r>
    </w:p>
    <w:p w14:paraId="09806B7C" w14:textId="77777777" w:rsidR="00FE7363" w:rsidRPr="005329D0" w:rsidRDefault="00FE7363" w:rsidP="00FE7363">
      <w:pPr>
        <w:autoSpaceDE w:val="0"/>
        <w:autoSpaceDN w:val="0"/>
        <w:adjustRightInd w:val="0"/>
        <w:ind w:right="-426"/>
        <w:jc w:val="both"/>
        <w:rPr>
          <w:rFonts w:asciiTheme="minorHAnsi" w:hAnsiTheme="minorHAnsi" w:cstheme="minorHAnsi"/>
          <w:sz w:val="22"/>
          <w:szCs w:val="22"/>
        </w:rPr>
      </w:pPr>
    </w:p>
    <w:p w14:paraId="1EA83A08" w14:textId="614C4CC6" w:rsidR="00FE7363" w:rsidRDefault="00FE7363" w:rsidP="00FE7363">
      <w:pPr>
        <w:autoSpaceDE w:val="0"/>
        <w:autoSpaceDN w:val="0"/>
        <w:adjustRightInd w:val="0"/>
        <w:ind w:right="-426"/>
        <w:jc w:val="both"/>
        <w:rPr>
          <w:rFonts w:asciiTheme="minorHAnsi" w:eastAsiaTheme="minorHAnsi" w:hAnsiTheme="minorHAnsi" w:cstheme="minorHAnsi"/>
          <w:b/>
          <w:bCs/>
          <w:sz w:val="22"/>
          <w:szCs w:val="22"/>
        </w:rPr>
      </w:pPr>
      <w:r w:rsidRPr="005329D0">
        <w:rPr>
          <w:rFonts w:asciiTheme="minorHAnsi" w:hAnsiTheme="minorHAnsi" w:cstheme="minorHAnsi"/>
          <w:sz w:val="22"/>
          <w:szCs w:val="22"/>
        </w:rPr>
        <w:t xml:space="preserve">Podle vyhlášky č. 316/1990 Sb., kterou se mění a doplňuje vyhláška č. 182/1988 Sb., o cenách staveb, pozemků, trvalých porostů, úhradách za zřízení práva osobního užívání pozemků a náhradách za </w:t>
      </w:r>
      <w:r w:rsidRPr="00FE7363">
        <w:rPr>
          <w:rFonts w:asciiTheme="minorHAnsi" w:hAnsiTheme="minorHAnsi" w:cstheme="minorHAnsi"/>
          <w:sz w:val="22"/>
          <w:szCs w:val="22"/>
        </w:rPr>
        <w:t xml:space="preserve">dočasné užívání pozemků, v platném znění, činí hodnota pozemků specifikovaných v čl. II. této smlouvy celkem částku </w:t>
      </w:r>
      <w:r w:rsidR="00061AE1" w:rsidRPr="008F4332">
        <w:rPr>
          <w:rFonts w:asciiTheme="minorHAnsi" w:eastAsiaTheme="minorHAnsi" w:hAnsiTheme="minorHAnsi" w:cstheme="minorHAnsi"/>
          <w:b/>
          <w:bCs/>
          <w:sz w:val="22"/>
          <w:szCs w:val="22"/>
        </w:rPr>
        <w:t>15 613 Kč.</w:t>
      </w:r>
    </w:p>
    <w:p w14:paraId="4A851474" w14:textId="0EB73B2C" w:rsidR="00061AE1" w:rsidRDefault="00061AE1" w:rsidP="00FE7363">
      <w:pPr>
        <w:autoSpaceDE w:val="0"/>
        <w:autoSpaceDN w:val="0"/>
        <w:adjustRightInd w:val="0"/>
        <w:ind w:right="-426"/>
        <w:jc w:val="both"/>
        <w:rPr>
          <w:rFonts w:asciiTheme="minorHAnsi" w:eastAsiaTheme="minorHAnsi" w:hAnsiTheme="minorHAnsi" w:cstheme="minorHAnsi"/>
          <w:b/>
          <w:bCs/>
          <w:sz w:val="22"/>
          <w:szCs w:val="22"/>
        </w:rPr>
      </w:pPr>
    </w:p>
    <w:p w14:paraId="2665AE40" w14:textId="5621FD34" w:rsidR="00061AE1" w:rsidRDefault="00061AE1" w:rsidP="00FE7363">
      <w:p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Nároky žalobců vyplývají z:</w:t>
      </w:r>
    </w:p>
    <w:p w14:paraId="0B5EC94D" w14:textId="36705610" w:rsidR="00061AE1" w:rsidRPr="008F4332" w:rsidRDefault="00061AE1" w:rsidP="008F4332">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 015017/2014/</w:t>
      </w:r>
      <w:proofErr w:type="spellStart"/>
      <w:r>
        <w:rPr>
          <w:rFonts w:asciiTheme="minorHAnsi" w:eastAsiaTheme="minorHAnsi" w:hAnsiTheme="minorHAnsi" w:cstheme="minorHAnsi"/>
          <w:sz w:val="22"/>
          <w:szCs w:val="22"/>
        </w:rPr>
        <w:t>Pob</w:t>
      </w:r>
      <w:proofErr w:type="spellEnd"/>
      <w:r>
        <w:rPr>
          <w:rFonts w:asciiTheme="minorHAnsi" w:eastAsiaTheme="minorHAnsi" w:hAnsiTheme="minorHAnsi" w:cstheme="minorHAnsi"/>
          <w:sz w:val="22"/>
          <w:szCs w:val="22"/>
        </w:rPr>
        <w:t>/</w:t>
      </w:r>
      <w:proofErr w:type="spellStart"/>
      <w:r>
        <w:rPr>
          <w:rFonts w:asciiTheme="minorHAnsi" w:eastAsiaTheme="minorHAnsi" w:hAnsiTheme="minorHAnsi" w:cstheme="minorHAnsi"/>
          <w:sz w:val="22"/>
          <w:szCs w:val="22"/>
        </w:rPr>
        <w:t>Kr</w:t>
      </w:r>
      <w:proofErr w:type="spellEnd"/>
      <w:r>
        <w:rPr>
          <w:rFonts w:asciiTheme="minorHAnsi" w:eastAsiaTheme="minorHAnsi" w:hAnsiTheme="minorHAnsi" w:cstheme="minorHAnsi"/>
          <w:sz w:val="22"/>
          <w:szCs w:val="22"/>
        </w:rPr>
        <w:t xml:space="preserve"> ze dne 15.</w:t>
      </w:r>
      <w:r w:rsidR="0055385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1.</w:t>
      </w:r>
      <w:r w:rsidR="0055385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2014, nárok na vydání pozemků nacházejících se v k. </w:t>
      </w:r>
      <w:proofErr w:type="spellStart"/>
      <w:r>
        <w:rPr>
          <w:rFonts w:asciiTheme="minorHAnsi" w:eastAsiaTheme="minorHAnsi" w:hAnsiTheme="minorHAnsi" w:cstheme="minorHAnsi"/>
          <w:sz w:val="22"/>
          <w:szCs w:val="22"/>
        </w:rPr>
        <w:t>ú.</w:t>
      </w:r>
      <w:proofErr w:type="spellEnd"/>
      <w:r>
        <w:rPr>
          <w:rFonts w:asciiTheme="minorHAnsi" w:eastAsiaTheme="minorHAnsi" w:hAnsiTheme="minorHAnsi" w:cstheme="minorHAnsi"/>
          <w:sz w:val="22"/>
          <w:szCs w:val="22"/>
        </w:rPr>
        <w:t xml:space="preserve"> Vrchovany ve výši 949.629 Kč,</w:t>
      </w:r>
    </w:p>
    <w:p w14:paraId="4904017F" w14:textId="7A9F3935"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 098956/2014/</w:t>
      </w:r>
      <w:proofErr w:type="spellStart"/>
      <w:r>
        <w:rPr>
          <w:rFonts w:asciiTheme="minorHAnsi" w:eastAsiaTheme="minorHAnsi" w:hAnsiTheme="minorHAnsi" w:cstheme="minorHAnsi"/>
          <w:sz w:val="22"/>
          <w:szCs w:val="22"/>
        </w:rPr>
        <w:t>Pob</w:t>
      </w:r>
      <w:proofErr w:type="spellEnd"/>
      <w:r>
        <w:rPr>
          <w:rFonts w:asciiTheme="minorHAnsi" w:eastAsiaTheme="minorHAnsi" w:hAnsiTheme="minorHAnsi" w:cstheme="minorHAnsi"/>
          <w:sz w:val="22"/>
          <w:szCs w:val="22"/>
        </w:rPr>
        <w:t>/</w:t>
      </w:r>
      <w:proofErr w:type="spellStart"/>
      <w:r>
        <w:rPr>
          <w:rFonts w:asciiTheme="minorHAnsi" w:eastAsiaTheme="minorHAnsi" w:hAnsiTheme="minorHAnsi" w:cstheme="minorHAnsi"/>
          <w:sz w:val="22"/>
          <w:szCs w:val="22"/>
        </w:rPr>
        <w:t>Kr</w:t>
      </w:r>
      <w:proofErr w:type="spellEnd"/>
      <w:r>
        <w:rPr>
          <w:rFonts w:asciiTheme="minorHAnsi" w:eastAsiaTheme="minorHAnsi" w:hAnsiTheme="minorHAnsi" w:cstheme="minorHAnsi"/>
          <w:sz w:val="22"/>
          <w:szCs w:val="22"/>
        </w:rPr>
        <w:t xml:space="preserve"> ze dne 14. 3. 2014, nárok na vydání pozemků nacházejících se v k. </w:t>
      </w:r>
      <w:proofErr w:type="spellStart"/>
      <w:r>
        <w:rPr>
          <w:rFonts w:asciiTheme="minorHAnsi" w:eastAsiaTheme="minorHAnsi" w:hAnsiTheme="minorHAnsi" w:cstheme="minorHAnsi"/>
          <w:sz w:val="22"/>
          <w:szCs w:val="22"/>
        </w:rPr>
        <w:t>ú.</w:t>
      </w:r>
      <w:proofErr w:type="spellEnd"/>
      <w:r>
        <w:rPr>
          <w:rFonts w:asciiTheme="minorHAnsi" w:eastAsiaTheme="minorHAnsi" w:hAnsiTheme="minorHAnsi" w:cstheme="minorHAnsi"/>
          <w:sz w:val="22"/>
          <w:szCs w:val="22"/>
        </w:rPr>
        <w:t xml:space="preserve"> Lhota u Dřevčic</w:t>
      </w:r>
      <w:r w:rsidR="00553853">
        <w:rPr>
          <w:rFonts w:asciiTheme="minorHAnsi" w:eastAsiaTheme="minorHAnsi" w:hAnsiTheme="minorHAnsi" w:cstheme="minorHAnsi"/>
          <w:sz w:val="22"/>
          <w:szCs w:val="22"/>
        </w:rPr>
        <w:t xml:space="preserve"> ve výši 136.698 Kč,</w:t>
      </w:r>
    </w:p>
    <w:p w14:paraId="55E3E29F" w14:textId="32BEFC07"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 xml:space="preserve"> 159411/2015/</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Va</w:t>
      </w:r>
      <w:proofErr w:type="spellEnd"/>
      <w:r w:rsidR="00553853">
        <w:rPr>
          <w:rFonts w:asciiTheme="minorHAnsi" w:eastAsiaTheme="minorHAnsi" w:hAnsiTheme="minorHAnsi" w:cstheme="minorHAnsi"/>
          <w:sz w:val="22"/>
          <w:szCs w:val="22"/>
        </w:rPr>
        <w:t xml:space="preserve"> ze dne 7. 4. 2015,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Deštná u Dubé ve výši 7.090.812 Kč,</w:t>
      </w:r>
    </w:p>
    <w:p w14:paraId="08F1A34B" w14:textId="4C0760F6"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 xml:space="preserve"> 161171/2014/</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Kr</w:t>
      </w:r>
      <w:proofErr w:type="spellEnd"/>
      <w:r w:rsidR="00553853">
        <w:rPr>
          <w:rFonts w:asciiTheme="minorHAnsi" w:eastAsiaTheme="minorHAnsi" w:hAnsiTheme="minorHAnsi" w:cstheme="minorHAnsi"/>
          <w:sz w:val="22"/>
          <w:szCs w:val="22"/>
        </w:rPr>
        <w:t xml:space="preserve"> ze dne 16. 4. 2014,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Dubá ve výši 901.286 Kč,</w:t>
      </w:r>
    </w:p>
    <w:p w14:paraId="197D2979" w14:textId="5E2365BA"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Rozhodnutí SPÚ č.1. SPU</w:t>
      </w:r>
      <w:r w:rsidR="00553853">
        <w:rPr>
          <w:rFonts w:asciiTheme="minorHAnsi" w:eastAsiaTheme="minorHAnsi" w:hAnsiTheme="minorHAnsi" w:cstheme="minorHAnsi"/>
          <w:sz w:val="22"/>
          <w:szCs w:val="22"/>
        </w:rPr>
        <w:t xml:space="preserve"> 248031/2014/</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Va</w:t>
      </w:r>
      <w:proofErr w:type="spellEnd"/>
      <w:r w:rsidR="00553853">
        <w:rPr>
          <w:rFonts w:asciiTheme="minorHAnsi" w:eastAsiaTheme="minorHAnsi" w:hAnsiTheme="minorHAnsi" w:cstheme="minorHAnsi"/>
          <w:sz w:val="22"/>
          <w:szCs w:val="22"/>
        </w:rPr>
        <w:t xml:space="preserve"> ze dne 4. 6. 2014,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w:t>
      </w:r>
      <w:proofErr w:type="spellStart"/>
      <w:r w:rsidR="00553853">
        <w:rPr>
          <w:rFonts w:asciiTheme="minorHAnsi" w:eastAsiaTheme="minorHAnsi" w:hAnsiTheme="minorHAnsi" w:cstheme="minorHAnsi"/>
          <w:sz w:val="22"/>
          <w:szCs w:val="22"/>
        </w:rPr>
        <w:t>Tuháň</w:t>
      </w:r>
      <w:proofErr w:type="spellEnd"/>
      <w:r w:rsidR="00553853">
        <w:rPr>
          <w:rFonts w:asciiTheme="minorHAnsi" w:eastAsiaTheme="minorHAnsi" w:hAnsiTheme="minorHAnsi" w:cstheme="minorHAnsi"/>
          <w:sz w:val="22"/>
          <w:szCs w:val="22"/>
        </w:rPr>
        <w:t xml:space="preserve"> u Dubé ve </w:t>
      </w:r>
      <w:proofErr w:type="spellStart"/>
      <w:r w:rsidR="00553853">
        <w:rPr>
          <w:rFonts w:asciiTheme="minorHAnsi" w:eastAsiaTheme="minorHAnsi" w:hAnsiTheme="minorHAnsi" w:cstheme="minorHAnsi"/>
          <w:sz w:val="22"/>
          <w:szCs w:val="22"/>
        </w:rPr>
        <w:t>výsí</w:t>
      </w:r>
      <w:proofErr w:type="spellEnd"/>
      <w:r w:rsidR="00553853">
        <w:rPr>
          <w:rFonts w:asciiTheme="minorHAnsi" w:eastAsiaTheme="minorHAnsi" w:hAnsiTheme="minorHAnsi" w:cstheme="minorHAnsi"/>
          <w:sz w:val="22"/>
          <w:szCs w:val="22"/>
        </w:rPr>
        <w:t xml:space="preserve"> 150.078 Kč,</w:t>
      </w:r>
    </w:p>
    <w:p w14:paraId="33A85EC6" w14:textId="40A676C2"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 xml:space="preserve"> 261577/2014/</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Va</w:t>
      </w:r>
      <w:proofErr w:type="spellEnd"/>
      <w:r w:rsidR="00553853">
        <w:rPr>
          <w:rFonts w:asciiTheme="minorHAnsi" w:eastAsiaTheme="minorHAnsi" w:hAnsiTheme="minorHAnsi" w:cstheme="minorHAnsi"/>
          <w:sz w:val="22"/>
          <w:szCs w:val="22"/>
        </w:rPr>
        <w:t xml:space="preserve"> ze dne 10. 6. 2014,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w:t>
      </w:r>
      <w:proofErr w:type="spellStart"/>
      <w:r w:rsidR="00553853">
        <w:rPr>
          <w:rFonts w:asciiTheme="minorHAnsi" w:eastAsiaTheme="minorHAnsi" w:hAnsiTheme="minorHAnsi" w:cstheme="minorHAnsi"/>
          <w:sz w:val="22"/>
          <w:szCs w:val="22"/>
        </w:rPr>
        <w:t>Tuhanec</w:t>
      </w:r>
      <w:proofErr w:type="spellEnd"/>
      <w:r w:rsidR="00553853">
        <w:rPr>
          <w:rFonts w:asciiTheme="minorHAnsi" w:eastAsiaTheme="minorHAnsi" w:hAnsiTheme="minorHAnsi" w:cstheme="minorHAnsi"/>
          <w:sz w:val="22"/>
          <w:szCs w:val="22"/>
        </w:rPr>
        <w:t xml:space="preserve"> ve výši 35.289 Kč,</w:t>
      </w:r>
    </w:p>
    <w:p w14:paraId="01CD182F" w14:textId="7F618D7B"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 xml:space="preserve"> 321726/2014/</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Va</w:t>
      </w:r>
      <w:proofErr w:type="spellEnd"/>
      <w:r w:rsidR="00553853">
        <w:rPr>
          <w:rFonts w:asciiTheme="minorHAnsi" w:eastAsiaTheme="minorHAnsi" w:hAnsiTheme="minorHAnsi" w:cstheme="minorHAnsi"/>
          <w:sz w:val="22"/>
          <w:szCs w:val="22"/>
        </w:rPr>
        <w:t xml:space="preserve"> ze dne 11. 7. 2014,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Domašice ve výši 1.200.800 Kč,</w:t>
      </w:r>
    </w:p>
    <w:p w14:paraId="214B1791" w14:textId="797E9B53"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 xml:space="preserve"> 425325/2014/</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Va</w:t>
      </w:r>
      <w:proofErr w:type="spellEnd"/>
      <w:r w:rsidR="00553853">
        <w:rPr>
          <w:rFonts w:asciiTheme="minorHAnsi" w:eastAsiaTheme="minorHAnsi" w:hAnsiTheme="minorHAnsi" w:cstheme="minorHAnsi"/>
          <w:sz w:val="22"/>
          <w:szCs w:val="22"/>
        </w:rPr>
        <w:t xml:space="preserve"> ze dne 12. 9. 2014,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w:t>
      </w:r>
      <w:proofErr w:type="spellStart"/>
      <w:r w:rsidR="00553853">
        <w:rPr>
          <w:rFonts w:asciiTheme="minorHAnsi" w:eastAsiaTheme="minorHAnsi" w:hAnsiTheme="minorHAnsi" w:cstheme="minorHAnsi"/>
          <w:sz w:val="22"/>
          <w:szCs w:val="22"/>
        </w:rPr>
        <w:t>Zakšín</w:t>
      </w:r>
      <w:proofErr w:type="spellEnd"/>
      <w:r w:rsidR="00553853">
        <w:rPr>
          <w:rFonts w:asciiTheme="minorHAnsi" w:eastAsiaTheme="minorHAnsi" w:hAnsiTheme="minorHAnsi" w:cstheme="minorHAnsi"/>
          <w:sz w:val="22"/>
          <w:szCs w:val="22"/>
        </w:rPr>
        <w:t xml:space="preserve"> ve výši 236.755 Kč,</w:t>
      </w:r>
    </w:p>
    <w:p w14:paraId="032557D5" w14:textId="451DF9D7"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 xml:space="preserve"> 437981/2014/</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Va</w:t>
      </w:r>
      <w:proofErr w:type="spellEnd"/>
      <w:r w:rsidR="00553853">
        <w:rPr>
          <w:rFonts w:asciiTheme="minorHAnsi" w:eastAsiaTheme="minorHAnsi" w:hAnsiTheme="minorHAnsi" w:cstheme="minorHAnsi"/>
          <w:sz w:val="22"/>
          <w:szCs w:val="22"/>
        </w:rPr>
        <w:t xml:space="preserve"> ze dne 12. 9. 2014,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w:t>
      </w:r>
      <w:proofErr w:type="spellStart"/>
      <w:r w:rsidR="00553853">
        <w:rPr>
          <w:rFonts w:asciiTheme="minorHAnsi" w:eastAsiaTheme="minorHAnsi" w:hAnsiTheme="minorHAnsi" w:cstheme="minorHAnsi"/>
          <w:sz w:val="22"/>
          <w:szCs w:val="22"/>
        </w:rPr>
        <w:t>Nedamov</w:t>
      </w:r>
      <w:proofErr w:type="spellEnd"/>
      <w:r w:rsidR="00553853">
        <w:rPr>
          <w:rFonts w:asciiTheme="minorHAnsi" w:eastAsiaTheme="minorHAnsi" w:hAnsiTheme="minorHAnsi" w:cstheme="minorHAnsi"/>
          <w:sz w:val="22"/>
          <w:szCs w:val="22"/>
        </w:rPr>
        <w:t xml:space="preserve"> ve výši 878.023 Kč,</w:t>
      </w:r>
    </w:p>
    <w:p w14:paraId="3CCE6CC9" w14:textId="3944124E"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612212/2014/</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Va</w:t>
      </w:r>
      <w:proofErr w:type="spellEnd"/>
      <w:r w:rsidR="00553853">
        <w:rPr>
          <w:rFonts w:asciiTheme="minorHAnsi" w:eastAsiaTheme="minorHAnsi" w:hAnsiTheme="minorHAnsi" w:cstheme="minorHAnsi"/>
          <w:sz w:val="22"/>
          <w:szCs w:val="22"/>
        </w:rPr>
        <w:t xml:space="preserve"> ze dne 9. 1. 2015,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Dubá ve výši 7.197.900 Kč,</w:t>
      </w:r>
    </w:p>
    <w:p w14:paraId="46BF7001" w14:textId="0956C4D0" w:rsidR="00061AE1" w:rsidRPr="005F4A69" w:rsidRDefault="00061AE1" w:rsidP="00061AE1">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 xml:space="preserve"> 105801/2014/</w:t>
      </w:r>
      <w:proofErr w:type="spellStart"/>
      <w:r w:rsidR="00553853">
        <w:rPr>
          <w:rFonts w:asciiTheme="minorHAnsi" w:eastAsiaTheme="minorHAnsi" w:hAnsiTheme="minorHAnsi" w:cstheme="minorHAnsi"/>
          <w:sz w:val="22"/>
          <w:szCs w:val="22"/>
        </w:rPr>
        <w:t>Pob</w:t>
      </w:r>
      <w:proofErr w:type="spellEnd"/>
      <w:r w:rsidR="00553853">
        <w:rPr>
          <w:rFonts w:asciiTheme="minorHAnsi" w:eastAsiaTheme="minorHAnsi" w:hAnsiTheme="minorHAnsi" w:cstheme="minorHAnsi"/>
          <w:sz w:val="22"/>
          <w:szCs w:val="22"/>
        </w:rPr>
        <w:t>/</w:t>
      </w:r>
      <w:proofErr w:type="spellStart"/>
      <w:r w:rsidR="00553853">
        <w:rPr>
          <w:rFonts w:asciiTheme="minorHAnsi" w:eastAsiaTheme="minorHAnsi" w:hAnsiTheme="minorHAnsi" w:cstheme="minorHAnsi"/>
          <w:sz w:val="22"/>
          <w:szCs w:val="22"/>
        </w:rPr>
        <w:t>Kr</w:t>
      </w:r>
      <w:proofErr w:type="spellEnd"/>
      <w:r w:rsidR="00553853">
        <w:rPr>
          <w:rFonts w:asciiTheme="minorHAnsi" w:eastAsiaTheme="minorHAnsi" w:hAnsiTheme="minorHAnsi" w:cstheme="minorHAnsi"/>
          <w:sz w:val="22"/>
          <w:szCs w:val="22"/>
        </w:rPr>
        <w:t xml:space="preserve"> ze dne 14. 3. 2014, nárok na vydání pozemků nacházejících se v k. </w:t>
      </w:r>
      <w:proofErr w:type="spellStart"/>
      <w:r w:rsidR="00553853">
        <w:rPr>
          <w:rFonts w:asciiTheme="minorHAnsi" w:eastAsiaTheme="minorHAnsi" w:hAnsiTheme="minorHAnsi" w:cstheme="minorHAnsi"/>
          <w:sz w:val="22"/>
          <w:szCs w:val="22"/>
        </w:rPr>
        <w:t>ú.</w:t>
      </w:r>
      <w:proofErr w:type="spellEnd"/>
      <w:r w:rsidR="00553853">
        <w:rPr>
          <w:rFonts w:asciiTheme="minorHAnsi" w:eastAsiaTheme="minorHAnsi" w:hAnsiTheme="minorHAnsi" w:cstheme="minorHAnsi"/>
          <w:sz w:val="22"/>
          <w:szCs w:val="22"/>
        </w:rPr>
        <w:t xml:space="preserve"> Pavličky ve výši 83.646 Kč,</w:t>
      </w:r>
    </w:p>
    <w:p w14:paraId="0AEABD62" w14:textId="42AE3BC3" w:rsidR="00061AE1" w:rsidRPr="008F4332" w:rsidRDefault="00061AE1" w:rsidP="008F4332">
      <w:pPr>
        <w:pStyle w:val="Odstavecseseznamem"/>
        <w:numPr>
          <w:ilvl w:val="0"/>
          <w:numId w:val="44"/>
        </w:numPr>
        <w:autoSpaceDE w:val="0"/>
        <w:autoSpaceDN w:val="0"/>
        <w:adjustRightInd w:val="0"/>
        <w:ind w:right="-426"/>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Rozhodnutí SPÚ č.1. SPU</w:t>
      </w:r>
      <w:r w:rsidR="00553853">
        <w:rPr>
          <w:rFonts w:asciiTheme="minorHAnsi" w:eastAsiaTheme="minorHAnsi" w:hAnsiTheme="minorHAnsi" w:cstheme="minorHAnsi"/>
          <w:sz w:val="22"/>
          <w:szCs w:val="22"/>
        </w:rPr>
        <w:t xml:space="preserve"> 100517/2014-N ze dne 28.7.2014.</w:t>
      </w:r>
    </w:p>
    <w:p w14:paraId="36C71169" w14:textId="77777777" w:rsidR="00FE7363" w:rsidRPr="005329D0" w:rsidRDefault="00FE7363" w:rsidP="00FE7363">
      <w:pPr>
        <w:spacing w:before="240" w:after="120"/>
        <w:ind w:left="426" w:right="-426"/>
        <w:jc w:val="center"/>
        <w:rPr>
          <w:rFonts w:asciiTheme="minorHAnsi" w:hAnsiTheme="minorHAnsi" w:cstheme="minorHAnsi"/>
          <w:b/>
          <w:sz w:val="22"/>
          <w:szCs w:val="22"/>
        </w:rPr>
      </w:pPr>
      <w:r w:rsidRPr="005329D0">
        <w:rPr>
          <w:rFonts w:asciiTheme="minorHAnsi" w:hAnsiTheme="minorHAnsi" w:cstheme="minorHAnsi"/>
          <w:b/>
          <w:sz w:val="22"/>
          <w:szCs w:val="22"/>
        </w:rPr>
        <w:t>II.</w:t>
      </w:r>
    </w:p>
    <w:p w14:paraId="5715D03F" w14:textId="77777777" w:rsidR="008F4332" w:rsidRDefault="00FE7363" w:rsidP="00FE7363">
      <w:pPr>
        <w:spacing w:after="120"/>
        <w:ind w:right="-426"/>
        <w:jc w:val="both"/>
        <w:rPr>
          <w:rFonts w:asciiTheme="minorHAnsi" w:hAnsiTheme="minorHAnsi" w:cstheme="minorHAnsi"/>
          <w:sz w:val="22"/>
          <w:szCs w:val="22"/>
        </w:rPr>
      </w:pPr>
      <w:r w:rsidRPr="005329D0">
        <w:rPr>
          <w:rFonts w:asciiTheme="minorHAnsi" w:hAnsiTheme="minorHAnsi" w:cstheme="minorHAnsi"/>
          <w:sz w:val="22"/>
          <w:szCs w:val="22"/>
        </w:rPr>
        <w:t>Převodce je ve smyslu zákona č. 503/2012 Sb., o Státním pozemkovém úřadu o změně některých souvisejících zákonů, v platném znění (dále jen „</w:t>
      </w:r>
      <w:r w:rsidRPr="005329D0">
        <w:rPr>
          <w:rFonts w:asciiTheme="minorHAnsi" w:hAnsiTheme="minorHAnsi" w:cstheme="minorHAnsi"/>
          <w:b/>
          <w:sz w:val="22"/>
          <w:szCs w:val="22"/>
        </w:rPr>
        <w:t>zákon o SPÚ</w:t>
      </w:r>
      <w:r w:rsidRPr="005329D0">
        <w:rPr>
          <w:rFonts w:asciiTheme="minorHAnsi" w:hAnsiTheme="minorHAnsi" w:cstheme="minorHAnsi"/>
          <w:sz w:val="22"/>
          <w:szCs w:val="22"/>
        </w:rPr>
        <w:t>“), příslušný hospodařit s následujícími pozemky nacházejícími se:</w:t>
      </w:r>
    </w:p>
    <w:p w14:paraId="586A134D" w14:textId="1D4E8416" w:rsidR="00FE7363" w:rsidRPr="005329D0" w:rsidRDefault="00FE7363" w:rsidP="00FE7363">
      <w:pPr>
        <w:spacing w:after="120"/>
        <w:ind w:right="-426"/>
        <w:jc w:val="both"/>
        <w:rPr>
          <w:rFonts w:asciiTheme="minorHAnsi" w:hAnsiTheme="minorHAnsi" w:cstheme="minorHAnsi"/>
          <w:sz w:val="22"/>
          <w:szCs w:val="22"/>
        </w:rPr>
      </w:pPr>
      <w:r w:rsidRPr="005329D0">
        <w:rPr>
          <w:rFonts w:asciiTheme="minorHAnsi" w:hAnsiTheme="minorHAnsi" w:cstheme="minorHAnsi"/>
          <w:sz w:val="22"/>
          <w:szCs w:val="22"/>
        </w:rPr>
        <w:t xml:space="preserve">1) v katastrálním území </w:t>
      </w:r>
      <w:r w:rsidR="00553853">
        <w:rPr>
          <w:rFonts w:asciiTheme="minorHAnsi" w:hAnsiTheme="minorHAnsi" w:cstheme="minorHAnsi"/>
          <w:sz w:val="22"/>
          <w:szCs w:val="22"/>
        </w:rPr>
        <w:t>Polžice u Horšovského Týna</w:t>
      </w:r>
      <w:r w:rsidRPr="005329D0">
        <w:rPr>
          <w:rFonts w:asciiTheme="minorHAnsi" w:hAnsiTheme="minorHAnsi" w:cstheme="minorHAnsi"/>
          <w:sz w:val="22"/>
          <w:szCs w:val="22"/>
        </w:rPr>
        <w:t xml:space="preserve">, obec </w:t>
      </w:r>
      <w:r w:rsidR="00553853">
        <w:rPr>
          <w:rFonts w:asciiTheme="minorHAnsi" w:hAnsiTheme="minorHAnsi" w:cstheme="minorHAnsi"/>
          <w:sz w:val="22"/>
          <w:szCs w:val="22"/>
        </w:rPr>
        <w:t>Srby</w:t>
      </w:r>
      <w:r w:rsidRPr="005329D0">
        <w:rPr>
          <w:rFonts w:asciiTheme="minorHAnsi" w:hAnsiTheme="minorHAnsi" w:cstheme="minorHAnsi"/>
          <w:sz w:val="22"/>
          <w:szCs w:val="22"/>
        </w:rPr>
        <w:t xml:space="preserve">, zapsanými v katastru nemovitostí vedeném Katastrálním úřadem pro </w:t>
      </w:r>
      <w:r w:rsidR="00553853">
        <w:rPr>
          <w:rFonts w:asciiTheme="minorHAnsi" w:hAnsiTheme="minorHAnsi" w:cstheme="minorHAnsi"/>
          <w:sz w:val="22"/>
          <w:szCs w:val="22"/>
        </w:rPr>
        <w:t>Plzeňský</w:t>
      </w:r>
      <w:r w:rsidR="00553853" w:rsidRPr="005329D0">
        <w:rPr>
          <w:rFonts w:asciiTheme="minorHAnsi" w:hAnsiTheme="minorHAnsi" w:cstheme="minorHAnsi"/>
          <w:sz w:val="22"/>
          <w:szCs w:val="22"/>
        </w:rPr>
        <w:t xml:space="preserve"> </w:t>
      </w:r>
      <w:r w:rsidRPr="005329D0">
        <w:rPr>
          <w:rFonts w:asciiTheme="minorHAnsi" w:hAnsiTheme="minorHAnsi" w:cstheme="minorHAnsi"/>
          <w:sz w:val="22"/>
          <w:szCs w:val="22"/>
        </w:rPr>
        <w:t xml:space="preserve">kraj, Katastrální pracoviště </w:t>
      </w:r>
      <w:r w:rsidR="00553853">
        <w:rPr>
          <w:rFonts w:asciiTheme="minorHAnsi" w:hAnsiTheme="minorHAnsi" w:cstheme="minorHAnsi"/>
          <w:sz w:val="22"/>
          <w:szCs w:val="22"/>
        </w:rPr>
        <w:t>Domažlice</w:t>
      </w:r>
      <w:r w:rsidRPr="005329D0">
        <w:rPr>
          <w:rFonts w:asciiTheme="minorHAnsi" w:hAnsiTheme="minorHAnsi" w:cstheme="minorHAnsi"/>
          <w:sz w:val="22"/>
          <w:szCs w:val="22"/>
        </w:rPr>
        <w:t>, na LV č. 10</w:t>
      </w:r>
      <w:r w:rsidR="00553853">
        <w:rPr>
          <w:rFonts w:asciiTheme="minorHAnsi" w:hAnsiTheme="minorHAnsi" w:cstheme="minorHAnsi"/>
          <w:sz w:val="22"/>
          <w:szCs w:val="22"/>
        </w:rPr>
        <w:t xml:space="preserve"> </w:t>
      </w:r>
      <w:r w:rsidRPr="005329D0">
        <w:rPr>
          <w:rFonts w:asciiTheme="minorHAnsi" w:hAnsiTheme="minorHAnsi" w:cstheme="minorHAnsi"/>
          <w:sz w:val="22"/>
          <w:szCs w:val="22"/>
        </w:rPr>
        <w:t>002:</w:t>
      </w:r>
    </w:p>
    <w:p w14:paraId="7873493C" w14:textId="524BF7AC" w:rsidR="00FE7363" w:rsidRDefault="00FE7363" w:rsidP="00FE7363">
      <w:pPr>
        <w:pStyle w:val="Odstavecseseznamem"/>
        <w:numPr>
          <w:ilvl w:val="0"/>
          <w:numId w:val="5"/>
        </w:numPr>
        <w:spacing w:after="120"/>
        <w:ind w:right="-426"/>
        <w:jc w:val="both"/>
        <w:rPr>
          <w:rFonts w:asciiTheme="minorHAnsi" w:hAnsiTheme="minorHAnsi" w:cstheme="minorHAnsi"/>
          <w:sz w:val="22"/>
          <w:szCs w:val="22"/>
        </w:rPr>
      </w:pPr>
      <w:r w:rsidRPr="005329D0">
        <w:rPr>
          <w:rFonts w:asciiTheme="minorHAnsi" w:hAnsiTheme="minorHAnsi" w:cstheme="minorHAnsi"/>
          <w:sz w:val="22"/>
          <w:szCs w:val="22"/>
        </w:rPr>
        <w:t>pozemek parcelní číslo </w:t>
      </w:r>
      <w:r w:rsidR="00E72969">
        <w:rPr>
          <w:rFonts w:asciiTheme="minorHAnsi" w:hAnsiTheme="minorHAnsi" w:cstheme="minorHAnsi"/>
          <w:sz w:val="22"/>
          <w:szCs w:val="22"/>
        </w:rPr>
        <w:t>1482</w:t>
      </w:r>
      <w:r w:rsidRPr="005329D0">
        <w:rPr>
          <w:rFonts w:asciiTheme="minorHAnsi" w:hAnsiTheme="minorHAnsi" w:cstheme="minorHAnsi"/>
          <w:sz w:val="22"/>
          <w:szCs w:val="22"/>
        </w:rPr>
        <w:t xml:space="preserve">, o výměře </w:t>
      </w:r>
      <w:r w:rsidR="00E72969">
        <w:rPr>
          <w:rFonts w:asciiTheme="minorHAnsi" w:hAnsiTheme="minorHAnsi" w:cstheme="minorHAnsi"/>
          <w:sz w:val="22"/>
          <w:szCs w:val="22"/>
        </w:rPr>
        <w:t>13 099</w:t>
      </w:r>
      <w:r w:rsidRPr="005329D0">
        <w:rPr>
          <w:rFonts w:asciiTheme="minorHAnsi" w:hAnsiTheme="minorHAnsi" w:cstheme="minorHAnsi"/>
          <w:sz w:val="22"/>
          <w:szCs w:val="22"/>
        </w:rPr>
        <w:t xml:space="preserve"> m</w:t>
      </w:r>
      <w:r w:rsidR="008F4332">
        <w:rPr>
          <w:rFonts w:asciiTheme="minorHAnsi" w:hAnsiTheme="minorHAnsi" w:cstheme="minorHAnsi"/>
          <w:sz w:val="22"/>
          <w:szCs w:val="22"/>
        </w:rPr>
        <w:t>2</w:t>
      </w:r>
      <w:r w:rsidRPr="005329D0">
        <w:rPr>
          <w:rFonts w:asciiTheme="minorHAnsi" w:hAnsiTheme="minorHAnsi" w:cstheme="minorHAnsi"/>
          <w:sz w:val="22"/>
          <w:szCs w:val="22"/>
        </w:rPr>
        <w:t xml:space="preserve"> – trvalý travní porost</w:t>
      </w:r>
    </w:p>
    <w:p w14:paraId="2D401007" w14:textId="520E7B49" w:rsidR="00553853" w:rsidRPr="005329D0" w:rsidRDefault="00553853" w:rsidP="00FE7363">
      <w:pPr>
        <w:pStyle w:val="Odstavecseseznamem"/>
        <w:numPr>
          <w:ilvl w:val="0"/>
          <w:numId w:val="5"/>
        </w:numPr>
        <w:spacing w:after="120"/>
        <w:ind w:right="-426"/>
        <w:jc w:val="both"/>
        <w:rPr>
          <w:rFonts w:asciiTheme="minorHAnsi" w:hAnsiTheme="minorHAnsi" w:cstheme="minorHAnsi"/>
          <w:sz w:val="22"/>
          <w:szCs w:val="22"/>
        </w:rPr>
      </w:pPr>
      <w:r>
        <w:rPr>
          <w:rFonts w:asciiTheme="minorHAnsi" w:hAnsiTheme="minorHAnsi" w:cstheme="minorHAnsi"/>
          <w:sz w:val="22"/>
          <w:szCs w:val="22"/>
        </w:rPr>
        <w:t xml:space="preserve">pozemek parcelní číslo 1483, o výměře 11 769 </w:t>
      </w:r>
      <w:r w:rsidRPr="005329D0">
        <w:rPr>
          <w:rFonts w:asciiTheme="minorHAnsi" w:hAnsiTheme="minorHAnsi" w:cstheme="minorHAnsi"/>
          <w:sz w:val="22"/>
          <w:szCs w:val="22"/>
        </w:rPr>
        <w:t>m</w:t>
      </w:r>
      <w:r w:rsidR="008F4332">
        <w:rPr>
          <w:rFonts w:asciiTheme="minorHAnsi" w:hAnsiTheme="minorHAnsi" w:cstheme="minorHAnsi"/>
          <w:sz w:val="22"/>
          <w:szCs w:val="22"/>
        </w:rPr>
        <w:t>2</w:t>
      </w:r>
      <w:r w:rsidR="00E72969">
        <w:rPr>
          <w:rFonts w:asciiTheme="minorHAnsi" w:hAnsiTheme="minorHAnsi" w:cstheme="minorHAnsi"/>
          <w:sz w:val="22"/>
          <w:szCs w:val="22"/>
          <w:vertAlign w:val="superscript"/>
        </w:rPr>
        <w:t xml:space="preserve"> </w:t>
      </w:r>
      <w:r w:rsidR="00E72969" w:rsidRPr="005329D0">
        <w:rPr>
          <w:rFonts w:asciiTheme="minorHAnsi" w:hAnsiTheme="minorHAnsi" w:cstheme="minorHAnsi"/>
          <w:sz w:val="22"/>
          <w:szCs w:val="22"/>
        </w:rPr>
        <w:t>– trvalý travní porost</w:t>
      </w:r>
      <w:r w:rsidR="00E72969">
        <w:rPr>
          <w:rFonts w:asciiTheme="minorHAnsi" w:hAnsiTheme="minorHAnsi" w:cstheme="minorHAnsi"/>
          <w:sz w:val="22"/>
          <w:szCs w:val="22"/>
        </w:rPr>
        <w:t>.</w:t>
      </w:r>
    </w:p>
    <w:p w14:paraId="79CD81F2" w14:textId="77777777" w:rsidR="00FE7363" w:rsidRPr="005329D0" w:rsidRDefault="00FE7363" w:rsidP="00FE7363">
      <w:pPr>
        <w:spacing w:after="120"/>
        <w:ind w:right="-426"/>
        <w:jc w:val="both"/>
        <w:rPr>
          <w:rFonts w:asciiTheme="minorHAnsi" w:hAnsiTheme="minorHAnsi" w:cstheme="minorHAnsi"/>
          <w:sz w:val="22"/>
          <w:szCs w:val="22"/>
        </w:rPr>
      </w:pPr>
    </w:p>
    <w:p w14:paraId="5BFF2A8E" w14:textId="3080EE5C" w:rsidR="00FE7363" w:rsidRPr="005329D0" w:rsidRDefault="00FE7363" w:rsidP="00FE7363">
      <w:pPr>
        <w:spacing w:after="120"/>
        <w:ind w:right="-426"/>
        <w:jc w:val="both"/>
        <w:rPr>
          <w:rFonts w:asciiTheme="minorHAnsi" w:hAnsiTheme="minorHAnsi" w:cstheme="minorHAnsi"/>
          <w:sz w:val="22"/>
          <w:szCs w:val="22"/>
        </w:rPr>
      </w:pPr>
      <w:r w:rsidRPr="005329D0">
        <w:rPr>
          <w:rFonts w:asciiTheme="minorHAnsi" w:hAnsiTheme="minorHAnsi" w:cstheme="minorHAnsi"/>
          <w:sz w:val="22"/>
          <w:szCs w:val="22"/>
        </w:rPr>
        <w:t xml:space="preserve">2) v katastrálním území </w:t>
      </w:r>
      <w:proofErr w:type="spellStart"/>
      <w:r w:rsidR="00E72969">
        <w:rPr>
          <w:rFonts w:asciiTheme="minorHAnsi" w:hAnsiTheme="minorHAnsi" w:cstheme="minorHAnsi"/>
          <w:sz w:val="22"/>
          <w:szCs w:val="22"/>
        </w:rPr>
        <w:t>Medná</w:t>
      </w:r>
      <w:proofErr w:type="spellEnd"/>
      <w:r w:rsidRPr="005329D0">
        <w:rPr>
          <w:rFonts w:asciiTheme="minorHAnsi" w:hAnsiTheme="minorHAnsi" w:cstheme="minorHAnsi"/>
          <w:sz w:val="22"/>
          <w:szCs w:val="22"/>
        </w:rPr>
        <w:t xml:space="preserve">, obec </w:t>
      </w:r>
      <w:r w:rsidR="00E72969">
        <w:rPr>
          <w:rFonts w:asciiTheme="minorHAnsi" w:hAnsiTheme="minorHAnsi" w:cstheme="minorHAnsi"/>
          <w:sz w:val="22"/>
          <w:szCs w:val="22"/>
        </w:rPr>
        <w:t>Srby</w:t>
      </w:r>
      <w:r w:rsidRPr="005329D0">
        <w:rPr>
          <w:rFonts w:asciiTheme="minorHAnsi" w:hAnsiTheme="minorHAnsi" w:cstheme="minorHAnsi"/>
          <w:sz w:val="22"/>
          <w:szCs w:val="22"/>
        </w:rPr>
        <w:t xml:space="preserve">, zapsanými v katastru nemovitostí vedeném Katastrálním úřadem pro </w:t>
      </w:r>
      <w:r w:rsidR="00E72969">
        <w:rPr>
          <w:rFonts w:asciiTheme="minorHAnsi" w:hAnsiTheme="minorHAnsi" w:cstheme="minorHAnsi"/>
          <w:sz w:val="22"/>
          <w:szCs w:val="22"/>
        </w:rPr>
        <w:t>Plzeňský</w:t>
      </w:r>
      <w:r w:rsidR="00E72969" w:rsidRPr="005329D0">
        <w:rPr>
          <w:rFonts w:asciiTheme="minorHAnsi" w:hAnsiTheme="minorHAnsi" w:cstheme="minorHAnsi"/>
          <w:sz w:val="22"/>
          <w:szCs w:val="22"/>
        </w:rPr>
        <w:t xml:space="preserve"> </w:t>
      </w:r>
      <w:r w:rsidRPr="005329D0">
        <w:rPr>
          <w:rFonts w:asciiTheme="minorHAnsi" w:hAnsiTheme="minorHAnsi" w:cstheme="minorHAnsi"/>
          <w:sz w:val="22"/>
          <w:szCs w:val="22"/>
        </w:rPr>
        <w:t xml:space="preserve">kraj, Katastrální pracoviště </w:t>
      </w:r>
      <w:r w:rsidR="00E72969">
        <w:rPr>
          <w:rFonts w:asciiTheme="minorHAnsi" w:hAnsiTheme="minorHAnsi" w:cstheme="minorHAnsi"/>
          <w:sz w:val="22"/>
          <w:szCs w:val="22"/>
        </w:rPr>
        <w:t>Domažlice</w:t>
      </w:r>
      <w:r w:rsidRPr="005329D0">
        <w:rPr>
          <w:rFonts w:asciiTheme="minorHAnsi" w:hAnsiTheme="minorHAnsi" w:cstheme="minorHAnsi"/>
          <w:sz w:val="22"/>
          <w:szCs w:val="22"/>
        </w:rPr>
        <w:t>, na LV č. 10</w:t>
      </w:r>
      <w:r w:rsidR="00E72969">
        <w:rPr>
          <w:rFonts w:asciiTheme="minorHAnsi" w:hAnsiTheme="minorHAnsi" w:cstheme="minorHAnsi"/>
          <w:sz w:val="22"/>
          <w:szCs w:val="22"/>
        </w:rPr>
        <w:t xml:space="preserve"> </w:t>
      </w:r>
      <w:r w:rsidRPr="005329D0">
        <w:rPr>
          <w:rFonts w:asciiTheme="minorHAnsi" w:hAnsiTheme="minorHAnsi" w:cstheme="minorHAnsi"/>
          <w:sz w:val="22"/>
          <w:szCs w:val="22"/>
        </w:rPr>
        <w:t>002:</w:t>
      </w:r>
    </w:p>
    <w:p w14:paraId="0247871D" w14:textId="0E579516" w:rsidR="00FE7363" w:rsidRPr="008F4332" w:rsidRDefault="00FE7363" w:rsidP="008F4332">
      <w:pPr>
        <w:pStyle w:val="Odstavecseseznamem"/>
        <w:numPr>
          <w:ilvl w:val="0"/>
          <w:numId w:val="4"/>
        </w:numPr>
        <w:spacing w:after="120"/>
        <w:ind w:right="-426"/>
        <w:jc w:val="both"/>
        <w:rPr>
          <w:rFonts w:asciiTheme="minorHAnsi" w:hAnsiTheme="minorHAnsi" w:cstheme="minorHAnsi"/>
          <w:sz w:val="22"/>
          <w:szCs w:val="22"/>
        </w:rPr>
      </w:pPr>
      <w:r w:rsidRPr="005329D0">
        <w:rPr>
          <w:rFonts w:asciiTheme="minorHAnsi" w:hAnsiTheme="minorHAnsi" w:cstheme="minorHAnsi"/>
          <w:sz w:val="22"/>
          <w:szCs w:val="22"/>
        </w:rPr>
        <w:t>pozemek parcelní číslo </w:t>
      </w:r>
      <w:r w:rsidR="00E72969">
        <w:rPr>
          <w:rFonts w:asciiTheme="minorHAnsi" w:hAnsiTheme="minorHAnsi" w:cstheme="minorHAnsi"/>
          <w:sz w:val="22"/>
          <w:szCs w:val="22"/>
        </w:rPr>
        <w:t>70</w:t>
      </w:r>
      <w:r w:rsidRPr="005329D0">
        <w:rPr>
          <w:rFonts w:asciiTheme="minorHAnsi" w:hAnsiTheme="minorHAnsi" w:cstheme="minorHAnsi"/>
          <w:sz w:val="22"/>
          <w:szCs w:val="22"/>
        </w:rPr>
        <w:t>/</w:t>
      </w:r>
      <w:r w:rsidR="00E72969">
        <w:rPr>
          <w:rFonts w:asciiTheme="minorHAnsi" w:hAnsiTheme="minorHAnsi" w:cstheme="minorHAnsi"/>
          <w:sz w:val="22"/>
          <w:szCs w:val="22"/>
        </w:rPr>
        <w:t>9</w:t>
      </w:r>
      <w:r w:rsidRPr="005329D0">
        <w:rPr>
          <w:rFonts w:asciiTheme="minorHAnsi" w:hAnsiTheme="minorHAnsi" w:cstheme="minorHAnsi"/>
          <w:sz w:val="22"/>
          <w:szCs w:val="22"/>
        </w:rPr>
        <w:t xml:space="preserve">, o výměře </w:t>
      </w:r>
      <w:r w:rsidR="00E72969">
        <w:rPr>
          <w:rFonts w:asciiTheme="minorHAnsi" w:hAnsiTheme="minorHAnsi" w:cstheme="minorHAnsi"/>
          <w:sz w:val="22"/>
          <w:szCs w:val="22"/>
        </w:rPr>
        <w:t>2 383</w:t>
      </w:r>
      <w:r w:rsidRPr="005329D0">
        <w:rPr>
          <w:rFonts w:asciiTheme="minorHAnsi" w:hAnsiTheme="minorHAnsi" w:cstheme="minorHAnsi"/>
          <w:sz w:val="22"/>
          <w:szCs w:val="22"/>
        </w:rPr>
        <w:t xml:space="preserve"> m</w:t>
      </w:r>
      <w:r w:rsidR="008F4332">
        <w:rPr>
          <w:rFonts w:asciiTheme="minorHAnsi" w:hAnsiTheme="minorHAnsi" w:cstheme="minorHAnsi"/>
          <w:sz w:val="22"/>
          <w:szCs w:val="22"/>
        </w:rPr>
        <w:t>2</w:t>
      </w:r>
      <w:r w:rsidRPr="005329D0">
        <w:rPr>
          <w:rFonts w:asciiTheme="minorHAnsi" w:hAnsiTheme="minorHAnsi" w:cstheme="minorHAnsi"/>
          <w:sz w:val="22"/>
          <w:szCs w:val="22"/>
        </w:rPr>
        <w:t xml:space="preserve"> – trvalý travní porost</w:t>
      </w:r>
      <w:r w:rsidR="00E72969">
        <w:rPr>
          <w:rFonts w:asciiTheme="minorHAnsi" w:hAnsiTheme="minorHAnsi" w:cstheme="minorHAnsi"/>
          <w:sz w:val="22"/>
          <w:szCs w:val="22"/>
        </w:rPr>
        <w:t>.</w:t>
      </w:r>
    </w:p>
    <w:p w14:paraId="52562E3D" w14:textId="77777777" w:rsidR="00FE7363" w:rsidRPr="005329D0" w:rsidRDefault="00FE7363" w:rsidP="00FE7363">
      <w:pPr>
        <w:spacing w:before="240" w:after="120"/>
        <w:ind w:left="426" w:right="-426"/>
        <w:jc w:val="center"/>
        <w:rPr>
          <w:rFonts w:asciiTheme="minorHAnsi" w:hAnsiTheme="minorHAnsi" w:cstheme="minorHAnsi"/>
          <w:b/>
          <w:sz w:val="22"/>
          <w:szCs w:val="22"/>
        </w:rPr>
      </w:pPr>
      <w:r w:rsidRPr="005329D0">
        <w:rPr>
          <w:rFonts w:asciiTheme="minorHAnsi" w:hAnsiTheme="minorHAnsi" w:cstheme="minorHAnsi"/>
          <w:b/>
          <w:sz w:val="22"/>
          <w:szCs w:val="22"/>
        </w:rPr>
        <w:t>III.</w:t>
      </w:r>
    </w:p>
    <w:p w14:paraId="4F38B13A" w14:textId="22210F72" w:rsidR="00FE7363" w:rsidRPr="005329D0" w:rsidRDefault="00FE7363" w:rsidP="00FE7363">
      <w:pPr>
        <w:spacing w:after="120"/>
        <w:ind w:right="-426"/>
        <w:jc w:val="both"/>
        <w:rPr>
          <w:rFonts w:asciiTheme="minorHAnsi" w:hAnsiTheme="minorHAnsi" w:cstheme="minorHAnsi"/>
          <w:bCs/>
          <w:sz w:val="22"/>
          <w:szCs w:val="22"/>
        </w:rPr>
      </w:pPr>
      <w:r w:rsidRPr="005329D0">
        <w:rPr>
          <w:rFonts w:asciiTheme="minorHAnsi" w:hAnsiTheme="minorHAnsi" w:cstheme="minorHAnsi"/>
          <w:bCs/>
          <w:sz w:val="22"/>
          <w:szCs w:val="22"/>
        </w:rPr>
        <w:t>Nabyvatel m</w:t>
      </w:r>
      <w:r w:rsidR="00E72969">
        <w:rPr>
          <w:rFonts w:asciiTheme="minorHAnsi" w:hAnsiTheme="minorHAnsi" w:cstheme="minorHAnsi"/>
          <w:bCs/>
          <w:sz w:val="22"/>
          <w:szCs w:val="22"/>
        </w:rPr>
        <w:t>á</w:t>
      </w:r>
      <w:r w:rsidRPr="005329D0">
        <w:rPr>
          <w:rFonts w:asciiTheme="minorHAnsi" w:hAnsiTheme="minorHAnsi" w:cstheme="minorHAnsi"/>
          <w:bCs/>
          <w:sz w:val="22"/>
          <w:szCs w:val="22"/>
        </w:rPr>
        <w:t xml:space="preserve"> vůči převodci nárok na převod jiného pozemku dle zákona o půdě ve výši</w:t>
      </w:r>
      <w:r w:rsidR="00E72969">
        <w:rPr>
          <w:rFonts w:asciiTheme="minorHAnsi" w:hAnsiTheme="minorHAnsi" w:cstheme="minorHAnsi"/>
          <w:bCs/>
          <w:sz w:val="22"/>
          <w:szCs w:val="22"/>
        </w:rPr>
        <w:t xml:space="preserve"> nejméně </w:t>
      </w:r>
      <w:r w:rsidR="00E72969" w:rsidRPr="008F4332">
        <w:rPr>
          <w:rFonts w:asciiTheme="minorHAnsi" w:hAnsiTheme="minorHAnsi" w:cstheme="minorHAnsi"/>
          <w:b/>
          <w:sz w:val="22"/>
          <w:szCs w:val="22"/>
        </w:rPr>
        <w:t>2 437 551,14 Kč</w:t>
      </w:r>
      <w:r w:rsidR="00E72969">
        <w:rPr>
          <w:rFonts w:asciiTheme="minorHAnsi" w:hAnsiTheme="minorHAnsi" w:cstheme="minorHAnsi"/>
          <w:bCs/>
          <w:sz w:val="22"/>
          <w:szCs w:val="22"/>
        </w:rPr>
        <w:t xml:space="preserve"> a tento nárok uplatňuje na základě</w:t>
      </w:r>
      <w:r w:rsidRPr="005329D0">
        <w:rPr>
          <w:rFonts w:asciiTheme="minorHAnsi" w:hAnsiTheme="minorHAnsi" w:cstheme="minorHAnsi"/>
          <w:bCs/>
          <w:sz w:val="22"/>
          <w:szCs w:val="22"/>
        </w:rPr>
        <w:t>:</w:t>
      </w:r>
    </w:p>
    <w:p w14:paraId="635B0159" w14:textId="77777777" w:rsidR="00FE7363" w:rsidRPr="005329D0" w:rsidRDefault="00FE7363" w:rsidP="00FE7363">
      <w:pPr>
        <w:numPr>
          <w:ilvl w:val="0"/>
          <w:numId w:val="1"/>
        </w:numPr>
        <w:spacing w:after="120"/>
        <w:ind w:left="426" w:right="-426"/>
        <w:jc w:val="both"/>
        <w:rPr>
          <w:rFonts w:asciiTheme="minorHAnsi" w:hAnsiTheme="minorHAnsi" w:cstheme="minorHAnsi"/>
          <w:sz w:val="22"/>
          <w:szCs w:val="22"/>
        </w:rPr>
      </w:pPr>
      <w:r w:rsidRPr="005329D0">
        <w:rPr>
          <w:rFonts w:asciiTheme="minorHAnsi" w:hAnsiTheme="minorHAnsi" w:cstheme="minorHAnsi"/>
          <w:sz w:val="22"/>
          <w:szCs w:val="22"/>
        </w:rPr>
        <w:t xml:space="preserve">Rozhodnutí Státního pozemkového úřadu </w:t>
      </w:r>
      <w:r w:rsidRPr="005329D0">
        <w:rPr>
          <w:rFonts w:asciiTheme="minorHAnsi" w:eastAsia="Times New Roman" w:hAnsiTheme="minorHAnsi" w:cstheme="minorHAnsi"/>
          <w:color w:val="000000"/>
          <w:sz w:val="22"/>
          <w:szCs w:val="22"/>
          <w:lang w:eastAsia="cs-CZ"/>
        </w:rPr>
        <w:t>č. j. SPU 159411/2015/</w:t>
      </w:r>
      <w:proofErr w:type="spellStart"/>
      <w:r w:rsidRPr="005329D0">
        <w:rPr>
          <w:rFonts w:asciiTheme="minorHAnsi" w:eastAsia="Times New Roman" w:hAnsiTheme="minorHAnsi" w:cstheme="minorHAnsi"/>
          <w:color w:val="000000"/>
          <w:sz w:val="22"/>
          <w:szCs w:val="22"/>
          <w:lang w:eastAsia="cs-CZ"/>
        </w:rPr>
        <w:t>Pob</w:t>
      </w:r>
      <w:proofErr w:type="spellEnd"/>
      <w:r w:rsidRPr="005329D0">
        <w:rPr>
          <w:rFonts w:asciiTheme="minorHAnsi" w:eastAsia="Times New Roman" w:hAnsiTheme="minorHAnsi" w:cstheme="minorHAnsi"/>
          <w:color w:val="000000"/>
          <w:sz w:val="22"/>
          <w:szCs w:val="22"/>
          <w:lang w:eastAsia="cs-CZ"/>
        </w:rPr>
        <w:t>/</w:t>
      </w:r>
      <w:proofErr w:type="spellStart"/>
      <w:r w:rsidRPr="005329D0">
        <w:rPr>
          <w:rFonts w:asciiTheme="minorHAnsi" w:eastAsia="Times New Roman" w:hAnsiTheme="minorHAnsi" w:cstheme="minorHAnsi"/>
          <w:color w:val="000000"/>
          <w:sz w:val="22"/>
          <w:szCs w:val="22"/>
          <w:lang w:eastAsia="cs-CZ"/>
        </w:rPr>
        <w:t>Va</w:t>
      </w:r>
      <w:proofErr w:type="spellEnd"/>
      <w:r w:rsidRPr="005329D0">
        <w:rPr>
          <w:rFonts w:asciiTheme="minorHAnsi" w:eastAsia="Times New Roman" w:hAnsiTheme="minorHAnsi" w:cstheme="minorHAnsi"/>
          <w:color w:val="000000"/>
          <w:sz w:val="22"/>
          <w:szCs w:val="22"/>
          <w:lang w:eastAsia="cs-CZ"/>
        </w:rPr>
        <w:t xml:space="preserve"> ze dne 7. 4. 2015</w:t>
      </w:r>
    </w:p>
    <w:p w14:paraId="354FAA65" w14:textId="77777777" w:rsidR="00FE7363" w:rsidRPr="005329D0" w:rsidRDefault="00FE7363" w:rsidP="00FE7363">
      <w:pPr>
        <w:numPr>
          <w:ilvl w:val="0"/>
          <w:numId w:val="1"/>
        </w:numPr>
        <w:spacing w:after="120"/>
        <w:ind w:left="426" w:right="-426"/>
        <w:jc w:val="both"/>
        <w:rPr>
          <w:rFonts w:asciiTheme="minorHAnsi" w:hAnsiTheme="minorHAnsi" w:cstheme="minorHAnsi"/>
          <w:sz w:val="22"/>
          <w:szCs w:val="22"/>
        </w:rPr>
      </w:pPr>
      <w:r w:rsidRPr="005329D0">
        <w:rPr>
          <w:rFonts w:asciiTheme="minorHAnsi" w:hAnsiTheme="minorHAnsi" w:cstheme="minorHAnsi"/>
          <w:sz w:val="22"/>
          <w:szCs w:val="22"/>
        </w:rPr>
        <w:t xml:space="preserve">Rozhodnutí Státního pozemkového úřadu </w:t>
      </w:r>
      <w:r w:rsidRPr="005329D0">
        <w:rPr>
          <w:rFonts w:asciiTheme="minorHAnsi" w:eastAsia="Times New Roman" w:hAnsiTheme="minorHAnsi" w:cstheme="minorHAnsi"/>
          <w:color w:val="000000"/>
          <w:sz w:val="22"/>
          <w:szCs w:val="22"/>
          <w:lang w:eastAsia="cs-CZ"/>
        </w:rPr>
        <w:t>č. j. SPU 321726/2014/</w:t>
      </w:r>
      <w:proofErr w:type="spellStart"/>
      <w:r w:rsidRPr="005329D0">
        <w:rPr>
          <w:rFonts w:asciiTheme="minorHAnsi" w:eastAsia="Times New Roman" w:hAnsiTheme="minorHAnsi" w:cstheme="minorHAnsi"/>
          <w:color w:val="000000"/>
          <w:sz w:val="22"/>
          <w:szCs w:val="22"/>
          <w:lang w:eastAsia="cs-CZ"/>
        </w:rPr>
        <w:t>Pob</w:t>
      </w:r>
      <w:proofErr w:type="spellEnd"/>
      <w:r w:rsidRPr="005329D0">
        <w:rPr>
          <w:rFonts w:asciiTheme="minorHAnsi" w:eastAsia="Times New Roman" w:hAnsiTheme="minorHAnsi" w:cstheme="minorHAnsi"/>
          <w:color w:val="000000"/>
          <w:sz w:val="22"/>
          <w:szCs w:val="22"/>
          <w:lang w:eastAsia="cs-CZ"/>
        </w:rPr>
        <w:t>/</w:t>
      </w:r>
      <w:proofErr w:type="spellStart"/>
      <w:r w:rsidRPr="005329D0">
        <w:rPr>
          <w:rFonts w:asciiTheme="minorHAnsi" w:eastAsia="Times New Roman" w:hAnsiTheme="minorHAnsi" w:cstheme="minorHAnsi"/>
          <w:color w:val="000000"/>
          <w:sz w:val="22"/>
          <w:szCs w:val="22"/>
          <w:lang w:eastAsia="cs-CZ"/>
        </w:rPr>
        <w:t>Va</w:t>
      </w:r>
      <w:proofErr w:type="spellEnd"/>
      <w:r w:rsidRPr="005329D0">
        <w:rPr>
          <w:rFonts w:asciiTheme="minorHAnsi" w:eastAsia="Times New Roman" w:hAnsiTheme="minorHAnsi" w:cstheme="minorHAnsi"/>
          <w:color w:val="000000"/>
          <w:sz w:val="22"/>
          <w:szCs w:val="22"/>
          <w:lang w:eastAsia="cs-CZ"/>
        </w:rPr>
        <w:t xml:space="preserve"> ze dne 11. 7. 2014</w:t>
      </w:r>
    </w:p>
    <w:p w14:paraId="4C48B038" w14:textId="77777777" w:rsidR="00FE7363" w:rsidRPr="005329D0" w:rsidRDefault="00FE7363" w:rsidP="00FE7363">
      <w:pPr>
        <w:numPr>
          <w:ilvl w:val="0"/>
          <w:numId w:val="1"/>
        </w:numPr>
        <w:spacing w:after="120"/>
        <w:ind w:left="426" w:right="-426"/>
        <w:jc w:val="both"/>
        <w:rPr>
          <w:rFonts w:asciiTheme="minorHAnsi" w:hAnsiTheme="minorHAnsi" w:cstheme="minorHAnsi"/>
          <w:sz w:val="22"/>
          <w:szCs w:val="22"/>
        </w:rPr>
      </w:pPr>
      <w:r w:rsidRPr="005329D0">
        <w:rPr>
          <w:rFonts w:asciiTheme="minorHAnsi" w:hAnsiTheme="minorHAnsi" w:cstheme="minorHAnsi"/>
          <w:sz w:val="22"/>
          <w:szCs w:val="22"/>
        </w:rPr>
        <w:t xml:space="preserve">Rozhodnutí Státního pozemkového úřadu </w:t>
      </w:r>
      <w:r w:rsidRPr="005329D0">
        <w:rPr>
          <w:rFonts w:asciiTheme="minorHAnsi" w:eastAsia="Times New Roman" w:hAnsiTheme="minorHAnsi" w:cstheme="minorHAnsi"/>
          <w:color w:val="000000"/>
          <w:sz w:val="22"/>
          <w:szCs w:val="22"/>
          <w:lang w:eastAsia="cs-CZ"/>
        </w:rPr>
        <w:t>č. j. SPU 612212/2014/</w:t>
      </w:r>
      <w:proofErr w:type="spellStart"/>
      <w:r w:rsidRPr="005329D0">
        <w:rPr>
          <w:rFonts w:asciiTheme="minorHAnsi" w:eastAsia="Times New Roman" w:hAnsiTheme="minorHAnsi" w:cstheme="minorHAnsi"/>
          <w:color w:val="000000"/>
          <w:sz w:val="22"/>
          <w:szCs w:val="22"/>
          <w:lang w:eastAsia="cs-CZ"/>
        </w:rPr>
        <w:t>Pob</w:t>
      </w:r>
      <w:proofErr w:type="spellEnd"/>
      <w:r w:rsidRPr="005329D0">
        <w:rPr>
          <w:rFonts w:asciiTheme="minorHAnsi" w:eastAsia="Times New Roman" w:hAnsiTheme="minorHAnsi" w:cstheme="minorHAnsi"/>
          <w:color w:val="000000"/>
          <w:sz w:val="22"/>
          <w:szCs w:val="22"/>
          <w:lang w:eastAsia="cs-CZ"/>
        </w:rPr>
        <w:t>/</w:t>
      </w:r>
      <w:proofErr w:type="spellStart"/>
      <w:r w:rsidRPr="005329D0">
        <w:rPr>
          <w:rFonts w:asciiTheme="minorHAnsi" w:eastAsia="Times New Roman" w:hAnsiTheme="minorHAnsi" w:cstheme="minorHAnsi"/>
          <w:color w:val="000000"/>
          <w:sz w:val="22"/>
          <w:szCs w:val="22"/>
          <w:lang w:eastAsia="cs-CZ"/>
        </w:rPr>
        <w:t>Va</w:t>
      </w:r>
      <w:proofErr w:type="spellEnd"/>
      <w:r w:rsidRPr="005329D0">
        <w:rPr>
          <w:rFonts w:asciiTheme="minorHAnsi" w:eastAsia="Times New Roman" w:hAnsiTheme="minorHAnsi" w:cstheme="minorHAnsi"/>
          <w:color w:val="000000"/>
          <w:sz w:val="22"/>
          <w:szCs w:val="22"/>
          <w:lang w:eastAsia="cs-CZ"/>
        </w:rPr>
        <w:t xml:space="preserve"> ze dne 9. 1. 2015</w:t>
      </w:r>
    </w:p>
    <w:p w14:paraId="1B9D31C8" w14:textId="77777777" w:rsidR="00FE7363" w:rsidRPr="005329D0" w:rsidRDefault="00FE7363" w:rsidP="00FE7363">
      <w:pPr>
        <w:numPr>
          <w:ilvl w:val="0"/>
          <w:numId w:val="1"/>
        </w:numPr>
        <w:spacing w:after="120"/>
        <w:ind w:left="426" w:right="-426"/>
        <w:jc w:val="both"/>
        <w:rPr>
          <w:rFonts w:asciiTheme="minorHAnsi" w:hAnsiTheme="minorHAnsi" w:cstheme="minorHAnsi"/>
          <w:sz w:val="22"/>
          <w:szCs w:val="22"/>
        </w:rPr>
      </w:pPr>
      <w:r w:rsidRPr="005329D0">
        <w:rPr>
          <w:rFonts w:asciiTheme="minorHAnsi" w:hAnsiTheme="minorHAnsi" w:cstheme="minorHAnsi"/>
          <w:sz w:val="22"/>
          <w:szCs w:val="22"/>
        </w:rPr>
        <w:t xml:space="preserve">Rozhodnutí Státního pozemkového úřadu </w:t>
      </w:r>
      <w:r w:rsidRPr="005329D0">
        <w:rPr>
          <w:rFonts w:asciiTheme="minorHAnsi" w:eastAsia="Times New Roman" w:hAnsiTheme="minorHAnsi" w:cstheme="minorHAnsi"/>
          <w:color w:val="000000"/>
          <w:sz w:val="22"/>
          <w:szCs w:val="22"/>
          <w:lang w:eastAsia="cs-CZ"/>
        </w:rPr>
        <w:t>č. j. SPU 437981/2014/</w:t>
      </w:r>
      <w:proofErr w:type="spellStart"/>
      <w:r w:rsidRPr="005329D0">
        <w:rPr>
          <w:rFonts w:asciiTheme="minorHAnsi" w:eastAsia="Times New Roman" w:hAnsiTheme="minorHAnsi" w:cstheme="minorHAnsi"/>
          <w:color w:val="000000"/>
          <w:sz w:val="22"/>
          <w:szCs w:val="22"/>
          <w:lang w:eastAsia="cs-CZ"/>
        </w:rPr>
        <w:t>Pob</w:t>
      </w:r>
      <w:proofErr w:type="spellEnd"/>
      <w:r w:rsidRPr="005329D0">
        <w:rPr>
          <w:rFonts w:asciiTheme="minorHAnsi" w:eastAsia="Times New Roman" w:hAnsiTheme="minorHAnsi" w:cstheme="minorHAnsi"/>
          <w:color w:val="000000"/>
          <w:sz w:val="22"/>
          <w:szCs w:val="22"/>
          <w:lang w:eastAsia="cs-CZ"/>
        </w:rPr>
        <w:t>/</w:t>
      </w:r>
      <w:proofErr w:type="spellStart"/>
      <w:r w:rsidRPr="005329D0">
        <w:rPr>
          <w:rFonts w:asciiTheme="minorHAnsi" w:eastAsia="Times New Roman" w:hAnsiTheme="minorHAnsi" w:cstheme="minorHAnsi"/>
          <w:color w:val="000000"/>
          <w:sz w:val="22"/>
          <w:szCs w:val="22"/>
          <w:lang w:eastAsia="cs-CZ"/>
        </w:rPr>
        <w:t>Va</w:t>
      </w:r>
      <w:proofErr w:type="spellEnd"/>
      <w:r w:rsidRPr="005329D0">
        <w:rPr>
          <w:rFonts w:asciiTheme="minorHAnsi" w:eastAsia="Times New Roman" w:hAnsiTheme="minorHAnsi" w:cstheme="minorHAnsi"/>
          <w:color w:val="000000"/>
          <w:sz w:val="22"/>
          <w:szCs w:val="22"/>
          <w:lang w:eastAsia="cs-CZ"/>
        </w:rPr>
        <w:t xml:space="preserve"> ze dne 12. 9. 2014</w:t>
      </w:r>
    </w:p>
    <w:p w14:paraId="4B2630CD" w14:textId="306EC3E9" w:rsidR="00FE7363" w:rsidRPr="008F4332" w:rsidRDefault="00FE7363" w:rsidP="008F4332">
      <w:pPr>
        <w:numPr>
          <w:ilvl w:val="0"/>
          <w:numId w:val="1"/>
        </w:numPr>
        <w:spacing w:after="120"/>
        <w:ind w:left="426" w:right="-426"/>
        <w:jc w:val="both"/>
        <w:rPr>
          <w:rFonts w:asciiTheme="minorHAnsi" w:hAnsiTheme="minorHAnsi" w:cstheme="minorHAnsi"/>
          <w:b/>
          <w:sz w:val="22"/>
          <w:szCs w:val="22"/>
        </w:rPr>
      </w:pPr>
      <w:r w:rsidRPr="005329D0">
        <w:rPr>
          <w:rFonts w:asciiTheme="minorHAnsi" w:hAnsiTheme="minorHAnsi" w:cstheme="minorHAnsi"/>
          <w:sz w:val="22"/>
          <w:szCs w:val="22"/>
        </w:rPr>
        <w:t xml:space="preserve">Rozhodnutí Státního pozemkového úřadu </w:t>
      </w:r>
      <w:r w:rsidRPr="005329D0">
        <w:rPr>
          <w:rFonts w:asciiTheme="minorHAnsi" w:eastAsia="Times New Roman" w:hAnsiTheme="minorHAnsi" w:cstheme="minorHAnsi"/>
          <w:color w:val="000000"/>
          <w:sz w:val="22"/>
          <w:szCs w:val="22"/>
          <w:lang w:eastAsia="cs-CZ"/>
        </w:rPr>
        <w:t>č. j. SPU 425325/2014/</w:t>
      </w:r>
      <w:proofErr w:type="spellStart"/>
      <w:r w:rsidRPr="005329D0">
        <w:rPr>
          <w:rFonts w:asciiTheme="minorHAnsi" w:eastAsia="Times New Roman" w:hAnsiTheme="minorHAnsi" w:cstheme="minorHAnsi"/>
          <w:color w:val="000000"/>
          <w:sz w:val="22"/>
          <w:szCs w:val="22"/>
          <w:lang w:eastAsia="cs-CZ"/>
        </w:rPr>
        <w:t>Pob</w:t>
      </w:r>
      <w:proofErr w:type="spellEnd"/>
      <w:r w:rsidRPr="005329D0">
        <w:rPr>
          <w:rFonts w:asciiTheme="minorHAnsi" w:eastAsia="Times New Roman" w:hAnsiTheme="minorHAnsi" w:cstheme="minorHAnsi"/>
          <w:color w:val="000000"/>
          <w:sz w:val="22"/>
          <w:szCs w:val="22"/>
          <w:lang w:eastAsia="cs-CZ"/>
        </w:rPr>
        <w:t>/</w:t>
      </w:r>
      <w:proofErr w:type="spellStart"/>
      <w:r w:rsidRPr="005329D0">
        <w:rPr>
          <w:rFonts w:asciiTheme="minorHAnsi" w:eastAsia="Times New Roman" w:hAnsiTheme="minorHAnsi" w:cstheme="minorHAnsi"/>
          <w:color w:val="000000"/>
          <w:sz w:val="22"/>
          <w:szCs w:val="22"/>
          <w:lang w:eastAsia="cs-CZ"/>
        </w:rPr>
        <w:t>Va</w:t>
      </w:r>
      <w:proofErr w:type="spellEnd"/>
      <w:r w:rsidRPr="005329D0">
        <w:rPr>
          <w:rFonts w:asciiTheme="minorHAnsi" w:eastAsia="Times New Roman" w:hAnsiTheme="minorHAnsi" w:cstheme="minorHAnsi"/>
          <w:color w:val="000000"/>
          <w:sz w:val="22"/>
          <w:szCs w:val="22"/>
          <w:lang w:eastAsia="cs-CZ"/>
        </w:rPr>
        <w:t xml:space="preserve"> ze dne 12. 9. 2014</w:t>
      </w:r>
    </w:p>
    <w:p w14:paraId="132B0DB4" w14:textId="77777777" w:rsidR="00FE7363" w:rsidRPr="005329D0" w:rsidRDefault="00FE7363" w:rsidP="00FE7363">
      <w:pPr>
        <w:ind w:right="-426"/>
        <w:jc w:val="center"/>
        <w:rPr>
          <w:rFonts w:asciiTheme="minorHAnsi" w:eastAsia="Times New Roman" w:hAnsiTheme="minorHAnsi" w:cstheme="minorHAnsi"/>
          <w:b/>
          <w:bCs/>
          <w:color w:val="000000"/>
          <w:sz w:val="22"/>
          <w:szCs w:val="22"/>
          <w:lang w:eastAsia="cs-CZ"/>
        </w:rPr>
      </w:pPr>
      <w:r w:rsidRPr="005329D0">
        <w:rPr>
          <w:rFonts w:asciiTheme="minorHAnsi" w:hAnsiTheme="minorHAnsi" w:cstheme="minorHAnsi"/>
          <w:b/>
          <w:sz w:val="22"/>
          <w:szCs w:val="22"/>
        </w:rPr>
        <w:t>IV.</w:t>
      </w:r>
    </w:p>
    <w:p w14:paraId="75B97513" w14:textId="2E94C728" w:rsidR="00FE7363" w:rsidRDefault="00FE7363" w:rsidP="00FE7363">
      <w:pPr>
        <w:spacing w:before="240" w:after="120"/>
        <w:ind w:right="-426"/>
        <w:jc w:val="both"/>
        <w:rPr>
          <w:rFonts w:asciiTheme="minorHAnsi" w:hAnsiTheme="minorHAnsi" w:cstheme="minorHAnsi"/>
          <w:bCs/>
          <w:sz w:val="22"/>
          <w:szCs w:val="22"/>
        </w:rPr>
      </w:pPr>
      <w:r w:rsidRPr="00503808">
        <w:rPr>
          <w:rFonts w:asciiTheme="minorHAnsi" w:hAnsiTheme="minorHAnsi" w:cstheme="minorHAnsi"/>
          <w:bCs/>
          <w:sz w:val="22"/>
          <w:szCs w:val="22"/>
        </w:rPr>
        <w:t xml:space="preserve">Ve smyslu </w:t>
      </w:r>
      <w:proofErr w:type="spellStart"/>
      <w:r w:rsidRPr="00503808">
        <w:rPr>
          <w:rFonts w:asciiTheme="minorHAnsi" w:hAnsiTheme="minorHAnsi" w:cstheme="minorHAnsi"/>
          <w:bCs/>
          <w:sz w:val="22"/>
          <w:szCs w:val="22"/>
        </w:rPr>
        <w:t>ust</w:t>
      </w:r>
      <w:proofErr w:type="spellEnd"/>
      <w:r w:rsidRPr="00503808">
        <w:rPr>
          <w:rFonts w:asciiTheme="minorHAnsi" w:hAnsiTheme="minorHAnsi" w:cstheme="minorHAnsi"/>
          <w:bCs/>
          <w:sz w:val="22"/>
          <w:szCs w:val="22"/>
        </w:rPr>
        <w:t>. § 14 odst. 5 zákona o SPÚ započ</w:t>
      </w:r>
      <w:r w:rsidR="00E72969">
        <w:rPr>
          <w:rFonts w:asciiTheme="minorHAnsi" w:hAnsiTheme="minorHAnsi" w:cstheme="minorHAnsi"/>
          <w:bCs/>
          <w:sz w:val="22"/>
          <w:szCs w:val="22"/>
        </w:rPr>
        <w:t xml:space="preserve">te </w:t>
      </w:r>
      <w:r w:rsidRPr="00503808">
        <w:rPr>
          <w:rFonts w:asciiTheme="minorHAnsi" w:hAnsiTheme="minorHAnsi" w:cstheme="minorHAnsi"/>
          <w:bCs/>
          <w:sz w:val="22"/>
          <w:szCs w:val="22"/>
        </w:rPr>
        <w:t xml:space="preserve">převodce na úhradu kupní ceny </w:t>
      </w:r>
      <w:r w:rsidR="00E72969">
        <w:rPr>
          <w:rFonts w:asciiTheme="minorHAnsi" w:hAnsiTheme="minorHAnsi" w:cstheme="minorHAnsi"/>
          <w:bCs/>
          <w:sz w:val="22"/>
          <w:szCs w:val="22"/>
        </w:rPr>
        <w:t xml:space="preserve">všechny </w:t>
      </w:r>
      <w:r w:rsidRPr="00503808">
        <w:rPr>
          <w:rFonts w:asciiTheme="minorHAnsi" w:hAnsiTheme="minorHAnsi" w:cstheme="minorHAnsi"/>
          <w:bCs/>
          <w:sz w:val="22"/>
          <w:szCs w:val="22"/>
        </w:rPr>
        <w:t>nároky</w:t>
      </w:r>
      <w:r w:rsidR="00E72969">
        <w:rPr>
          <w:rFonts w:asciiTheme="minorHAnsi" w:hAnsiTheme="minorHAnsi" w:cstheme="minorHAnsi"/>
          <w:bCs/>
          <w:sz w:val="22"/>
          <w:szCs w:val="22"/>
        </w:rPr>
        <w:t>, které má nabyvatel podle zákona o půdě vůči státu a jejichž uspokojení je příslušný zajistit převodce a považuje je přitom za nesporné. Převodce je oprávněn započítat na úhradu kupní ceny i jiné pohledávky nabyvatele vůči státu, u kterých je příslušný k plnění. Pohledávky, jejichž výše je sporná, lze takto započítat jen ve výši, kterou má převodce za prokázanou.</w:t>
      </w:r>
    </w:p>
    <w:p w14:paraId="54115435" w14:textId="437F2F9A" w:rsidR="00D425AC" w:rsidRPr="00503808" w:rsidRDefault="00D425AC" w:rsidP="00FE7363">
      <w:pPr>
        <w:spacing w:before="240" w:after="120"/>
        <w:ind w:right="-426"/>
        <w:jc w:val="both"/>
        <w:rPr>
          <w:rFonts w:asciiTheme="minorHAnsi" w:hAnsiTheme="minorHAnsi" w:cstheme="minorHAnsi"/>
          <w:bCs/>
          <w:sz w:val="22"/>
          <w:szCs w:val="22"/>
        </w:rPr>
      </w:pPr>
      <w:r>
        <w:rPr>
          <w:rFonts w:asciiTheme="minorHAnsi" w:hAnsiTheme="minorHAnsi" w:cstheme="minorHAnsi"/>
          <w:bCs/>
          <w:sz w:val="22"/>
          <w:szCs w:val="22"/>
        </w:rPr>
        <w:lastRenderedPageBreak/>
        <w:t>S ohledem na skutečnost, že hodnota pozemků stanovená dle čl. I. této smlouvy je nižší než minimální celkové nároky nabyvatele vůči převodci (viz čl. III. této smlouvy), budou na úhradu převodní ceny použity nároky nabyvatelů vyplývající z rozhodnutí SPÚ specifikovaných v čl. I. této smlouvy</w:t>
      </w:r>
      <w:r w:rsidR="00A81B01">
        <w:rPr>
          <w:rFonts w:asciiTheme="minorHAnsi" w:hAnsiTheme="minorHAnsi" w:cstheme="minorHAnsi"/>
          <w:bCs/>
          <w:sz w:val="22"/>
          <w:szCs w:val="22"/>
        </w:rPr>
        <w:t xml:space="preserve"> o převodu nemovité věci</w:t>
      </w:r>
      <w:r>
        <w:rPr>
          <w:rFonts w:asciiTheme="minorHAnsi" w:hAnsiTheme="minorHAnsi" w:cstheme="minorHAnsi"/>
          <w:bCs/>
          <w:sz w:val="22"/>
          <w:szCs w:val="22"/>
        </w:rPr>
        <w:t>.</w:t>
      </w:r>
    </w:p>
    <w:p w14:paraId="3772DB27" w14:textId="77777777" w:rsidR="00FE7363" w:rsidRPr="005329D0" w:rsidRDefault="00FE7363" w:rsidP="00FE7363">
      <w:pPr>
        <w:spacing w:before="240" w:after="120"/>
        <w:ind w:right="-426"/>
        <w:jc w:val="center"/>
        <w:rPr>
          <w:rFonts w:asciiTheme="minorHAnsi" w:hAnsiTheme="minorHAnsi" w:cstheme="minorHAnsi"/>
          <w:b/>
          <w:sz w:val="22"/>
          <w:szCs w:val="22"/>
        </w:rPr>
      </w:pPr>
      <w:r w:rsidRPr="005329D0">
        <w:rPr>
          <w:rFonts w:asciiTheme="minorHAnsi" w:hAnsiTheme="minorHAnsi" w:cstheme="minorHAnsi"/>
          <w:b/>
          <w:sz w:val="22"/>
          <w:szCs w:val="22"/>
        </w:rPr>
        <w:t>V.</w:t>
      </w:r>
    </w:p>
    <w:p w14:paraId="72E1D86A" w14:textId="3E281CEB" w:rsidR="00D425AC" w:rsidRDefault="00FE7363" w:rsidP="00FE7363">
      <w:pPr>
        <w:spacing w:after="120"/>
        <w:ind w:right="-426"/>
        <w:jc w:val="both"/>
        <w:rPr>
          <w:rFonts w:asciiTheme="minorHAnsi" w:hAnsiTheme="minorHAnsi" w:cstheme="minorHAnsi"/>
          <w:sz w:val="22"/>
          <w:szCs w:val="22"/>
        </w:rPr>
      </w:pPr>
      <w:r w:rsidRPr="005329D0">
        <w:rPr>
          <w:rFonts w:asciiTheme="minorHAnsi" w:hAnsiTheme="minorHAnsi" w:cstheme="minorHAnsi"/>
          <w:sz w:val="22"/>
          <w:szCs w:val="22"/>
        </w:rPr>
        <w:t>Vlastnické právo k převáděným pozemkům dle čl. II. této smlouvy přechází na nabyvatele vkladem do katastru nemovitostí.</w:t>
      </w:r>
    </w:p>
    <w:p w14:paraId="71267B23" w14:textId="77777777" w:rsidR="00FE7363" w:rsidRPr="005329D0" w:rsidRDefault="00FE7363" w:rsidP="00FE7363">
      <w:pPr>
        <w:spacing w:after="120"/>
        <w:ind w:right="-426"/>
        <w:jc w:val="center"/>
        <w:rPr>
          <w:rFonts w:asciiTheme="minorHAnsi" w:hAnsiTheme="minorHAnsi" w:cstheme="minorHAnsi"/>
          <w:b/>
          <w:sz w:val="22"/>
          <w:szCs w:val="22"/>
        </w:rPr>
      </w:pPr>
      <w:r w:rsidRPr="005329D0">
        <w:rPr>
          <w:rFonts w:asciiTheme="minorHAnsi" w:hAnsiTheme="minorHAnsi" w:cstheme="minorHAnsi"/>
          <w:b/>
          <w:sz w:val="22"/>
          <w:szCs w:val="22"/>
        </w:rPr>
        <w:t>VI.</w:t>
      </w:r>
    </w:p>
    <w:p w14:paraId="76D78BE0" w14:textId="4948030C" w:rsidR="00D425AC" w:rsidRDefault="00FE7363" w:rsidP="00A81B01">
      <w:pPr>
        <w:spacing w:after="120"/>
        <w:ind w:right="-426"/>
        <w:jc w:val="both"/>
        <w:rPr>
          <w:rFonts w:asciiTheme="minorHAnsi" w:hAnsiTheme="minorHAnsi" w:cstheme="minorHAnsi"/>
          <w:b/>
          <w:sz w:val="22"/>
          <w:szCs w:val="22"/>
        </w:rPr>
      </w:pPr>
      <w:r w:rsidRPr="005329D0">
        <w:rPr>
          <w:rFonts w:asciiTheme="minorHAnsi" w:hAnsiTheme="minorHAnsi" w:cstheme="minorHAnsi"/>
          <w:bCs/>
          <w:sz w:val="22"/>
          <w:szCs w:val="22"/>
        </w:rPr>
        <w:t xml:space="preserve">Návrh na povolení vkladu vlastnického práva do katastru nemovitostí podají </w:t>
      </w:r>
      <w:r w:rsidR="00D425AC">
        <w:rPr>
          <w:rFonts w:asciiTheme="minorHAnsi" w:hAnsiTheme="minorHAnsi" w:cstheme="minorHAnsi"/>
          <w:bCs/>
          <w:sz w:val="22"/>
          <w:szCs w:val="22"/>
        </w:rPr>
        <w:t xml:space="preserve">u příslušného katastrálního úřadu do 30 dnů ode dne účinnosti této smlouvy </w:t>
      </w:r>
      <w:r w:rsidRPr="005329D0">
        <w:rPr>
          <w:rFonts w:asciiTheme="minorHAnsi" w:hAnsiTheme="minorHAnsi" w:cstheme="minorHAnsi"/>
          <w:bCs/>
          <w:sz w:val="22"/>
          <w:szCs w:val="22"/>
        </w:rPr>
        <w:t>nabyvatelé.</w:t>
      </w:r>
    </w:p>
    <w:p w14:paraId="31387EF7" w14:textId="77777777" w:rsidR="00D425AC" w:rsidRPr="005329D0" w:rsidRDefault="00D425AC" w:rsidP="00FE7363">
      <w:pPr>
        <w:keepNext/>
        <w:keepLines/>
        <w:spacing w:before="240" w:after="120"/>
        <w:ind w:right="-426"/>
        <w:jc w:val="center"/>
        <w:rPr>
          <w:rFonts w:asciiTheme="minorHAnsi" w:hAnsiTheme="minorHAnsi" w:cstheme="minorHAnsi"/>
          <w:b/>
          <w:sz w:val="22"/>
          <w:szCs w:val="22"/>
        </w:rPr>
      </w:pPr>
    </w:p>
    <w:p w14:paraId="498E3C8E" w14:textId="45D74332" w:rsidR="00FE7363" w:rsidRDefault="00FE7363" w:rsidP="00FE7363">
      <w:pPr>
        <w:keepNext/>
        <w:keepLines/>
        <w:spacing w:after="120"/>
        <w:ind w:right="-426"/>
        <w:jc w:val="both"/>
        <w:rPr>
          <w:rFonts w:asciiTheme="minorHAnsi" w:hAnsiTheme="minorHAnsi" w:cstheme="minorHAnsi"/>
          <w:bCs/>
          <w:sz w:val="22"/>
          <w:szCs w:val="22"/>
        </w:rPr>
      </w:pPr>
      <w:r w:rsidRPr="005329D0">
        <w:rPr>
          <w:rFonts w:asciiTheme="minorHAnsi" w:hAnsiTheme="minorHAnsi" w:cstheme="minorHAnsi"/>
          <w:bCs/>
          <w:sz w:val="22"/>
          <w:szCs w:val="22"/>
        </w:rPr>
        <w:t xml:space="preserve">V Praze, dne </w:t>
      </w:r>
      <w:r>
        <w:rPr>
          <w:rFonts w:asciiTheme="minorHAnsi" w:hAnsiTheme="minorHAnsi" w:cstheme="minorHAnsi"/>
          <w:bCs/>
          <w:sz w:val="22"/>
          <w:szCs w:val="22"/>
        </w:rPr>
        <w:t>9. 8. 2021</w:t>
      </w:r>
    </w:p>
    <w:p w14:paraId="6E39A2F0" w14:textId="342CBFDC" w:rsidR="00FE7363" w:rsidRDefault="00FE7363" w:rsidP="00FE7363">
      <w:pPr>
        <w:keepNext/>
        <w:keepLines/>
        <w:spacing w:after="120"/>
        <w:ind w:right="-426"/>
        <w:jc w:val="both"/>
        <w:rPr>
          <w:rFonts w:asciiTheme="minorHAnsi" w:hAnsiTheme="minorHAnsi" w:cstheme="minorHAnsi"/>
          <w:bCs/>
          <w:sz w:val="22"/>
          <w:szCs w:val="22"/>
        </w:rPr>
      </w:pPr>
    </w:p>
    <w:p w14:paraId="1C5588FC" w14:textId="34895869" w:rsidR="00FE7363" w:rsidRPr="00FE7363" w:rsidRDefault="00FE7363" w:rsidP="00FE7363">
      <w:pPr>
        <w:keepNext/>
        <w:keepLines/>
        <w:spacing w:after="120"/>
        <w:ind w:right="-426"/>
        <w:jc w:val="both"/>
        <w:rPr>
          <w:rFonts w:asciiTheme="minorHAnsi" w:hAnsiTheme="minorHAnsi" w:cstheme="minorHAnsi"/>
          <w:b/>
          <w:i/>
          <w:iCs/>
          <w:sz w:val="22"/>
          <w:szCs w:val="22"/>
        </w:rPr>
      </w:pPr>
      <w:r w:rsidRPr="00FE7363">
        <w:rPr>
          <w:rFonts w:asciiTheme="minorHAnsi" w:hAnsiTheme="minorHAnsi" w:cstheme="minorHAnsi"/>
          <w:bCs/>
          <w:i/>
          <w:iCs/>
          <w:sz w:val="22"/>
          <w:szCs w:val="22"/>
        </w:rPr>
        <w:tab/>
      </w:r>
      <w:r w:rsidRPr="00FE7363">
        <w:rPr>
          <w:rFonts w:asciiTheme="minorHAnsi" w:hAnsiTheme="minorHAnsi" w:cstheme="minorHAnsi"/>
          <w:bCs/>
          <w:i/>
          <w:iCs/>
          <w:sz w:val="22"/>
          <w:szCs w:val="22"/>
        </w:rPr>
        <w:tab/>
      </w:r>
      <w:r w:rsidRPr="00FE7363">
        <w:rPr>
          <w:rFonts w:asciiTheme="minorHAnsi" w:hAnsiTheme="minorHAnsi" w:cstheme="minorHAnsi"/>
          <w:bCs/>
          <w:i/>
          <w:iCs/>
          <w:sz w:val="22"/>
          <w:szCs w:val="22"/>
        </w:rPr>
        <w:tab/>
      </w:r>
      <w:r w:rsidRPr="00FE7363">
        <w:rPr>
          <w:rFonts w:asciiTheme="minorHAnsi" w:hAnsiTheme="minorHAnsi" w:cstheme="minorHAnsi"/>
          <w:b/>
          <w:i/>
          <w:iCs/>
          <w:sz w:val="22"/>
          <w:szCs w:val="22"/>
        </w:rPr>
        <w:t>podpis</w:t>
      </w:r>
    </w:p>
    <w:p w14:paraId="33C91957" w14:textId="78D687C6" w:rsidR="00FE7363" w:rsidRDefault="00FE7363" w:rsidP="00FE7363">
      <w:pPr>
        <w:keepNext/>
        <w:keepLines/>
        <w:spacing w:after="120"/>
        <w:ind w:left="708" w:right="-426" w:firstLine="708"/>
        <w:jc w:val="both"/>
        <w:rPr>
          <w:rFonts w:asciiTheme="minorHAnsi" w:hAnsiTheme="minorHAnsi" w:cstheme="minorHAnsi"/>
          <w:bCs/>
          <w:i/>
          <w:iCs/>
          <w:sz w:val="22"/>
          <w:szCs w:val="22"/>
        </w:rPr>
      </w:pPr>
      <w:r w:rsidRPr="00FE7363">
        <w:rPr>
          <w:rFonts w:asciiTheme="minorHAnsi" w:hAnsiTheme="minorHAnsi" w:cstheme="minorHAnsi"/>
          <w:b/>
          <w:i/>
          <w:iCs/>
          <w:sz w:val="22"/>
          <w:szCs w:val="22"/>
        </w:rPr>
        <w:t>nahrazen rozsudkem soudu</w:t>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t>JUDr. Tomáš Homola, advokát</w:t>
      </w:r>
    </w:p>
    <w:p w14:paraId="5923B555" w14:textId="5E31AA19" w:rsidR="00FE7363" w:rsidRDefault="00FE7363" w:rsidP="00FE7363">
      <w:pPr>
        <w:keepNext/>
        <w:keepLines/>
        <w:spacing w:after="120"/>
        <w:ind w:left="708" w:right="-426" w:firstLine="708"/>
        <w:jc w:val="both"/>
        <w:rPr>
          <w:rFonts w:asciiTheme="minorHAnsi" w:hAnsiTheme="minorHAnsi" w:cstheme="minorHAnsi"/>
          <w:bCs/>
          <w:i/>
          <w:iCs/>
          <w:sz w:val="22"/>
          <w:szCs w:val="22"/>
        </w:rPr>
      </w:pP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t>na základě plné moci</w:t>
      </w:r>
    </w:p>
    <w:p w14:paraId="32576783" w14:textId="269DDCB6" w:rsidR="00FE7363" w:rsidRPr="00FE7363" w:rsidRDefault="00A96617" w:rsidP="00FE7363">
      <w:pPr>
        <w:keepNext/>
        <w:keepLines/>
        <w:spacing w:after="120"/>
        <w:ind w:left="708" w:right="-426" w:firstLine="708"/>
        <w:jc w:val="both"/>
        <w:rPr>
          <w:rFonts w:asciiTheme="minorHAnsi" w:hAnsiTheme="minorHAnsi" w:cstheme="minorHAnsi"/>
          <w:bCs/>
          <w:i/>
          <w:iCs/>
          <w:sz w:val="22"/>
          <w:szCs w:val="22"/>
        </w:rPr>
      </w:pP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t>XXX</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FE7363" w:rsidRPr="005329D0" w14:paraId="0E18F413" w14:textId="77777777" w:rsidTr="008E2762">
        <w:tc>
          <w:tcPr>
            <w:tcW w:w="4394" w:type="dxa"/>
          </w:tcPr>
          <w:p w14:paraId="70B5DEA9" w14:textId="77777777" w:rsidR="00FE7363" w:rsidRPr="005329D0" w:rsidRDefault="00FE7363" w:rsidP="008E2762">
            <w:pPr>
              <w:spacing w:after="120"/>
              <w:ind w:right="-426"/>
              <w:jc w:val="center"/>
              <w:rPr>
                <w:rFonts w:asciiTheme="minorHAnsi" w:hAnsiTheme="minorHAnsi" w:cstheme="minorHAnsi"/>
                <w:sz w:val="22"/>
                <w:szCs w:val="22"/>
              </w:rPr>
            </w:pPr>
            <w:r w:rsidRPr="005329D0">
              <w:rPr>
                <w:rFonts w:asciiTheme="minorHAnsi" w:hAnsiTheme="minorHAnsi" w:cstheme="minorHAnsi"/>
                <w:sz w:val="22"/>
                <w:szCs w:val="22"/>
              </w:rPr>
              <w:t>________________________</w:t>
            </w:r>
          </w:p>
        </w:tc>
        <w:tc>
          <w:tcPr>
            <w:tcW w:w="4394" w:type="dxa"/>
          </w:tcPr>
          <w:p w14:paraId="0C2BF9C0" w14:textId="77777777" w:rsidR="00FE7363" w:rsidRPr="005329D0" w:rsidRDefault="00FE7363" w:rsidP="008E2762">
            <w:pPr>
              <w:spacing w:after="120"/>
              <w:ind w:right="-426"/>
              <w:jc w:val="center"/>
              <w:rPr>
                <w:rFonts w:asciiTheme="minorHAnsi" w:hAnsiTheme="minorHAnsi" w:cstheme="minorHAnsi"/>
                <w:sz w:val="22"/>
                <w:szCs w:val="22"/>
              </w:rPr>
            </w:pPr>
            <w:r w:rsidRPr="005329D0">
              <w:rPr>
                <w:rFonts w:asciiTheme="minorHAnsi" w:hAnsiTheme="minorHAnsi" w:cstheme="minorHAnsi"/>
                <w:sz w:val="22"/>
                <w:szCs w:val="22"/>
              </w:rPr>
              <w:t>________________________</w:t>
            </w:r>
          </w:p>
        </w:tc>
      </w:tr>
      <w:tr w:rsidR="00FE7363" w:rsidRPr="005329D0" w14:paraId="29D5A2A0" w14:textId="77777777" w:rsidTr="008E2762">
        <w:trPr>
          <w:trHeight w:val="1186"/>
        </w:trPr>
        <w:tc>
          <w:tcPr>
            <w:tcW w:w="4394" w:type="dxa"/>
          </w:tcPr>
          <w:p w14:paraId="6E582EA7" w14:textId="77777777" w:rsidR="00FE7363" w:rsidRPr="005329D0" w:rsidRDefault="00FE7363" w:rsidP="008E2762">
            <w:pPr>
              <w:spacing w:after="120"/>
              <w:ind w:right="-426"/>
              <w:jc w:val="center"/>
              <w:rPr>
                <w:rFonts w:asciiTheme="minorHAnsi" w:hAnsiTheme="minorHAnsi" w:cstheme="minorHAnsi"/>
                <w:sz w:val="22"/>
                <w:szCs w:val="22"/>
              </w:rPr>
            </w:pPr>
            <w:r w:rsidRPr="005329D0">
              <w:rPr>
                <w:rFonts w:asciiTheme="minorHAnsi" w:hAnsiTheme="minorHAnsi" w:cstheme="minorHAnsi"/>
                <w:sz w:val="22"/>
                <w:szCs w:val="22"/>
              </w:rPr>
              <w:t>Česká republika – Státní pozemkový úřad, organizační složka státu</w:t>
            </w:r>
          </w:p>
        </w:tc>
        <w:tc>
          <w:tcPr>
            <w:tcW w:w="4394" w:type="dxa"/>
          </w:tcPr>
          <w:p w14:paraId="4802ADE2" w14:textId="77777777" w:rsidR="00FE7363" w:rsidRPr="005329D0" w:rsidRDefault="00FE7363" w:rsidP="008E2762">
            <w:pPr>
              <w:spacing w:after="120"/>
              <w:ind w:right="-426"/>
              <w:jc w:val="center"/>
              <w:rPr>
                <w:rFonts w:asciiTheme="minorHAnsi" w:hAnsiTheme="minorHAnsi" w:cstheme="minorHAnsi"/>
                <w:sz w:val="22"/>
                <w:szCs w:val="22"/>
              </w:rPr>
            </w:pPr>
            <w:r w:rsidRPr="005329D0">
              <w:rPr>
                <w:rFonts w:asciiTheme="minorHAnsi" w:hAnsiTheme="minorHAnsi" w:cstheme="minorHAnsi"/>
                <w:bCs/>
                <w:sz w:val="22"/>
                <w:szCs w:val="22"/>
              </w:rPr>
              <w:t xml:space="preserve">Andrew Michael </w:t>
            </w:r>
            <w:proofErr w:type="spellStart"/>
            <w:r w:rsidRPr="005329D0">
              <w:rPr>
                <w:rFonts w:asciiTheme="minorHAnsi" w:hAnsiTheme="minorHAnsi" w:cstheme="minorHAnsi"/>
                <w:bCs/>
                <w:sz w:val="22"/>
                <w:szCs w:val="22"/>
              </w:rPr>
              <w:t>Jirat-Wasiutynski</w:t>
            </w:r>
            <w:proofErr w:type="spellEnd"/>
          </w:p>
        </w:tc>
      </w:tr>
      <w:tr w:rsidR="00FE7363" w:rsidRPr="005329D0" w14:paraId="4D924829" w14:textId="77777777" w:rsidTr="008E2762">
        <w:tc>
          <w:tcPr>
            <w:tcW w:w="4394" w:type="dxa"/>
          </w:tcPr>
          <w:p w14:paraId="03CCA0B5" w14:textId="77777777" w:rsidR="00FE7363" w:rsidRPr="005329D0" w:rsidRDefault="00FE7363" w:rsidP="008E2762">
            <w:pPr>
              <w:spacing w:after="120"/>
              <w:ind w:right="-426"/>
              <w:rPr>
                <w:rFonts w:asciiTheme="minorHAnsi" w:hAnsiTheme="minorHAnsi" w:cstheme="minorHAnsi"/>
                <w:sz w:val="22"/>
                <w:szCs w:val="22"/>
              </w:rPr>
            </w:pPr>
          </w:p>
        </w:tc>
        <w:tc>
          <w:tcPr>
            <w:tcW w:w="4394" w:type="dxa"/>
          </w:tcPr>
          <w:p w14:paraId="2C47D35D" w14:textId="6E436FDA" w:rsidR="00FE7363" w:rsidRDefault="00FE7363" w:rsidP="00FE7363">
            <w:pPr>
              <w:keepNext/>
              <w:keepLines/>
              <w:spacing w:after="120"/>
              <w:ind w:right="-426"/>
              <w:jc w:val="both"/>
              <w:rPr>
                <w:rFonts w:asciiTheme="minorHAnsi" w:hAnsiTheme="minorHAnsi" w:cstheme="minorHAnsi"/>
                <w:bCs/>
                <w:i/>
                <w:iCs/>
                <w:sz w:val="22"/>
                <w:szCs w:val="22"/>
              </w:rPr>
            </w:pPr>
            <w:r>
              <w:rPr>
                <w:rFonts w:asciiTheme="minorHAnsi" w:hAnsiTheme="minorHAnsi" w:cstheme="minorHAnsi"/>
                <w:bCs/>
                <w:i/>
                <w:iCs/>
                <w:sz w:val="22"/>
                <w:szCs w:val="22"/>
              </w:rPr>
              <w:t xml:space="preserve">                  JUDr. Tomáš Homola, advokát</w:t>
            </w:r>
          </w:p>
          <w:p w14:paraId="5A8459C5" w14:textId="3144CC2D" w:rsidR="00FE7363" w:rsidRDefault="00FE7363" w:rsidP="00FE7363">
            <w:pPr>
              <w:keepNext/>
              <w:keepLines/>
              <w:spacing w:after="120"/>
              <w:ind w:right="-426"/>
              <w:jc w:val="both"/>
              <w:rPr>
                <w:rFonts w:asciiTheme="minorHAnsi" w:hAnsiTheme="minorHAnsi" w:cstheme="minorHAnsi"/>
                <w:bCs/>
                <w:i/>
                <w:iCs/>
                <w:sz w:val="22"/>
                <w:szCs w:val="22"/>
              </w:rPr>
            </w:pPr>
            <w:r>
              <w:rPr>
                <w:rFonts w:asciiTheme="minorHAnsi" w:hAnsiTheme="minorHAnsi" w:cstheme="minorHAnsi"/>
                <w:bCs/>
                <w:i/>
                <w:iCs/>
                <w:sz w:val="22"/>
                <w:szCs w:val="22"/>
              </w:rPr>
              <w:t xml:space="preserve">                 na základě plné moci</w:t>
            </w:r>
          </w:p>
          <w:p w14:paraId="3759B83C" w14:textId="07FDA021" w:rsidR="00FE7363" w:rsidRDefault="00FE7363" w:rsidP="00FE7363">
            <w:pPr>
              <w:keepNext/>
              <w:keepLines/>
              <w:spacing w:after="120"/>
              <w:ind w:right="-426"/>
              <w:jc w:val="both"/>
              <w:rPr>
                <w:rFonts w:asciiTheme="minorHAnsi" w:hAnsiTheme="minorHAnsi" w:cstheme="minorHAnsi"/>
                <w:bCs/>
                <w:i/>
                <w:iCs/>
                <w:sz w:val="22"/>
                <w:szCs w:val="22"/>
              </w:rPr>
            </w:pPr>
          </w:p>
          <w:p w14:paraId="27F4CCA9" w14:textId="50DC140A" w:rsidR="00FE7363" w:rsidRDefault="00A96617" w:rsidP="00FE7363">
            <w:pPr>
              <w:keepNext/>
              <w:keepLines/>
              <w:spacing w:after="120"/>
              <w:ind w:right="-426"/>
              <w:jc w:val="both"/>
              <w:rPr>
                <w:rFonts w:asciiTheme="minorHAnsi" w:hAnsiTheme="minorHAnsi" w:cstheme="minorHAnsi"/>
                <w:bCs/>
                <w:i/>
                <w:iCs/>
                <w:sz w:val="22"/>
                <w:szCs w:val="22"/>
              </w:rPr>
            </w:pPr>
            <w:r>
              <w:rPr>
                <w:rFonts w:asciiTheme="minorHAnsi" w:hAnsiTheme="minorHAnsi" w:cstheme="minorHAnsi"/>
                <w:bCs/>
                <w:i/>
                <w:iCs/>
                <w:sz w:val="22"/>
                <w:szCs w:val="22"/>
              </w:rPr>
              <w:t xml:space="preserve">                              XXX</w:t>
            </w:r>
          </w:p>
          <w:p w14:paraId="5C3DE54B" w14:textId="77777777" w:rsidR="00FE7363" w:rsidRPr="005329D0" w:rsidRDefault="00FE7363" w:rsidP="008E2762">
            <w:pPr>
              <w:spacing w:after="120"/>
              <w:ind w:right="-426"/>
              <w:jc w:val="center"/>
              <w:rPr>
                <w:rFonts w:asciiTheme="minorHAnsi" w:hAnsiTheme="minorHAnsi" w:cstheme="minorHAnsi"/>
                <w:sz w:val="22"/>
                <w:szCs w:val="22"/>
              </w:rPr>
            </w:pPr>
            <w:r w:rsidRPr="005329D0">
              <w:rPr>
                <w:rFonts w:asciiTheme="minorHAnsi" w:hAnsiTheme="minorHAnsi" w:cstheme="minorHAnsi"/>
                <w:sz w:val="22"/>
                <w:szCs w:val="22"/>
              </w:rPr>
              <w:t>________________________</w:t>
            </w:r>
          </w:p>
        </w:tc>
      </w:tr>
      <w:tr w:rsidR="00FE7363" w:rsidRPr="005329D0" w14:paraId="549FF00F" w14:textId="77777777" w:rsidTr="008E2762">
        <w:tc>
          <w:tcPr>
            <w:tcW w:w="4394" w:type="dxa"/>
          </w:tcPr>
          <w:p w14:paraId="7FE72588" w14:textId="77777777" w:rsidR="00FE7363" w:rsidRPr="005329D0" w:rsidRDefault="00FE7363" w:rsidP="008E2762">
            <w:pPr>
              <w:spacing w:after="120"/>
              <w:ind w:right="-426"/>
              <w:jc w:val="center"/>
              <w:rPr>
                <w:rFonts w:asciiTheme="minorHAnsi" w:hAnsiTheme="minorHAnsi" w:cstheme="minorHAnsi"/>
                <w:sz w:val="22"/>
                <w:szCs w:val="22"/>
              </w:rPr>
            </w:pPr>
          </w:p>
        </w:tc>
        <w:tc>
          <w:tcPr>
            <w:tcW w:w="4394" w:type="dxa"/>
          </w:tcPr>
          <w:p w14:paraId="6197CE09" w14:textId="77777777" w:rsidR="00FE7363" w:rsidRPr="005329D0" w:rsidRDefault="00FE7363" w:rsidP="008E2762">
            <w:pPr>
              <w:spacing w:after="120"/>
              <w:ind w:right="-426"/>
              <w:jc w:val="center"/>
              <w:rPr>
                <w:rFonts w:asciiTheme="minorHAnsi" w:hAnsiTheme="minorHAnsi" w:cstheme="minorHAnsi"/>
                <w:bCs/>
                <w:sz w:val="22"/>
                <w:szCs w:val="22"/>
              </w:rPr>
            </w:pPr>
            <w:r w:rsidRPr="005329D0">
              <w:rPr>
                <w:rFonts w:asciiTheme="minorHAnsi" w:hAnsiTheme="minorHAnsi" w:cstheme="minorHAnsi"/>
                <w:bCs/>
                <w:sz w:val="22"/>
                <w:szCs w:val="22"/>
              </w:rPr>
              <w:t xml:space="preserve">Marie </w:t>
            </w:r>
            <w:proofErr w:type="spellStart"/>
            <w:r w:rsidRPr="005329D0">
              <w:rPr>
                <w:rFonts w:asciiTheme="minorHAnsi" w:hAnsiTheme="minorHAnsi" w:cstheme="minorHAnsi"/>
                <w:bCs/>
                <w:sz w:val="22"/>
                <w:szCs w:val="22"/>
              </w:rPr>
              <w:t>Éve</w:t>
            </w:r>
            <w:proofErr w:type="spellEnd"/>
            <w:r w:rsidRPr="005329D0">
              <w:rPr>
                <w:rFonts w:asciiTheme="minorHAnsi" w:hAnsiTheme="minorHAnsi" w:cstheme="minorHAnsi"/>
                <w:bCs/>
                <w:sz w:val="22"/>
                <w:szCs w:val="22"/>
              </w:rPr>
              <w:t xml:space="preserve"> </w:t>
            </w:r>
            <w:proofErr w:type="spellStart"/>
            <w:r w:rsidRPr="005329D0">
              <w:rPr>
                <w:rFonts w:asciiTheme="minorHAnsi" w:hAnsiTheme="minorHAnsi" w:cstheme="minorHAnsi"/>
                <w:bCs/>
                <w:sz w:val="22"/>
                <w:szCs w:val="22"/>
              </w:rPr>
              <w:t>Jirat-Wasiutynski</w:t>
            </w:r>
            <w:proofErr w:type="spellEnd"/>
          </w:p>
          <w:p w14:paraId="17C82463" w14:textId="77777777" w:rsidR="00FE7363" w:rsidRPr="005329D0" w:rsidRDefault="00FE7363" w:rsidP="008E2762">
            <w:pPr>
              <w:spacing w:after="120"/>
              <w:ind w:right="-426"/>
              <w:jc w:val="center"/>
              <w:rPr>
                <w:rFonts w:asciiTheme="minorHAnsi" w:hAnsiTheme="minorHAnsi" w:cstheme="minorHAnsi"/>
                <w:sz w:val="22"/>
                <w:szCs w:val="22"/>
              </w:rPr>
            </w:pPr>
          </w:p>
          <w:p w14:paraId="742899C4" w14:textId="77777777" w:rsidR="00FE7363" w:rsidRPr="005329D0" w:rsidRDefault="00FE7363" w:rsidP="008E2762">
            <w:pPr>
              <w:spacing w:after="120"/>
              <w:ind w:right="-426"/>
              <w:jc w:val="center"/>
              <w:rPr>
                <w:rFonts w:asciiTheme="minorHAnsi" w:hAnsiTheme="minorHAnsi" w:cstheme="minorHAnsi"/>
                <w:sz w:val="22"/>
                <w:szCs w:val="22"/>
              </w:rPr>
            </w:pPr>
          </w:p>
        </w:tc>
      </w:tr>
    </w:tbl>
    <w:p w14:paraId="128A3C8A" w14:textId="77777777" w:rsidR="003702DD" w:rsidRDefault="003702DD"/>
    <w:sectPr w:rsidR="00370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Garamond-Bold">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376"/>
    <w:multiLevelType w:val="hybridMultilevel"/>
    <w:tmpl w:val="170204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576A3"/>
    <w:multiLevelType w:val="hybridMultilevel"/>
    <w:tmpl w:val="4942EB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0456F"/>
    <w:multiLevelType w:val="hybridMultilevel"/>
    <w:tmpl w:val="B1E2A350"/>
    <w:lvl w:ilvl="0" w:tplc="070839C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4AA11D0"/>
    <w:multiLevelType w:val="hybridMultilevel"/>
    <w:tmpl w:val="6A56D3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233649"/>
    <w:multiLevelType w:val="hybridMultilevel"/>
    <w:tmpl w:val="A3A44F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412230"/>
    <w:multiLevelType w:val="hybridMultilevel"/>
    <w:tmpl w:val="8E549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B73C7A"/>
    <w:multiLevelType w:val="hybridMultilevel"/>
    <w:tmpl w:val="C074C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8F6AEC"/>
    <w:multiLevelType w:val="hybridMultilevel"/>
    <w:tmpl w:val="3A7C1B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4C67D8"/>
    <w:multiLevelType w:val="hybridMultilevel"/>
    <w:tmpl w:val="0AD4D0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F4F90"/>
    <w:multiLevelType w:val="hybridMultilevel"/>
    <w:tmpl w:val="16FE5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110CB4"/>
    <w:multiLevelType w:val="hybridMultilevel"/>
    <w:tmpl w:val="6616D2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C90779"/>
    <w:multiLevelType w:val="hybridMultilevel"/>
    <w:tmpl w:val="BC9652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FF6015"/>
    <w:multiLevelType w:val="hybridMultilevel"/>
    <w:tmpl w:val="E9A26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707CB"/>
    <w:multiLevelType w:val="hybridMultilevel"/>
    <w:tmpl w:val="5BC27D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64515E"/>
    <w:multiLevelType w:val="hybridMultilevel"/>
    <w:tmpl w:val="75C0A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BD0A3B"/>
    <w:multiLevelType w:val="hybridMultilevel"/>
    <w:tmpl w:val="342CD5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5B2D6E"/>
    <w:multiLevelType w:val="hybridMultilevel"/>
    <w:tmpl w:val="4064A7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BE40FA"/>
    <w:multiLevelType w:val="hybridMultilevel"/>
    <w:tmpl w:val="F9A23D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DB4F04"/>
    <w:multiLevelType w:val="hybridMultilevel"/>
    <w:tmpl w:val="3528B4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520ECD"/>
    <w:multiLevelType w:val="hybridMultilevel"/>
    <w:tmpl w:val="077A28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E73A8"/>
    <w:multiLevelType w:val="hybridMultilevel"/>
    <w:tmpl w:val="6D0856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AC143B"/>
    <w:multiLevelType w:val="hybridMultilevel"/>
    <w:tmpl w:val="97423C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9A1C9B"/>
    <w:multiLevelType w:val="hybridMultilevel"/>
    <w:tmpl w:val="43E87A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3464AE"/>
    <w:multiLevelType w:val="hybridMultilevel"/>
    <w:tmpl w:val="444EB670"/>
    <w:lvl w:ilvl="0" w:tplc="04090005">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A731543"/>
    <w:multiLevelType w:val="hybridMultilevel"/>
    <w:tmpl w:val="DED2C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245818"/>
    <w:multiLevelType w:val="hybridMultilevel"/>
    <w:tmpl w:val="8F10C6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94AFE"/>
    <w:multiLevelType w:val="hybridMultilevel"/>
    <w:tmpl w:val="905C8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B36D9B"/>
    <w:multiLevelType w:val="hybridMultilevel"/>
    <w:tmpl w:val="3A183D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2E711B"/>
    <w:multiLevelType w:val="hybridMultilevel"/>
    <w:tmpl w:val="BB9019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826798"/>
    <w:multiLevelType w:val="hybridMultilevel"/>
    <w:tmpl w:val="FAAC1A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0B6316"/>
    <w:multiLevelType w:val="hybridMultilevel"/>
    <w:tmpl w:val="41B8BF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8A39BD"/>
    <w:multiLevelType w:val="hybridMultilevel"/>
    <w:tmpl w:val="76E83B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FC2380"/>
    <w:multiLevelType w:val="hybridMultilevel"/>
    <w:tmpl w:val="4AA2BB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533BAF"/>
    <w:multiLevelType w:val="hybridMultilevel"/>
    <w:tmpl w:val="D36A34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817261"/>
    <w:multiLevelType w:val="hybridMultilevel"/>
    <w:tmpl w:val="FBCC7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850F69"/>
    <w:multiLevelType w:val="hybridMultilevel"/>
    <w:tmpl w:val="40D49B2A"/>
    <w:lvl w:ilvl="0" w:tplc="04050011">
      <w:start w:val="3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DC5A2A"/>
    <w:multiLevelType w:val="hybridMultilevel"/>
    <w:tmpl w:val="7A129F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704CB3"/>
    <w:multiLevelType w:val="hybridMultilevel"/>
    <w:tmpl w:val="8D9AB5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5A10A3"/>
    <w:multiLevelType w:val="hybridMultilevel"/>
    <w:tmpl w:val="C1A6AA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8A3B7E"/>
    <w:multiLevelType w:val="hybridMultilevel"/>
    <w:tmpl w:val="364417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F07B89"/>
    <w:multiLevelType w:val="hybridMultilevel"/>
    <w:tmpl w:val="05E477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502AEC"/>
    <w:multiLevelType w:val="hybridMultilevel"/>
    <w:tmpl w:val="A20888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F622DF"/>
    <w:multiLevelType w:val="hybridMultilevel"/>
    <w:tmpl w:val="FA3C97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62392A"/>
    <w:multiLevelType w:val="hybridMultilevel"/>
    <w:tmpl w:val="76AAE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
  </w:num>
  <w:num w:numId="3">
    <w:abstractNumId w:val="10"/>
  </w:num>
  <w:num w:numId="4">
    <w:abstractNumId w:val="36"/>
  </w:num>
  <w:num w:numId="5">
    <w:abstractNumId w:val="15"/>
  </w:num>
  <w:num w:numId="6">
    <w:abstractNumId w:val="3"/>
  </w:num>
  <w:num w:numId="7">
    <w:abstractNumId w:val="41"/>
  </w:num>
  <w:num w:numId="8">
    <w:abstractNumId w:val="0"/>
  </w:num>
  <w:num w:numId="9">
    <w:abstractNumId w:val="4"/>
  </w:num>
  <w:num w:numId="10">
    <w:abstractNumId w:val="11"/>
  </w:num>
  <w:num w:numId="11">
    <w:abstractNumId w:val="24"/>
  </w:num>
  <w:num w:numId="12">
    <w:abstractNumId w:val="21"/>
  </w:num>
  <w:num w:numId="13">
    <w:abstractNumId w:val="34"/>
  </w:num>
  <w:num w:numId="14">
    <w:abstractNumId w:val="25"/>
  </w:num>
  <w:num w:numId="15">
    <w:abstractNumId w:val="6"/>
  </w:num>
  <w:num w:numId="16">
    <w:abstractNumId w:val="7"/>
  </w:num>
  <w:num w:numId="17">
    <w:abstractNumId w:val="29"/>
  </w:num>
  <w:num w:numId="18">
    <w:abstractNumId w:val="1"/>
  </w:num>
  <w:num w:numId="19">
    <w:abstractNumId w:val="38"/>
  </w:num>
  <w:num w:numId="20">
    <w:abstractNumId w:val="28"/>
  </w:num>
  <w:num w:numId="21">
    <w:abstractNumId w:val="14"/>
  </w:num>
  <w:num w:numId="22">
    <w:abstractNumId w:val="40"/>
  </w:num>
  <w:num w:numId="23">
    <w:abstractNumId w:val="5"/>
  </w:num>
  <w:num w:numId="24">
    <w:abstractNumId w:val="26"/>
  </w:num>
  <w:num w:numId="25">
    <w:abstractNumId w:val="18"/>
  </w:num>
  <w:num w:numId="26">
    <w:abstractNumId w:val="42"/>
  </w:num>
  <w:num w:numId="27">
    <w:abstractNumId w:val="30"/>
  </w:num>
  <w:num w:numId="28">
    <w:abstractNumId w:val="22"/>
  </w:num>
  <w:num w:numId="29">
    <w:abstractNumId w:val="16"/>
  </w:num>
  <w:num w:numId="30">
    <w:abstractNumId w:val="20"/>
  </w:num>
  <w:num w:numId="31">
    <w:abstractNumId w:val="31"/>
  </w:num>
  <w:num w:numId="32">
    <w:abstractNumId w:val="33"/>
  </w:num>
  <w:num w:numId="33">
    <w:abstractNumId w:val="13"/>
  </w:num>
  <w:num w:numId="34">
    <w:abstractNumId w:val="43"/>
  </w:num>
  <w:num w:numId="35">
    <w:abstractNumId w:val="9"/>
  </w:num>
  <w:num w:numId="36">
    <w:abstractNumId w:val="27"/>
  </w:num>
  <w:num w:numId="37">
    <w:abstractNumId w:val="17"/>
  </w:num>
  <w:num w:numId="38">
    <w:abstractNumId w:val="39"/>
  </w:num>
  <w:num w:numId="39">
    <w:abstractNumId w:val="32"/>
  </w:num>
  <w:num w:numId="40">
    <w:abstractNumId w:val="37"/>
  </w:num>
  <w:num w:numId="41">
    <w:abstractNumId w:val="19"/>
  </w:num>
  <w:num w:numId="42">
    <w:abstractNumId w:val="8"/>
  </w:num>
  <w:num w:numId="43">
    <w:abstractNumId w:val="3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63"/>
    <w:rsid w:val="00061AE1"/>
    <w:rsid w:val="00335780"/>
    <w:rsid w:val="003702DD"/>
    <w:rsid w:val="00553853"/>
    <w:rsid w:val="0060308E"/>
    <w:rsid w:val="008F4332"/>
    <w:rsid w:val="00A81B01"/>
    <w:rsid w:val="00A96617"/>
    <w:rsid w:val="00C75BEB"/>
    <w:rsid w:val="00D318DC"/>
    <w:rsid w:val="00D425AC"/>
    <w:rsid w:val="00E72969"/>
    <w:rsid w:val="00FE2499"/>
    <w:rsid w:val="00FE7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841A"/>
  <w15:chartTrackingRefBased/>
  <w15:docId w15:val="{49537674-A070-4EC6-B029-F12EAC23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7363"/>
    <w:pPr>
      <w:spacing w:after="0" w:line="240" w:lineRule="auto"/>
    </w:pPr>
    <w:rPr>
      <w:rFonts w:ascii="Times" w:eastAsia="Geneva" w:hAnsi="Times"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FE736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3"/>
    <w:pPr>
      <w:ind w:left="720"/>
      <w:contextualSpacing/>
    </w:pPr>
  </w:style>
  <w:style w:type="character" w:customStyle="1" w:styleId="Zkladntext">
    <w:name w:val="Základní text_"/>
    <w:basedOn w:val="Standardnpsmoodstavce"/>
    <w:link w:val="Zkladntext2"/>
    <w:rsid w:val="00FE7363"/>
    <w:rPr>
      <w:b/>
      <w:bCs/>
      <w:shd w:val="clear" w:color="auto" w:fill="FFFFFF"/>
    </w:rPr>
  </w:style>
  <w:style w:type="paragraph" w:customStyle="1" w:styleId="Zkladntext2">
    <w:name w:val="Základní text2"/>
    <w:basedOn w:val="Normln"/>
    <w:link w:val="Zkladntext"/>
    <w:rsid w:val="00FE7363"/>
    <w:pPr>
      <w:widowControl w:val="0"/>
      <w:shd w:val="clear" w:color="auto" w:fill="FFFFFF"/>
      <w:spacing w:before="540" w:after="300" w:line="0" w:lineRule="atLeast"/>
      <w:ind w:hanging="400"/>
      <w:jc w:val="center"/>
    </w:pPr>
    <w:rPr>
      <w:rFonts w:asciiTheme="minorHAnsi" w:eastAsiaTheme="minorHAnsi" w:hAnsiTheme="minorHAnsi" w:cstheme="minorBidi"/>
      <w:b/>
      <w:bCs/>
      <w:sz w:val="22"/>
      <w:szCs w:val="22"/>
    </w:rPr>
  </w:style>
  <w:style w:type="paragraph" w:styleId="Revize">
    <w:name w:val="Revision"/>
    <w:hidden/>
    <w:uiPriority w:val="99"/>
    <w:semiHidden/>
    <w:rsid w:val="00C75BEB"/>
    <w:pPr>
      <w:spacing w:after="0" w:line="240" w:lineRule="auto"/>
    </w:pPr>
    <w:rPr>
      <w:rFonts w:ascii="Times" w:eastAsia="Geneva"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865</Words>
  <Characters>5108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Homola (Felix a spol.)</dc:creator>
  <cp:keywords/>
  <dc:description/>
  <cp:lastModifiedBy>Jaroslav Pytloun (Felix a spol.)</cp:lastModifiedBy>
  <cp:revision>6</cp:revision>
  <dcterms:created xsi:type="dcterms:W3CDTF">2021-09-02T16:38:00Z</dcterms:created>
  <dcterms:modified xsi:type="dcterms:W3CDTF">2021-11-01T14:51:00Z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e5013768-2fd2-446b-adf8-6a89d8a8de62</vt:lpwstr>
  </property>
  <property fmtid="{D5CDD505-2E9C-101B-9397-08002B2CF9AE}" pid="3" name="PraetorDocumentNumber">
    <vt:lpwstr>78695406</vt:lpwstr>
  </property>
  <property fmtid="{D5CDD505-2E9C-101B-9397-08002B2CF9AE}" pid="4" name="PraetorDocumentBarCode">
    <vt:lpwstr>78695406</vt:lpwstr>
  </property>
</Properties>
</file>