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651" w:h="427" w:wrap="none" w:hAnchor="page" w:x="911" w:y="-493"/>
        <w:widowControl w:val="0"/>
        <w:shd w:val="clear" w:color="auto" w:fill="auto"/>
        <w:bidi w:val="0"/>
        <w:spacing w:before="0" w:after="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widowControl w:val="0"/>
        <w:spacing w:after="0" w:line="1" w:lineRule="exact"/>
      </w:pPr>
    </w:p>
    <w:p>
      <w:pPr>
        <w:widowControl w:val="0"/>
        <w:spacing w:line="1" w:lineRule="exact"/>
        <w:sectPr>
          <w:headerReference w:type="default" r:id="rId5"/>
          <w:footerReference w:type="default" r:id="rId6"/>
          <w:footnotePr>
            <w:pos w:val="pageBottom"/>
            <w:numFmt w:val="decimal"/>
            <w:numRestart w:val="continuous"/>
          </w:footnotePr>
          <w:pgSz w:w="11900" w:h="16840"/>
          <w:pgMar w:top="1440" w:left="910" w:right="1116" w:bottom="1171" w:header="0" w:footer="3" w:gutter="0"/>
          <w:pgNumType w:start="1"/>
          <w:cols w:space="720"/>
          <w:noEndnote/>
          <w:rtlGutter w:val="0"/>
          <w:docGrid w:linePitch="360"/>
        </w:sectPr>
      </w:pPr>
    </w:p>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9"/>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„COOP - Parkování ul. Partyzánská, Chotěboř- provedení živičných vrstev parkoviště“</w:t>
      </w:r>
      <w:bookmarkEnd w:id="2"/>
      <w:bookmarkEnd w:id="3"/>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Číslo smlouvy objednatele:</w:t>
      </w:r>
    </w:p>
    <w:tbl>
      <w:tblPr>
        <w:tblOverlap w:val="never"/>
        <w:jc w:val="left"/>
        <w:tblLayout w:type="fixed"/>
      </w:tblPr>
      <w:tblGrid>
        <w:gridCol w:w="3288"/>
        <w:gridCol w:w="5808"/>
      </w:tblGrid>
      <w:tr>
        <w:trPr>
          <w:trHeight w:val="965"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zhotovitele:</w:t>
            </w:r>
          </w:p>
        </w:tc>
        <w:tc>
          <w:tcPr>
            <w:tcBorders/>
            <w:shd w:val="clear" w:color="auto" w:fill="FFFFFF"/>
            <w:vAlign w:val="bottom"/>
          </w:tcPr>
          <w:p>
            <w:pPr>
              <w:pStyle w:val="Style13"/>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 Smluvní strany</w:t>
            </w:r>
          </w:p>
        </w:tc>
      </w:tr>
    </w:tbl>
    <w:p>
      <w:pPr>
        <w:widowControl w:val="0"/>
        <w:spacing w:after="219" w:line="1" w:lineRule="exact"/>
      </w:pPr>
    </w:p>
    <w:p>
      <w:pPr>
        <w:widowControl w:val="0"/>
        <w:spacing w:line="1" w:lineRule="exact"/>
      </w:pPr>
    </w:p>
    <w:tbl>
      <w:tblPr>
        <w:tblOverlap w:val="never"/>
        <w:jc w:val="center"/>
        <w:tblLayout w:type="fixed"/>
      </w:tblPr>
      <w:tblGrid>
        <w:gridCol w:w="1973"/>
        <w:gridCol w:w="7858"/>
      </w:tblGrid>
      <w:tr>
        <w:trPr>
          <w:trHeight w:val="235"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COOP družstvo HB</w:t>
            </w:r>
          </w:p>
        </w:tc>
      </w:tr>
      <w:tr>
        <w:trPr>
          <w:trHeight w:val="22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U Rajské zahrady 1912/3, 130 00 Praha 3 - Žižkov</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Jan Adamec, místopředseda představenstva</w:t>
            </w:r>
          </w:p>
        </w:tc>
      </w:tr>
    </w:tbl>
    <w:p>
      <w:pPr>
        <w:pStyle w:val="Style1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Osoba odpovědná jednat jménem objednatele ve věcech technických:.</w:t>
      </w:r>
    </w:p>
    <w:p>
      <w:pPr>
        <w:pStyle w:val="Style1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Osoba odpovědná jednat jménem objednatele při předání a převzetí prací: Bankovní spojení:</w:t>
      </w:r>
    </w:p>
    <w:p>
      <w:pPr>
        <w:pStyle w:val="Style1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center"/>
        <w:tblLayout w:type="fixed"/>
      </w:tblPr>
      <w:tblGrid>
        <w:gridCol w:w="1973"/>
        <w:gridCol w:w="7858"/>
      </w:tblGrid>
      <w:tr>
        <w:trPr>
          <w:trHeight w:val="25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00032115</w:t>
            </w:r>
          </w:p>
        </w:tc>
      </w:tr>
      <w:tr>
        <w:trPr>
          <w:trHeight w:val="259"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CZ00032115</w:t>
            </w:r>
          </w:p>
        </w:tc>
      </w:tr>
    </w:tbl>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59" w:line="1" w:lineRule="exact"/>
      </w:pPr>
    </w:p>
    <w:p>
      <w:pPr>
        <w:widowControl w:val="0"/>
        <w:spacing w:line="1" w:lineRule="exact"/>
      </w:pPr>
    </w:p>
    <w:tbl>
      <w:tblPr>
        <w:tblOverlap w:val="never"/>
        <w:jc w:val="center"/>
        <w:tblLayout w:type="fixed"/>
      </w:tblPr>
      <w:tblGrid>
        <w:gridCol w:w="1973"/>
        <w:gridCol w:w="7858"/>
      </w:tblGrid>
      <w:tr>
        <w:trPr>
          <w:trHeight w:val="37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1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r>
        <w:trPr>
          <w:trHeight w:val="25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Ing. Radovan Necid, ředitelem organizace</w:t>
            </w:r>
          </w:p>
        </w:tc>
      </w:tr>
    </w:tbl>
    <w:p>
      <w:pPr>
        <w:pStyle w:val="Style16"/>
        <w:keepNext w:val="0"/>
        <w:keepLines w:val="0"/>
        <w:widowControl w:val="0"/>
        <w:shd w:val="clear" w:color="auto" w:fill="auto"/>
        <w:tabs>
          <w:tab w:pos="78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zhotovitele ve věcech technických:</w:t>
        <w:tab/>
        <w:t>vedoucí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Chotěboř</w:t>
      </w:r>
    </w:p>
    <w:p>
      <w:pPr>
        <w:pStyle w:val="Style16"/>
        <w:keepNext w:val="0"/>
        <w:keepLines w:val="0"/>
        <w:widowControl w:val="0"/>
        <w:shd w:val="clear" w:color="auto" w:fill="auto"/>
        <w:tabs>
          <w:tab w:pos="8256" w:val="left"/>
        </w:tabs>
        <w:bidi w:val="0"/>
        <w:spacing w:before="0" w:after="0" w:line="240" w:lineRule="auto"/>
        <w:ind w:left="0" w:right="0" w:firstLine="0"/>
        <w:jc w:val="both"/>
      </w:pPr>
      <w:r>
        <w:rPr>
          <w:color w:val="000000"/>
          <w:spacing w:val="0"/>
          <w:w w:val="100"/>
          <w:position w:val="0"/>
          <w:shd w:val="clear" w:color="auto" w:fill="auto"/>
          <w:lang w:val="cs-CZ" w:eastAsia="cs-CZ" w:bidi="cs-CZ"/>
        </w:rPr>
        <w:t>Osoba odpovědná jednat jménem zhotovitele při předání a převzetí prací</w:t>
        <w:tab/>
        <w:t>vedoucí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Chotěboř</w:t>
      </w:r>
    </w:p>
    <w:p>
      <w:pPr>
        <w:widowControl w:val="0"/>
        <w:spacing w:line="1" w:lineRule="exact"/>
      </w:pPr>
    </w:p>
    <w:tbl>
      <w:tblPr>
        <w:tblOverlap w:val="never"/>
        <w:jc w:val="center"/>
        <w:tblLayout w:type="fixed"/>
      </w:tblPr>
      <w:tblGrid>
        <w:gridCol w:w="1973"/>
        <w:gridCol w:w="7858"/>
      </w:tblGrid>
      <w:tr>
        <w:trPr>
          <w:trHeight w:val="254"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Komerční banka, a.s.</w:t>
            </w:r>
          </w:p>
        </w:tc>
      </w:tr>
    </w:tbl>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účtu :</w:t>
      </w:r>
    </w:p>
    <w:p>
      <w:pPr>
        <w:widowControl w:val="0"/>
        <w:spacing w:line="1" w:lineRule="exact"/>
      </w:pPr>
    </w:p>
    <w:tbl>
      <w:tblPr>
        <w:tblOverlap w:val="never"/>
        <w:jc w:val="center"/>
        <w:tblLayout w:type="fixed"/>
      </w:tblPr>
      <w:tblGrid>
        <w:gridCol w:w="1973"/>
        <w:gridCol w:w="7858"/>
      </w:tblGrid>
      <w:tr>
        <w:trPr>
          <w:trHeight w:val="25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00090450</w:t>
            </w:r>
          </w:p>
        </w:tc>
      </w:tr>
      <w:tr>
        <w:trPr>
          <w:trHeight w:val="254"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CZ00090450</w:t>
            </w:r>
          </w:p>
        </w:tc>
      </w:tr>
    </w:tbl>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Telefon: E-mail:</w:t>
      </w:r>
    </w:p>
    <w:p>
      <w:pPr>
        <w:widowControl w:val="0"/>
        <w:spacing w:line="1" w:lineRule="exact"/>
      </w:pPr>
    </w:p>
    <w:tbl>
      <w:tblPr>
        <w:tblOverlap w:val="never"/>
        <w:jc w:val="center"/>
        <w:tblLayout w:type="fixed"/>
      </w:tblPr>
      <w:tblGrid>
        <w:gridCol w:w="1973"/>
        <w:gridCol w:w="7858"/>
      </w:tblGrid>
      <w:tr>
        <w:trPr>
          <w:trHeight w:val="30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Kraj Vysočina</w:t>
            </w:r>
          </w:p>
        </w:tc>
      </w:tr>
    </w:tbl>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(dále jen zhotovitel)</w:t>
      </w:r>
    </w:p>
    <w:p>
      <w:pPr>
        <w:widowControl w:val="0"/>
        <w:spacing w:after="219" w:line="1" w:lineRule="exact"/>
      </w:pPr>
    </w:p>
    <w:p>
      <w:pPr>
        <w:pStyle w:val="Style11"/>
        <w:keepNext w:val="0"/>
        <w:keepLines w:val="0"/>
        <w:widowControl w:val="0"/>
        <w:shd w:val="clear" w:color="auto" w:fill="auto"/>
        <w:bidi w:val="0"/>
        <w:spacing w:before="0" w:after="440"/>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11"/>
        <w:keepNext w:val="0"/>
        <w:keepLines w:val="0"/>
        <w:widowControl w:val="0"/>
        <w:shd w:val="clear" w:color="auto" w:fill="auto"/>
        <w:bidi w:val="0"/>
        <w:spacing w:before="0" w:after="0" w:line="254" w:lineRule="auto"/>
        <w:ind w:left="0" w:right="0" w:firstLine="0"/>
        <w:jc w:val="center"/>
      </w:pPr>
      <w:r>
        <w:rPr>
          <w:b/>
          <w:bCs/>
          <w:color w:val="000000"/>
          <w:spacing w:val="0"/>
          <w:w w:val="100"/>
          <w:position w:val="0"/>
          <w:shd w:val="clear" w:color="auto" w:fill="auto"/>
          <w:lang w:val="cs-CZ" w:eastAsia="cs-CZ" w:bidi="cs-CZ"/>
        </w:rPr>
        <w:t>Článek 2</w:t>
      </w:r>
    </w:p>
    <w:p>
      <w:pPr>
        <w:pStyle w:val="Style9"/>
        <w:keepNext/>
        <w:keepLines/>
        <w:widowControl w:val="0"/>
        <w:shd w:val="clear" w:color="auto" w:fill="auto"/>
        <w:bidi w:val="0"/>
        <w:spacing w:before="0" w:line="254"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a rozsah díla</w:t>
      </w:r>
      <w:bookmarkEnd w:id="4"/>
      <w:bookmarkEnd w:id="5"/>
    </w:p>
    <w:p>
      <w:pPr>
        <w:pStyle w:val="Style11"/>
        <w:keepNext w:val="0"/>
        <w:keepLines w:val="0"/>
        <w:widowControl w:val="0"/>
        <w:numPr>
          <w:ilvl w:val="0"/>
          <w:numId w:val="1"/>
        </w:numPr>
        <w:shd w:val="clear" w:color="auto" w:fill="auto"/>
        <w:tabs>
          <w:tab w:pos="717" w:val="left"/>
        </w:tabs>
        <w:bidi w:val="0"/>
        <w:spacing w:before="0" w:line="254" w:lineRule="auto"/>
        <w:ind w:left="0" w:right="0" w:firstLine="0"/>
        <w:jc w:val="both"/>
      </w:pPr>
      <w:r>
        <w:rPr>
          <w:color w:val="000000"/>
          <w:spacing w:val="0"/>
          <w:w w:val="100"/>
          <w:position w:val="0"/>
          <w:shd w:val="clear" w:color="auto" w:fill="auto"/>
          <w:lang w:val="cs-CZ" w:eastAsia="cs-CZ" w:bidi="cs-CZ"/>
        </w:rPr>
        <w:t>Předmětem plnění této smlouvy je závazek zhotovitele provést na svůj náklad a nebezpečí opravu dvora, za dodržení dále sjednaných podmínek dle této smlouvy. Rozsah prací včetně cenové nabídky je odsouhlasen zástupcem objednatele Janem Adamcem, a to v příloze č.1 Cenová nabídka k provedení prací tvoří nedílnou součást této smlouvy.</w:t>
      </w:r>
    </w:p>
    <w:p>
      <w:pPr>
        <w:pStyle w:val="Style11"/>
        <w:keepNext w:val="0"/>
        <w:keepLines w:val="0"/>
        <w:widowControl w:val="0"/>
        <w:numPr>
          <w:ilvl w:val="0"/>
          <w:numId w:val="1"/>
        </w:numPr>
        <w:shd w:val="clear" w:color="auto" w:fill="auto"/>
        <w:tabs>
          <w:tab w:pos="717" w:val="left"/>
        </w:tabs>
        <w:bidi w:val="0"/>
        <w:spacing w:before="0"/>
        <w:ind w:left="0" w:right="0" w:firstLine="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11"/>
        <w:keepNext w:val="0"/>
        <w:keepLines w:val="0"/>
        <w:widowControl w:val="0"/>
        <w:numPr>
          <w:ilvl w:val="0"/>
          <w:numId w:val="1"/>
        </w:numPr>
        <w:shd w:val="clear" w:color="auto" w:fill="auto"/>
        <w:tabs>
          <w:tab w:pos="717" w:val="left"/>
        </w:tabs>
        <w:bidi w:val="0"/>
        <w:spacing w:before="0" w:line="259" w:lineRule="auto"/>
        <w:ind w:left="0" w:right="0" w:firstLine="0"/>
        <w:jc w:val="both"/>
        <w:sectPr>
          <w:footnotePr>
            <w:pos w:val="pageBottom"/>
            <w:numFmt w:val="decimal"/>
            <w:numRestart w:val="continuous"/>
          </w:footnotePr>
          <w:type w:val="continuous"/>
          <w:pgSz w:w="11900" w:h="16840"/>
          <w:pgMar w:top="1340" w:left="915" w:right="1116" w:bottom="1340" w:header="0" w:footer="3" w:gutter="0"/>
          <w:cols w:space="720"/>
          <w:noEndnote/>
          <w:rtlGutter w:val="0"/>
          <w:docGrid w:linePitch="360"/>
        </w:sectPr>
      </w:pPr>
      <w:r>
        <w:rPr>
          <w:color w:val="000000"/>
          <w:spacing w:val="0"/>
          <w:w w:val="100"/>
          <w:position w:val="0"/>
          <w:shd w:val="clear" w:color="auto" w:fill="auto"/>
          <w:lang w:val="cs-CZ" w:eastAsia="cs-CZ" w:bidi="cs-CZ"/>
        </w:rPr>
        <w:t>Dílem ve smyslu této smlouvy se rozumí provedení živičných vrstev na parkovišti ul. Partyzánská, Chotěboř, COOP družstvo HB.</w:t>
      </w:r>
    </w:p>
    <w:p>
      <w:pPr>
        <w:pStyle w:val="Style2"/>
        <w:keepNext w:val="0"/>
        <w:keepLines w:val="0"/>
        <w:widowControl w:val="0"/>
        <w:shd w:val="clear" w:color="auto" w:fill="auto"/>
        <w:bidi w:val="0"/>
        <w:spacing w:before="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11"/>
        <w:keepNext w:val="0"/>
        <w:keepLines w:val="0"/>
        <w:widowControl w:val="0"/>
        <w:numPr>
          <w:ilvl w:val="0"/>
          <w:numId w:val="1"/>
        </w:numPr>
        <w:shd w:val="clear" w:color="auto" w:fill="auto"/>
        <w:tabs>
          <w:tab w:pos="713" w:val="left"/>
        </w:tabs>
        <w:bidi w:val="0"/>
        <w:spacing w:before="0"/>
        <w:ind w:left="0" w:right="0" w:firstLine="0"/>
        <w:jc w:val="both"/>
      </w:pPr>
      <w:r>
        <w:rPr>
          <w:color w:val="000000"/>
          <w:spacing w:val="0"/>
          <w:w w:val="100"/>
          <w:position w:val="0"/>
          <w:shd w:val="clear" w:color="auto" w:fill="auto"/>
          <w:lang w:val="cs-CZ" w:eastAsia="cs-CZ" w:bidi="cs-CZ"/>
        </w:rPr>
        <w:t>Předmět díla zahrnuje podklady určené k provedení díla, pomocné práce, manipulaci, dopravu, pracovní lešení, apod. Přesný výpis (výměra) prací je uveden v přiloženém rozpočtu. Kvalita díla se řídí ČSN (Českými technickými normami).</w:t>
      </w:r>
    </w:p>
    <w:p>
      <w:pPr>
        <w:pStyle w:val="Style11"/>
        <w:keepNext w:val="0"/>
        <w:keepLines w:val="0"/>
        <w:widowControl w:val="0"/>
        <w:numPr>
          <w:ilvl w:val="0"/>
          <w:numId w:val="1"/>
        </w:numPr>
        <w:shd w:val="clear" w:color="auto" w:fill="auto"/>
        <w:tabs>
          <w:tab w:pos="7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9"/>
        <w:keepNext/>
        <w:keepLines/>
        <w:widowControl w:val="0"/>
        <w:shd w:val="clear" w:color="auto" w:fill="auto"/>
        <w:bidi w:val="0"/>
        <w:spacing w:before="0"/>
        <w:ind w:left="0" w:right="0" w:firstLine="0"/>
        <w:jc w:val="center"/>
      </w:pPr>
      <w:bookmarkStart w:id="6" w:name="bookmark6"/>
      <w:bookmarkStart w:id="7" w:name="bookmark7"/>
      <w:r>
        <w:rPr>
          <w:color w:val="000000"/>
          <w:spacing w:val="0"/>
          <w:w w:val="100"/>
          <w:position w:val="0"/>
          <w:shd w:val="clear" w:color="auto" w:fill="auto"/>
          <w:lang w:val="cs-CZ" w:eastAsia="cs-CZ" w:bidi="cs-CZ"/>
        </w:rPr>
        <w:t>Článek 3</w:t>
        <w:br/>
        <w:t>Čas a místo plnění</w:t>
      </w:r>
      <w:bookmarkEnd w:id="6"/>
      <w:bookmarkEnd w:id="7"/>
    </w:p>
    <w:p>
      <w:pPr>
        <w:pStyle w:val="Style11"/>
        <w:keepNext w:val="0"/>
        <w:keepLines w:val="0"/>
        <w:widowControl w:val="0"/>
        <w:numPr>
          <w:ilvl w:val="0"/>
          <w:numId w:val="3"/>
        </w:numPr>
        <w:shd w:val="clear" w:color="auto" w:fill="auto"/>
        <w:tabs>
          <w:tab w:pos="713"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provést dílo v následujícím termínu:</w:t>
      </w:r>
    </w:p>
    <w:p>
      <w:pPr>
        <w:pStyle w:val="Style11"/>
        <w:keepNext w:val="0"/>
        <w:keepLines w:val="0"/>
        <w:widowControl w:val="0"/>
        <w:numPr>
          <w:ilvl w:val="0"/>
          <w:numId w:val="5"/>
        </w:numPr>
        <w:shd w:val="clear" w:color="auto" w:fill="auto"/>
        <w:tabs>
          <w:tab w:pos="1392" w:val="left"/>
        </w:tabs>
        <w:bidi w:val="0"/>
        <w:spacing w:before="0" w:after="0" w:line="240" w:lineRule="auto"/>
        <w:ind w:left="1160" w:right="0" w:firstLine="0"/>
        <w:jc w:val="both"/>
      </w:pPr>
      <w:r>
        <w:rPr>
          <w:color w:val="000000"/>
          <w:spacing w:val="0"/>
          <w:w w:val="100"/>
          <w:position w:val="0"/>
          <w:shd w:val="clear" w:color="auto" w:fill="auto"/>
          <w:lang w:val="cs-CZ" w:eastAsia="cs-CZ" w:bidi="cs-CZ"/>
        </w:rPr>
        <w:t>Zahájení plnění: 1 .listopadu 2021 (dřívější plnění je možné)</w:t>
      </w:r>
    </w:p>
    <w:p>
      <w:pPr>
        <w:pStyle w:val="Style11"/>
        <w:keepNext w:val="0"/>
        <w:keepLines w:val="0"/>
        <w:widowControl w:val="0"/>
        <w:numPr>
          <w:ilvl w:val="0"/>
          <w:numId w:val="5"/>
        </w:numPr>
        <w:shd w:val="clear" w:color="auto" w:fill="auto"/>
        <w:tabs>
          <w:tab w:pos="1392" w:val="left"/>
        </w:tabs>
        <w:bidi w:val="0"/>
        <w:spacing w:before="0" w:line="240" w:lineRule="auto"/>
        <w:ind w:left="1160" w:right="0" w:firstLine="0"/>
        <w:jc w:val="both"/>
      </w:pPr>
      <w:r>
        <w:rPr>
          <w:color w:val="000000"/>
          <w:spacing w:val="0"/>
          <w:w w:val="100"/>
          <w:position w:val="0"/>
          <w:shd w:val="clear" w:color="auto" w:fill="auto"/>
          <w:lang w:val="cs-CZ" w:eastAsia="cs-CZ" w:bidi="cs-CZ"/>
        </w:rPr>
        <w:t>Dokončení plnění: 1.listopadu.2021</w:t>
      </w:r>
    </w:p>
    <w:p>
      <w:pPr>
        <w:pStyle w:val="Style11"/>
        <w:keepNext w:val="0"/>
        <w:keepLines w:val="0"/>
        <w:widowControl w:val="0"/>
        <w:numPr>
          <w:ilvl w:val="0"/>
          <w:numId w:val="3"/>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Místo plnění: Chotěboř, p.č. 3137</w:t>
      </w:r>
    </w:p>
    <w:p>
      <w:pPr>
        <w:pStyle w:val="Style11"/>
        <w:keepNext w:val="0"/>
        <w:keepLines w:val="0"/>
        <w:widowControl w:val="0"/>
        <w:numPr>
          <w:ilvl w:val="0"/>
          <w:numId w:val="3"/>
        </w:numPr>
        <w:shd w:val="clear" w:color="auto" w:fill="auto"/>
        <w:tabs>
          <w:tab w:pos="7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11"/>
        <w:keepNext w:val="0"/>
        <w:keepLines w:val="0"/>
        <w:widowControl w:val="0"/>
        <w:numPr>
          <w:ilvl w:val="0"/>
          <w:numId w:val="5"/>
        </w:numPr>
        <w:shd w:val="clear" w:color="auto" w:fill="auto"/>
        <w:tabs>
          <w:tab w:pos="232" w:val="left"/>
        </w:tabs>
        <w:bidi w:val="0"/>
        <w:spacing w:before="0" w:after="0" w:line="240" w:lineRule="auto"/>
        <w:ind w:left="0" w:right="0" w:firstLine="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11"/>
        <w:keepNext w:val="0"/>
        <w:keepLines w:val="0"/>
        <w:widowControl w:val="0"/>
        <w:numPr>
          <w:ilvl w:val="0"/>
          <w:numId w:val="5"/>
        </w:numPr>
        <w:shd w:val="clear" w:color="auto" w:fill="auto"/>
        <w:tabs>
          <w:tab w:pos="232" w:val="left"/>
        </w:tabs>
        <w:bidi w:val="0"/>
        <w:spacing w:before="0" w:after="0" w:line="240" w:lineRule="auto"/>
        <w:ind w:left="0" w:right="0" w:firstLine="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11"/>
        <w:keepNext w:val="0"/>
        <w:keepLines w:val="0"/>
        <w:widowControl w:val="0"/>
        <w:numPr>
          <w:ilvl w:val="0"/>
          <w:numId w:val="5"/>
        </w:numPr>
        <w:shd w:val="clear" w:color="auto" w:fill="auto"/>
        <w:tabs>
          <w:tab w:pos="232" w:val="left"/>
        </w:tabs>
        <w:bidi w:val="0"/>
        <w:spacing w:before="0" w:after="0" w:line="240" w:lineRule="auto"/>
        <w:ind w:left="0" w:right="0" w:firstLine="0"/>
        <w:jc w:val="both"/>
      </w:pPr>
      <w:r>
        <w:rPr>
          <w:color w:val="000000"/>
          <w:spacing w:val="0"/>
          <w:w w:val="100"/>
          <w:position w:val="0"/>
          <w:shd w:val="clear" w:color="auto" w:fill="auto"/>
          <w:lang w:val="cs-CZ" w:eastAsia="cs-CZ" w:bidi="cs-CZ"/>
        </w:rPr>
        <w:t>dojde-li k opožděnému předání staveniště</w:t>
      </w:r>
    </w:p>
    <w:p>
      <w:pPr>
        <w:pStyle w:val="Style11"/>
        <w:keepNext w:val="0"/>
        <w:keepLines w:val="0"/>
        <w:widowControl w:val="0"/>
        <w:numPr>
          <w:ilvl w:val="0"/>
          <w:numId w:val="5"/>
        </w:numPr>
        <w:shd w:val="clear" w:color="auto" w:fill="auto"/>
        <w:tabs>
          <w:tab w:pos="232" w:val="left"/>
        </w:tabs>
        <w:bidi w:val="0"/>
        <w:spacing w:before="0" w:line="240" w:lineRule="auto"/>
        <w:ind w:left="0" w:right="0" w:firstLine="0"/>
        <w:jc w:val="both"/>
      </w:pPr>
      <w:r>
        <w:rPr>
          <w:color w:val="000000"/>
          <w:spacing w:val="0"/>
          <w:w w:val="100"/>
          <w:position w:val="0"/>
          <w:shd w:val="clear" w:color="auto" w:fill="auto"/>
          <w:lang w:val="cs-CZ" w:eastAsia="cs-CZ" w:bidi="cs-CZ"/>
        </w:rPr>
        <w:t>vlivem vyšší moci klimatických podmínek či jiných okolností nezaviněných zhotovitelem, které neumožní provádění prací.</w:t>
      </w:r>
    </w:p>
    <w:p>
      <w:pPr>
        <w:pStyle w:val="Style11"/>
        <w:keepNext w:val="0"/>
        <w:keepLines w:val="0"/>
        <w:widowControl w:val="0"/>
        <w:numPr>
          <w:ilvl w:val="0"/>
          <w:numId w:val="3"/>
        </w:numPr>
        <w:shd w:val="clear" w:color="auto" w:fill="auto"/>
        <w:tabs>
          <w:tab w:pos="713" w:val="left"/>
        </w:tabs>
        <w:bidi w:val="0"/>
        <w:spacing w:before="0" w:after="440"/>
        <w:ind w:left="0" w:right="0" w:firstLine="0"/>
        <w:jc w:val="both"/>
      </w:pPr>
      <w:r>
        <w:rPr>
          <w:color w:val="000000"/>
          <w:spacing w:val="0"/>
          <w:w w:val="100"/>
          <w:position w:val="0"/>
          <w:shd w:val="clear" w:color="auto" w:fill="auto"/>
          <w:lang w:val="cs-CZ" w:eastAsia="cs-CZ" w:bidi="cs-CZ"/>
        </w:rPr>
        <w:t>Pokud objednavatel neposkytne zhotoviteli nutnou součinnost a nezajistí mu podmínky pro splnění termínu provedení díla, a to v jejich dostatečném předstihu, má zhotovitel právo odstoupit od smlouvy s tím, že objednatel uhradí zhotoviteli poměrnou část ceny díla v návaznosti na rozsah jím již realizovaných prací.</w:t>
      </w:r>
    </w:p>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9"/>
        <w:keepNext/>
        <w:keepLines/>
        <w:widowControl w:val="0"/>
        <w:shd w:val="clear" w:color="auto" w:fill="auto"/>
        <w:bidi w:val="0"/>
        <w:spacing w:before="0" w:after="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Cena díla</w:t>
      </w:r>
      <w:bookmarkEnd w:id="8"/>
      <w:bookmarkEnd w:id="9"/>
    </w:p>
    <w:p>
      <w:pPr>
        <w:pStyle w:val="Style11"/>
        <w:keepNext w:val="0"/>
        <w:keepLines w:val="0"/>
        <w:widowControl w:val="0"/>
        <w:numPr>
          <w:ilvl w:val="1"/>
          <w:numId w:val="3"/>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na ceně za provedení díla podle čl. 2 této smlouvy ve výši:</w:t>
      </w:r>
    </w:p>
    <w:p>
      <w:pPr>
        <w:pStyle w:val="Style11"/>
        <w:keepNext w:val="0"/>
        <w:keepLines w:val="0"/>
        <w:widowControl w:val="0"/>
        <w:shd w:val="clear" w:color="auto" w:fill="auto"/>
        <w:tabs>
          <w:tab w:pos="4218" w:val="left"/>
        </w:tabs>
        <w:bidi w:val="0"/>
        <w:spacing w:before="0" w:after="0" w:line="240" w:lineRule="auto"/>
        <w:ind w:left="1440" w:right="0" w:firstLine="0"/>
        <w:jc w:val="both"/>
      </w:pPr>
      <w:r>
        <w:rPr>
          <w:color w:val="000000"/>
          <w:spacing w:val="0"/>
          <w:w w:val="100"/>
          <w:position w:val="0"/>
          <w:shd w:val="clear" w:color="auto" w:fill="auto"/>
          <w:lang w:val="cs-CZ" w:eastAsia="cs-CZ" w:bidi="cs-CZ"/>
        </w:rPr>
        <w:t>Cena bez DPH</w:t>
        <w:tab/>
        <w:t>450.700,-</w:t>
      </w:r>
    </w:p>
    <w:p>
      <w:pPr>
        <w:pStyle w:val="Style11"/>
        <w:keepNext w:val="0"/>
        <w:keepLines w:val="0"/>
        <w:widowControl w:val="0"/>
        <w:pBdr>
          <w:bottom w:val="single" w:sz="4" w:space="0" w:color="auto"/>
        </w:pBdr>
        <w:shd w:val="clear" w:color="auto" w:fill="auto"/>
        <w:tabs>
          <w:tab w:pos="4218" w:val="left"/>
        </w:tabs>
        <w:bidi w:val="0"/>
        <w:spacing w:before="0" w:line="240" w:lineRule="auto"/>
        <w:ind w:left="1440" w:right="0" w:firstLine="0"/>
        <w:jc w:val="both"/>
      </w:pPr>
      <w:r>
        <w:rPr>
          <w:color w:val="000000"/>
          <w:spacing w:val="0"/>
          <w:w w:val="100"/>
          <w:position w:val="0"/>
          <w:shd w:val="clear" w:color="auto" w:fill="auto"/>
          <w:lang w:val="cs-CZ" w:eastAsia="cs-CZ" w:bidi="cs-CZ"/>
        </w:rPr>
        <w:t>DPH (21%)</w:t>
        <w:tab/>
        <w:t>94.647,-</w:t>
      </w:r>
    </w:p>
    <w:p>
      <w:pPr>
        <w:pStyle w:val="Style9"/>
        <w:keepNext/>
        <w:keepLines/>
        <w:widowControl w:val="0"/>
        <w:shd w:val="clear" w:color="auto" w:fill="auto"/>
        <w:tabs>
          <w:tab w:pos="4218" w:val="left"/>
        </w:tabs>
        <w:bidi w:val="0"/>
        <w:spacing w:before="0" w:line="254" w:lineRule="auto"/>
        <w:ind w:left="1440" w:right="0" w:firstLine="0"/>
        <w:jc w:val="both"/>
      </w:pPr>
      <w:bookmarkStart w:id="10" w:name="bookmark10"/>
      <w:bookmarkStart w:id="11" w:name="bookmark11"/>
      <w:r>
        <w:rPr>
          <w:color w:val="000000"/>
          <w:spacing w:val="0"/>
          <w:w w:val="100"/>
          <w:position w:val="0"/>
          <w:shd w:val="clear" w:color="auto" w:fill="auto"/>
          <w:lang w:val="cs-CZ" w:eastAsia="cs-CZ" w:bidi="cs-CZ"/>
        </w:rPr>
        <w:t>Cena celkem s DPH</w:t>
        <w:tab/>
        <w:t>545.347,- Kč</w:t>
      </w:r>
      <w:bookmarkEnd w:id="10"/>
      <w:bookmarkEnd w:id="11"/>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Podrobná kalkulace ceny díla včetně jednotkových cen (oceněný soupis stavebních prací) je uvedena v příloze č. 1 Cenová nabídka k provedení prací.</w:t>
      </w:r>
    </w:p>
    <w:p>
      <w:pPr>
        <w:pStyle w:val="Style11"/>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w:t>
      </w:r>
    </w:p>
    <w:p>
      <w:pPr>
        <w:pStyle w:val="Style11"/>
        <w:keepNext w:val="0"/>
        <w:keepLines w:val="0"/>
        <w:widowControl w:val="0"/>
        <w:numPr>
          <w:ilvl w:val="1"/>
          <w:numId w:val="3"/>
        </w:numPr>
        <w:shd w:val="clear" w:color="auto" w:fill="auto"/>
        <w:tabs>
          <w:tab w:pos="713" w:val="left"/>
        </w:tabs>
        <w:bidi w:val="0"/>
        <w:spacing w:before="0" w:line="254"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11"/>
        <w:keepNext w:val="0"/>
        <w:keepLines w:val="0"/>
        <w:widowControl w:val="0"/>
        <w:numPr>
          <w:ilvl w:val="1"/>
          <w:numId w:val="3"/>
        </w:numPr>
        <w:shd w:val="clear" w:color="auto" w:fill="auto"/>
        <w:tabs>
          <w:tab w:pos="713" w:val="left"/>
        </w:tabs>
        <w:bidi w:val="0"/>
        <w:spacing w:before="0" w:line="254"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1"/>
        <w:keepNext w:val="0"/>
        <w:keepLines w:val="0"/>
        <w:widowControl w:val="0"/>
        <w:numPr>
          <w:ilvl w:val="1"/>
          <w:numId w:val="3"/>
        </w:numPr>
        <w:shd w:val="clear" w:color="auto" w:fill="auto"/>
        <w:tabs>
          <w:tab w:pos="713" w:val="left"/>
        </w:tabs>
        <w:bidi w:val="0"/>
        <w:spacing w:before="0" w:line="259" w:lineRule="auto"/>
        <w:ind w:left="0" w:right="0" w:firstLine="0"/>
        <w:jc w:val="both"/>
      </w:pPr>
      <w:r>
        <w:rPr>
          <w:color w:val="000000"/>
          <w:spacing w:val="0"/>
          <w:w w:val="100"/>
          <w:position w:val="0"/>
          <w:shd w:val="clear" w:color="auto" w:fill="auto"/>
          <w:lang w:val="cs-CZ" w:eastAsia="cs-CZ" w:bidi="cs-CZ"/>
        </w:rPr>
        <w:t>Všechny úpravy cen musí být v souladu s obecně platnými cenovými předpisy a podléhají schválení obou smluvních stran. Zhotovitel odpovídá za to, že sazba DPH je stanovena v souladu s platnými právními předpisy.</w:t>
      </w:r>
    </w:p>
    <w:p>
      <w:pPr>
        <w:pStyle w:val="Style11"/>
        <w:keepNext w:val="0"/>
        <w:keepLines w:val="0"/>
        <w:widowControl w:val="0"/>
        <w:numPr>
          <w:ilvl w:val="1"/>
          <w:numId w:val="3"/>
        </w:numPr>
        <w:shd w:val="clear" w:color="auto" w:fill="auto"/>
        <w:tabs>
          <w:tab w:pos="713" w:val="left"/>
        </w:tabs>
        <w:bidi w:val="0"/>
        <w:spacing w:before="0"/>
        <w:ind w:left="0" w:right="0" w:firstLine="0"/>
        <w:jc w:val="both"/>
        <w:sectPr>
          <w:footnotePr>
            <w:pos w:val="pageBottom"/>
            <w:numFmt w:val="decimal"/>
            <w:numRestart w:val="continuous"/>
          </w:footnotePr>
          <w:pgSz w:w="11900" w:h="16840"/>
          <w:pgMar w:top="918" w:left="929" w:right="1106" w:bottom="1115" w:header="0" w:footer="3" w:gutter="0"/>
          <w:cols w:space="720"/>
          <w:noEndnote/>
          <w:rtlGutter w:val="0"/>
          <w:docGrid w:linePitch="360"/>
        </w:sectPr>
      </w:pPr>
      <w:r>
        <w:rPr>
          <w:color w:val="000000"/>
          <w:spacing w:val="0"/>
          <w:w w:val="100"/>
          <w:position w:val="0"/>
          <w:shd w:val="clear" w:color="auto" w:fill="auto"/>
          <w:lang w:val="cs-CZ" w:eastAsia="cs-CZ" w:bidi="cs-CZ"/>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w:t>
      </w:r>
    </w:p>
    <w:p>
      <w:pPr>
        <w:pStyle w:val="Style2"/>
        <w:keepNext w:val="0"/>
        <w:keepLines w:val="0"/>
        <w:widowControl w:val="0"/>
        <w:shd w:val="clear" w:color="auto" w:fill="auto"/>
        <w:bidi w:val="0"/>
        <w:spacing w:before="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11"/>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stavebním deníku nebo provedena samostatným zápisem, zpracovat změnový list. Pokud by rozpočet některé práce neobsahoval, bude cena stanovena dle ceníku URS Praha pro příslušné období popř. dle dohody s objednatelem.</w:t>
      </w:r>
    </w:p>
    <w:p>
      <w:pPr>
        <w:pStyle w:val="Style11"/>
        <w:keepNext w:val="0"/>
        <w:keepLines w:val="0"/>
        <w:widowControl w:val="0"/>
        <w:numPr>
          <w:ilvl w:val="1"/>
          <w:numId w:val="3"/>
        </w:numPr>
        <w:shd w:val="clear" w:color="auto" w:fill="auto"/>
        <w:tabs>
          <w:tab w:pos="713" w:val="left"/>
        </w:tabs>
        <w:bidi w:val="0"/>
        <w:spacing w:before="0" w:after="440"/>
        <w:ind w:left="0" w:right="0" w:firstLine="0"/>
        <w:jc w:val="both"/>
      </w:pPr>
      <w:r>
        <w:rPr>
          <w:color w:val="000000"/>
          <w:spacing w:val="0"/>
          <w:w w:val="100"/>
          <w:position w:val="0"/>
          <w:shd w:val="clear" w:color="auto" w:fill="auto"/>
          <w:lang w:val="cs-CZ" w:eastAsia="cs-CZ" w:bidi="cs-CZ"/>
        </w:rPr>
        <w:t>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1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5</w:t>
      </w:r>
    </w:p>
    <w:p>
      <w:pPr>
        <w:pStyle w:val="Style9"/>
        <w:keepNext/>
        <w:keepLines/>
        <w:widowControl w:val="0"/>
        <w:shd w:val="clear" w:color="auto" w:fill="auto"/>
        <w:bidi w:val="0"/>
        <w:spacing w:before="0"/>
        <w:ind w:left="0" w:right="0" w:firstLine="0"/>
        <w:jc w:val="center"/>
      </w:pPr>
      <w:bookmarkStart w:id="12" w:name="bookmark12"/>
      <w:bookmarkStart w:id="13" w:name="bookmark13"/>
      <w:r>
        <w:rPr>
          <w:color w:val="000000"/>
          <w:spacing w:val="0"/>
          <w:w w:val="100"/>
          <w:position w:val="0"/>
          <w:shd w:val="clear" w:color="auto" w:fill="auto"/>
          <w:lang w:val="cs-CZ" w:eastAsia="cs-CZ" w:bidi="cs-CZ"/>
        </w:rPr>
        <w:t>Staveniště</w:t>
      </w:r>
      <w:bookmarkEnd w:id="12"/>
      <w:bookmarkEnd w:id="13"/>
    </w:p>
    <w:p>
      <w:pPr>
        <w:pStyle w:val="Style11"/>
        <w:keepNext w:val="0"/>
        <w:keepLines w:val="0"/>
        <w:widowControl w:val="0"/>
        <w:numPr>
          <w:ilvl w:val="0"/>
          <w:numId w:val="7"/>
        </w:numPr>
        <w:shd w:val="clear" w:color="auto" w:fill="auto"/>
        <w:tabs>
          <w:tab w:pos="713" w:val="left"/>
        </w:tabs>
        <w:bidi w:val="0"/>
        <w:spacing w:before="0" w:line="257"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11"/>
        <w:keepNext w:val="0"/>
        <w:keepLines w:val="0"/>
        <w:widowControl w:val="0"/>
        <w:numPr>
          <w:ilvl w:val="0"/>
          <w:numId w:val="7"/>
        </w:numPr>
        <w:shd w:val="clear" w:color="auto" w:fill="auto"/>
        <w:tabs>
          <w:tab w:pos="713" w:val="left"/>
        </w:tabs>
        <w:bidi w:val="0"/>
        <w:spacing w:before="0" w:after="440"/>
        <w:ind w:left="0" w:right="0" w:firstLine="0"/>
        <w:jc w:val="both"/>
      </w:pPr>
      <w:r>
        <w:rPr>
          <w:color w:val="000000"/>
          <w:spacing w:val="0"/>
          <w:w w:val="100"/>
          <w:position w:val="0"/>
          <w:shd w:val="clear" w:color="auto" w:fill="auto"/>
          <w:lang w:val="cs-CZ" w:eastAsia="cs-CZ" w:bidi="cs-CZ"/>
        </w:rPr>
        <w:t>Zhotovitel se zavazuje vyklidit staveniště do 10 dnů od převzetí dokončeného díla objednatelem.</w:t>
      </w:r>
    </w:p>
    <w:p>
      <w:pPr>
        <w:pStyle w:val="Style1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6</w:t>
      </w:r>
    </w:p>
    <w:p>
      <w:pPr>
        <w:pStyle w:val="Style9"/>
        <w:keepNext/>
        <w:keepLines/>
        <w:widowControl w:val="0"/>
        <w:shd w:val="clear" w:color="auto" w:fill="auto"/>
        <w:bidi w:val="0"/>
        <w:spacing w:before="0"/>
        <w:ind w:left="0" w:right="0" w:firstLine="0"/>
        <w:jc w:val="center"/>
      </w:pPr>
      <w:bookmarkStart w:id="14" w:name="bookmark14"/>
      <w:bookmarkStart w:id="15" w:name="bookmark15"/>
      <w:r>
        <w:rPr>
          <w:color w:val="000000"/>
          <w:spacing w:val="0"/>
          <w:w w:val="100"/>
          <w:position w:val="0"/>
          <w:shd w:val="clear" w:color="auto" w:fill="auto"/>
          <w:lang w:val="cs-CZ" w:eastAsia="cs-CZ" w:bidi="cs-CZ"/>
        </w:rPr>
        <w:t>Provádění díla</w:t>
      </w:r>
      <w:bookmarkEnd w:id="14"/>
      <w:bookmarkEnd w:id="15"/>
    </w:p>
    <w:p>
      <w:pPr>
        <w:pStyle w:val="Style11"/>
        <w:keepNext w:val="0"/>
        <w:keepLines w:val="0"/>
        <w:widowControl w:val="0"/>
        <w:numPr>
          <w:ilvl w:val="0"/>
          <w:numId w:val="9"/>
        </w:numPr>
        <w:shd w:val="clear" w:color="auto" w:fill="auto"/>
        <w:tabs>
          <w:tab w:pos="713" w:val="left"/>
        </w:tabs>
        <w:bidi w:val="0"/>
        <w:spacing w:before="0"/>
        <w:ind w:left="0" w:right="0" w:firstLine="0"/>
        <w:jc w:val="both"/>
      </w:pPr>
      <w:r>
        <w:rPr>
          <w:color w:val="000000"/>
          <w:spacing w:val="0"/>
          <w:w w:val="100"/>
          <w:position w:val="0"/>
          <w:shd w:val="clear" w:color="auto" w:fill="auto"/>
          <w:lang w:val="cs-CZ" w:eastAsia="cs-CZ" w:bidi="cs-CZ"/>
        </w:rPr>
        <w:t>Zhotovitel je povinen provést dílo v souladu s touto smlouvou a nabídkou zhotovitele.</w:t>
      </w:r>
    </w:p>
    <w:p>
      <w:pPr>
        <w:pStyle w:val="Style11"/>
        <w:keepNext w:val="0"/>
        <w:keepLines w:val="0"/>
        <w:widowControl w:val="0"/>
        <w:numPr>
          <w:ilvl w:val="0"/>
          <w:numId w:val="9"/>
        </w:numPr>
        <w:shd w:val="clear" w:color="auto" w:fill="auto"/>
        <w:tabs>
          <w:tab w:pos="713" w:val="left"/>
        </w:tabs>
        <w:bidi w:val="0"/>
        <w:spacing w:before="0"/>
        <w:ind w:left="0" w:right="0" w:firstLine="0"/>
        <w:jc w:val="both"/>
      </w:pPr>
      <w:r>
        <w:rPr>
          <w:color w:val="000000"/>
          <w:spacing w:val="0"/>
          <w:w w:val="100"/>
          <w:position w:val="0"/>
          <w:shd w:val="clear" w:color="auto" w:fill="auto"/>
          <w:lang w:val="cs-CZ" w:eastAsia="cs-CZ" w:bidi="cs-CZ"/>
        </w:rPr>
        <w:t>Objednatel se rovněž zavazuje poskytnout na žádost zhotovitele veškerou potřebnou součinnost pro řádný průběh a dokončení díla zhotovitelem. Tuto součinnost bude poskytovat objednatel osobně prostřednictvím technického dozoru stavby, kterým je určen</w:t>
      </w:r>
    </w:p>
    <w:p>
      <w:pPr>
        <w:pStyle w:val="Style11"/>
        <w:keepNext w:val="0"/>
        <w:keepLines w:val="0"/>
        <w:widowControl w:val="0"/>
        <w:numPr>
          <w:ilvl w:val="0"/>
          <w:numId w:val="9"/>
        </w:numPr>
        <w:shd w:val="clear" w:color="auto" w:fill="auto"/>
        <w:tabs>
          <w:tab w:pos="713" w:val="left"/>
        </w:tabs>
        <w:bidi w:val="0"/>
        <w:spacing w:before="0" w:line="257" w:lineRule="auto"/>
        <w:ind w:left="0" w:right="0" w:firstLine="0"/>
        <w:jc w:val="both"/>
      </w:pPr>
      <w:r>
        <w:rPr>
          <w:color w:val="000000"/>
          <w:spacing w:val="0"/>
          <w:w w:val="100"/>
          <w:position w:val="0"/>
          <w:shd w:val="clear" w:color="auto" w:fill="auto"/>
          <w:lang w:val="cs-CZ" w:eastAsia="cs-CZ" w:bidi="cs-CZ"/>
        </w:rPr>
        <w:t>Zhotovitel plně dodrží navržený způsob stavebního řešení, navržené materiály, standartní technologie, technologické postupy stanovené či doporučené výrobci a dodavateli technologií. Zároveň dodrží veškeré právní předpisy včetně právních norem.</w:t>
      </w:r>
    </w:p>
    <w:p>
      <w:pPr>
        <w:pStyle w:val="Style11"/>
        <w:keepNext w:val="0"/>
        <w:keepLines w:val="0"/>
        <w:widowControl w:val="0"/>
        <w:numPr>
          <w:ilvl w:val="0"/>
          <w:numId w:val="9"/>
        </w:numPr>
        <w:shd w:val="clear" w:color="auto" w:fill="auto"/>
        <w:tabs>
          <w:tab w:pos="455" w:val="left"/>
        </w:tabs>
        <w:bidi w:val="0"/>
        <w:spacing w:before="0"/>
        <w:ind w:left="0" w:right="0" w:firstLine="0"/>
        <w:jc w:val="both"/>
      </w:pPr>
      <w:r>
        <w:rPr>
          <w:color w:val="000000"/>
          <w:spacing w:val="0"/>
          <w:w w:val="100"/>
          <w:position w:val="0"/>
          <w:shd w:val="clear" w:color="auto" w:fill="auto"/>
          <w:lang w:val="cs-CZ" w:eastAsia="cs-CZ" w:bidi="cs-CZ"/>
        </w:rPr>
        <w:t>Zhotovitel bude stavbu provádět za účasti zodpovědného stavbyvedoucího pověřeného vedením stavby, kterým je jmenován</w:t>
      </w:r>
    </w:p>
    <w:p>
      <w:pPr>
        <w:pStyle w:val="Style11"/>
        <w:keepNext w:val="0"/>
        <w:keepLines w:val="0"/>
        <w:widowControl w:val="0"/>
        <w:numPr>
          <w:ilvl w:val="0"/>
          <w:numId w:val="9"/>
        </w:numPr>
        <w:shd w:val="clear" w:color="auto" w:fill="auto"/>
        <w:tabs>
          <w:tab w:pos="713" w:val="left"/>
        </w:tabs>
        <w:bidi w:val="0"/>
        <w:spacing w:before="0" w:line="257" w:lineRule="auto"/>
        <w:ind w:left="0" w:right="0" w:firstLine="0"/>
        <w:jc w:val="both"/>
      </w:pPr>
      <w:r>
        <w:rPr>
          <w:color w:val="000000"/>
          <w:spacing w:val="0"/>
          <w:w w:val="100"/>
          <w:position w:val="0"/>
          <w:shd w:val="clear" w:color="auto" w:fill="auto"/>
          <w:lang w:val="cs-CZ" w:eastAsia="cs-CZ" w:bidi="cs-CZ"/>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11"/>
        <w:keepNext w:val="0"/>
        <w:keepLines w:val="0"/>
        <w:widowControl w:val="0"/>
        <w:numPr>
          <w:ilvl w:val="0"/>
          <w:numId w:val="9"/>
        </w:numPr>
        <w:shd w:val="clear" w:color="auto" w:fill="auto"/>
        <w:tabs>
          <w:tab w:pos="713" w:val="left"/>
        </w:tabs>
        <w:bidi w:val="0"/>
        <w:spacing w:before="0" w:line="257" w:lineRule="auto"/>
        <w:ind w:left="0" w:right="0" w:firstLine="0"/>
        <w:jc w:val="both"/>
      </w:pPr>
      <w:r>
        <w:rPr>
          <w:color w:val="000000"/>
          <w:spacing w:val="0"/>
          <w:w w:val="100"/>
          <w:position w:val="0"/>
          <w:shd w:val="clear" w:color="auto" w:fill="auto"/>
          <w:lang w:val="cs-CZ" w:eastAsia="cs-CZ" w:bidi="cs-CZ"/>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11"/>
        <w:keepNext w:val="0"/>
        <w:keepLines w:val="0"/>
        <w:widowControl w:val="0"/>
        <w:numPr>
          <w:ilvl w:val="0"/>
          <w:numId w:val="9"/>
        </w:numPr>
        <w:shd w:val="clear" w:color="auto" w:fill="auto"/>
        <w:tabs>
          <w:tab w:pos="713" w:val="left"/>
        </w:tabs>
        <w:bidi w:val="0"/>
        <w:spacing w:before="0" w:after="0"/>
        <w:ind w:left="0" w:right="0" w:firstLine="0"/>
        <w:jc w:val="both"/>
      </w:pPr>
      <w:r>
        <w:rPr>
          <w:color w:val="000000"/>
          <w:spacing w:val="0"/>
          <w:w w:val="100"/>
          <w:position w:val="0"/>
          <w:shd w:val="clear" w:color="auto" w:fill="auto"/>
          <w:lang w:val="cs-CZ" w:eastAsia="cs-CZ" w:bidi="cs-CZ"/>
        </w:rPr>
        <w:t>Bezpečnost práce na staveništi:</w:t>
      </w:r>
    </w:p>
    <w:p>
      <w:pPr>
        <w:pStyle w:val="Style11"/>
        <w:keepNext w:val="0"/>
        <w:keepLines w:val="0"/>
        <w:widowControl w:val="0"/>
        <w:numPr>
          <w:ilvl w:val="0"/>
          <w:numId w:val="11"/>
        </w:numPr>
        <w:shd w:val="clear" w:color="auto" w:fill="auto"/>
        <w:tabs>
          <w:tab w:pos="1436" w:val="left"/>
        </w:tabs>
        <w:bidi w:val="0"/>
        <w:spacing w:before="0" w:after="0"/>
        <w:ind w:left="720" w:right="0" w:firstLine="20"/>
        <w:jc w:val="both"/>
      </w:pPr>
      <w:r>
        <w:rPr>
          <w:color w:val="000000"/>
          <w:spacing w:val="0"/>
          <w:w w:val="100"/>
          <w:position w:val="0"/>
          <w:shd w:val="clear" w:color="auto" w:fill="auto"/>
          <w:lang w:val="cs-CZ" w:eastAsia="cs-CZ" w:bidi="cs-CZ"/>
        </w:rPr>
        <w:t>Bezpečnost okolního silničního provozu zajistí pracovníci zhotovitele stavby osazením přenosných dopravních značek a to až do doby úplného odstranění omezení provozu.</w:t>
      </w:r>
    </w:p>
    <w:p>
      <w:pPr>
        <w:pStyle w:val="Style11"/>
        <w:keepNext w:val="0"/>
        <w:keepLines w:val="0"/>
        <w:widowControl w:val="0"/>
        <w:numPr>
          <w:ilvl w:val="0"/>
          <w:numId w:val="11"/>
        </w:numPr>
        <w:shd w:val="clear" w:color="auto" w:fill="auto"/>
        <w:tabs>
          <w:tab w:pos="1436" w:val="left"/>
        </w:tabs>
        <w:bidi w:val="0"/>
        <w:spacing w:before="0" w:after="0"/>
        <w:ind w:left="720" w:right="0" w:firstLine="2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11"/>
        <w:keepNext w:val="0"/>
        <w:keepLines w:val="0"/>
        <w:widowControl w:val="0"/>
        <w:numPr>
          <w:ilvl w:val="0"/>
          <w:numId w:val="11"/>
        </w:numPr>
        <w:shd w:val="clear" w:color="auto" w:fill="auto"/>
        <w:tabs>
          <w:tab w:pos="1436" w:val="left"/>
        </w:tabs>
        <w:bidi w:val="0"/>
        <w:spacing w:before="0" w:after="0"/>
        <w:ind w:left="720" w:right="0" w:firstLine="20"/>
        <w:jc w:val="both"/>
      </w:pPr>
      <w:r>
        <w:rPr>
          <w:color w:val="000000"/>
          <w:spacing w:val="0"/>
          <w:w w:val="100"/>
          <w:position w:val="0"/>
          <w:shd w:val="clear" w:color="auto" w:fill="auto"/>
          <w:lang w:val="cs-CZ" w:eastAsia="cs-CZ" w:bidi="cs-CZ"/>
        </w:rPr>
        <w:t>Zhotovitel v plné míře odpovídá za bezpečnost a ochranu všech lidí, které se s jeho vědomím zdržují na staveništi a je povinen zabezpečit jejich vybavení ochrannými pracovními pomůckami.</w:t>
      </w:r>
    </w:p>
    <w:p>
      <w:pPr>
        <w:pStyle w:val="Style11"/>
        <w:keepNext w:val="0"/>
        <w:keepLines w:val="0"/>
        <w:widowControl w:val="0"/>
        <w:numPr>
          <w:ilvl w:val="0"/>
          <w:numId w:val="11"/>
        </w:numPr>
        <w:shd w:val="clear" w:color="auto" w:fill="auto"/>
        <w:tabs>
          <w:tab w:pos="1436" w:val="left"/>
        </w:tabs>
        <w:bidi w:val="0"/>
        <w:spacing w:before="0" w:after="0"/>
        <w:ind w:left="720" w:right="0" w:firstLine="20"/>
        <w:jc w:val="both"/>
      </w:pPr>
      <w:r>
        <w:rPr>
          <w:color w:val="000000"/>
          <w:spacing w:val="0"/>
          <w:w w:val="100"/>
          <w:position w:val="0"/>
          <w:shd w:val="clear" w:color="auto" w:fill="auto"/>
          <w:lang w:val="cs-CZ" w:eastAsia="cs-CZ" w:bidi="cs-CZ"/>
        </w:rPr>
        <w:t>Pracovníci objednatele a technický dozor musejí být zhotovitelem proškoleni o bezpečnosti a pohybu na staveništi.</w:t>
      </w:r>
    </w:p>
    <w:p>
      <w:pPr>
        <w:pStyle w:val="Style11"/>
        <w:keepNext w:val="0"/>
        <w:keepLines w:val="0"/>
        <w:widowControl w:val="0"/>
        <w:numPr>
          <w:ilvl w:val="0"/>
          <w:numId w:val="11"/>
        </w:numPr>
        <w:shd w:val="clear" w:color="auto" w:fill="auto"/>
        <w:tabs>
          <w:tab w:pos="1436" w:val="left"/>
        </w:tabs>
        <w:bidi w:val="0"/>
        <w:spacing w:before="0" w:after="0"/>
        <w:ind w:left="720" w:right="0" w:firstLine="20"/>
        <w:jc w:val="both"/>
      </w:pPr>
      <w:r>
        <w:rPr>
          <w:color w:val="000000"/>
          <w:spacing w:val="0"/>
          <w:w w:val="100"/>
          <w:position w:val="0"/>
          <w:shd w:val="clear" w:color="auto" w:fill="auto"/>
          <w:lang w:val="cs-CZ" w:eastAsia="cs-CZ" w:bidi="cs-CZ"/>
        </w:rPr>
        <w:t>Dojde-li k jakémukoliv úrazu při provádění díla nebo činnostech souvisejících s prováděním díla, je zhotovitel povinen zabezpečit vyšetření úrazu a sepsání příslušného záznamu. Objednatel je povinen poskytnout zhotoviteli nezbytnou součinnost.</w:t>
      </w:r>
    </w:p>
    <w:p>
      <w:pPr>
        <w:pStyle w:val="Style11"/>
        <w:keepNext w:val="0"/>
        <w:keepLines w:val="0"/>
        <w:widowControl w:val="0"/>
        <w:numPr>
          <w:ilvl w:val="0"/>
          <w:numId w:val="11"/>
        </w:numPr>
        <w:shd w:val="clear" w:color="auto" w:fill="auto"/>
        <w:tabs>
          <w:tab w:pos="1436" w:val="left"/>
        </w:tabs>
        <w:bidi w:val="0"/>
        <w:spacing w:before="0"/>
        <w:ind w:left="720" w:right="0" w:firstLine="20"/>
        <w:jc w:val="both"/>
        <w:sectPr>
          <w:footnotePr>
            <w:pos w:val="pageBottom"/>
            <w:numFmt w:val="decimal"/>
            <w:numRestart w:val="continuous"/>
          </w:footnotePr>
          <w:pgSz w:w="11900" w:h="16840"/>
          <w:pgMar w:top="951" w:left="870" w:right="1148" w:bottom="1071" w:header="0" w:footer="3" w:gutter="0"/>
          <w:cols w:space="720"/>
          <w:noEndnote/>
          <w:rtlGutter w:val="0"/>
          <w:docGrid w:linePitch="360"/>
        </w:sectPr>
      </w:pPr>
      <w:r>
        <w:rPr>
          <w:color w:val="000000"/>
          <w:spacing w:val="0"/>
          <w:w w:val="100"/>
          <w:position w:val="0"/>
          <w:shd w:val="clear" w:color="auto" w:fill="auto"/>
          <w:lang w:val="cs-CZ" w:eastAsia="cs-CZ" w:bidi="cs-CZ"/>
        </w:rPr>
        <w:t>Zhotovitel bere na vědomí, že objednatel je oprávněn v souladu s platnou legislativou nebo nad její rámec určit pro realizaci prací koordinátora bezpečnosti a ochrany zdraví při práci na staveništi (dále</w:t>
      </w:r>
    </w:p>
    <w:p>
      <w:pPr>
        <w:pStyle w:val="Style2"/>
        <w:keepNext w:val="0"/>
        <w:keepLines w:val="0"/>
        <w:widowControl w:val="0"/>
        <w:shd w:val="clear" w:color="auto" w:fill="auto"/>
        <w:bidi w:val="0"/>
        <w:spacing w:before="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11"/>
        <w:keepNext w:val="0"/>
        <w:keepLines w:val="0"/>
        <w:widowControl w:val="0"/>
        <w:shd w:val="clear" w:color="auto" w:fill="auto"/>
        <w:bidi w:val="0"/>
        <w:spacing w:before="0"/>
        <w:ind w:left="740" w:right="0" w:firstLine="0"/>
        <w:jc w:val="both"/>
      </w:pPr>
      <w:r>
        <w:rPr>
          <w:color w:val="000000"/>
          <w:spacing w:val="0"/>
          <w:w w:val="100"/>
          <w:position w:val="0"/>
          <w:shd w:val="clear" w:color="auto" w:fill="auto"/>
          <w:lang w:val="cs-CZ" w:eastAsia="cs-CZ" w:bidi="cs-CZ"/>
        </w:rPr>
        <w:t>jen koordinátor BOZP). Objednatel, koordinátor BOZP a zhotovitel jsou při své činnosti vázáni povinnostmi dle obecně právních předpisů, zejména §14 a násl. zákona č. 309/2006 Sb. zákon o zajištění dalších podmínek bezpečnosti a ochrany zdraví při práci, v platném znění. Zhotovitel je povinen poskytnout koordinátorovi BOZP plnou součinnost.</w:t>
      </w:r>
    </w:p>
    <w:p>
      <w:pPr>
        <w:pStyle w:val="Style11"/>
        <w:keepNext w:val="0"/>
        <w:keepLines w:val="0"/>
        <w:widowControl w:val="0"/>
        <w:numPr>
          <w:ilvl w:val="1"/>
          <w:numId w:val="11"/>
        </w:numPr>
        <w:shd w:val="clear" w:color="auto" w:fill="auto"/>
        <w:tabs>
          <w:tab w:pos="718" w:val="left"/>
        </w:tabs>
        <w:bidi w:val="0"/>
        <w:spacing w:before="0"/>
        <w:ind w:left="0" w:right="0" w:firstLine="0"/>
        <w:jc w:val="both"/>
      </w:pPr>
      <w:r>
        <w:rPr>
          <w:color w:val="000000"/>
          <w:spacing w:val="0"/>
          <w:w w:val="100"/>
          <w:position w:val="0"/>
          <w:shd w:val="clear" w:color="auto" w:fill="auto"/>
          <w:lang w:val="cs-CZ" w:eastAsia="cs-CZ" w:bidi="cs-CZ"/>
        </w:rPr>
        <w:t>Zhotovitel likviduje odpad vzniklý na stavbě na svůj náklad.</w:t>
      </w:r>
    </w:p>
    <w:p>
      <w:pPr>
        <w:pStyle w:val="Style11"/>
        <w:keepNext w:val="0"/>
        <w:keepLines w:val="0"/>
        <w:widowControl w:val="0"/>
        <w:numPr>
          <w:ilvl w:val="1"/>
          <w:numId w:val="11"/>
        </w:numPr>
        <w:shd w:val="clear" w:color="auto" w:fill="auto"/>
        <w:tabs>
          <w:tab w:pos="718"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9"/>
        <w:keepNext/>
        <w:keepLines/>
        <w:widowControl w:val="0"/>
        <w:shd w:val="clear" w:color="auto" w:fill="auto"/>
        <w:bidi w:val="0"/>
        <w:spacing w:before="0"/>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7</w:t>
        <w:br/>
        <w:t>Kvalita díla</w:t>
      </w:r>
      <w:bookmarkEnd w:id="16"/>
      <w:bookmarkEnd w:id="17"/>
    </w:p>
    <w:p>
      <w:pPr>
        <w:pStyle w:val="Style11"/>
        <w:keepNext w:val="0"/>
        <w:keepLines w:val="0"/>
        <w:widowControl w:val="0"/>
        <w:numPr>
          <w:ilvl w:val="0"/>
          <w:numId w:val="13"/>
        </w:numPr>
        <w:shd w:val="clear" w:color="auto" w:fill="auto"/>
        <w:tabs>
          <w:tab w:pos="718" w:val="left"/>
        </w:tabs>
        <w:bidi w:val="0"/>
        <w:spacing w:before="0" w:after="0"/>
        <w:ind w:left="0" w:right="0" w:firstLine="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11"/>
        <w:keepNext w:val="0"/>
        <w:keepLines w:val="0"/>
        <w:widowControl w:val="0"/>
        <w:numPr>
          <w:ilvl w:val="0"/>
          <w:numId w:val="5"/>
        </w:numPr>
        <w:shd w:val="clear" w:color="auto" w:fill="auto"/>
        <w:tabs>
          <w:tab w:pos="202" w:val="left"/>
        </w:tabs>
        <w:bidi w:val="0"/>
        <w:spacing w:before="0" w:after="0"/>
        <w:ind w:left="0" w:right="0" w:firstLine="0"/>
        <w:jc w:val="both"/>
      </w:pPr>
      <w:r>
        <w:rPr>
          <w:color w:val="000000"/>
          <w:spacing w:val="0"/>
          <w:w w:val="100"/>
          <w:position w:val="0"/>
          <w:shd w:val="clear" w:color="auto" w:fill="auto"/>
          <w:lang w:val="cs-CZ" w:eastAsia="cs-CZ" w:bidi="cs-CZ"/>
        </w:rPr>
        <w:t>platných právních předpisů,</w:t>
      </w:r>
    </w:p>
    <w:p>
      <w:pPr>
        <w:pStyle w:val="Style11"/>
        <w:keepNext w:val="0"/>
        <w:keepLines w:val="0"/>
        <w:widowControl w:val="0"/>
        <w:numPr>
          <w:ilvl w:val="0"/>
          <w:numId w:val="5"/>
        </w:numPr>
        <w:shd w:val="clear" w:color="auto" w:fill="auto"/>
        <w:tabs>
          <w:tab w:pos="202" w:val="left"/>
        </w:tabs>
        <w:bidi w:val="0"/>
        <w:spacing w:before="0" w:after="0"/>
        <w:ind w:left="0" w:right="0" w:firstLine="0"/>
        <w:jc w:val="both"/>
      </w:pPr>
      <w:r>
        <w:rPr>
          <w:color w:val="000000"/>
          <w:spacing w:val="0"/>
          <w:w w:val="100"/>
          <w:position w:val="0"/>
          <w:shd w:val="clear" w:color="auto" w:fill="auto"/>
          <w:lang w:val="cs-CZ" w:eastAsia="cs-CZ" w:bidi="cs-CZ"/>
        </w:rPr>
        <w:t>této smlouvy (včetně souvisejících dokumentů a příloh),</w:t>
      </w:r>
    </w:p>
    <w:p>
      <w:pPr>
        <w:pStyle w:val="Style11"/>
        <w:keepNext w:val="0"/>
        <w:keepLines w:val="0"/>
        <w:widowControl w:val="0"/>
        <w:numPr>
          <w:ilvl w:val="0"/>
          <w:numId w:val="5"/>
        </w:numPr>
        <w:shd w:val="clear" w:color="auto" w:fill="auto"/>
        <w:tabs>
          <w:tab w:pos="202" w:val="left"/>
        </w:tabs>
        <w:bidi w:val="0"/>
        <w:spacing w:before="0" w:after="440"/>
        <w:ind w:left="0" w:right="0" w:firstLine="0"/>
        <w:jc w:val="both"/>
      </w:pPr>
      <w:r>
        <w:rPr>
          <w:color w:val="000000"/>
          <w:spacing w:val="0"/>
          <w:w w:val="100"/>
          <w:position w:val="0"/>
          <w:shd w:val="clear" w:color="auto" w:fill="auto"/>
          <w:lang w:val="cs-CZ" w:eastAsia="cs-CZ" w:bidi="cs-CZ"/>
        </w:rPr>
        <w:t>platných českých nebo převzatých evropských technických norem relevantních pro předmět díla.</w:t>
      </w:r>
    </w:p>
    <w:p>
      <w:pPr>
        <w:pStyle w:val="Style1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8</w:t>
      </w:r>
    </w:p>
    <w:p>
      <w:pPr>
        <w:pStyle w:val="Style9"/>
        <w:keepNext/>
        <w:keepLines/>
        <w:widowControl w:val="0"/>
        <w:shd w:val="clear" w:color="auto" w:fill="auto"/>
        <w:bidi w:val="0"/>
        <w:spacing w:before="0"/>
        <w:ind w:left="0" w:right="0" w:firstLine="0"/>
        <w:jc w:val="center"/>
      </w:pPr>
      <w:bookmarkStart w:id="18" w:name="bookmark18"/>
      <w:bookmarkStart w:id="19" w:name="bookmark19"/>
      <w:r>
        <w:rPr>
          <w:color w:val="000000"/>
          <w:spacing w:val="0"/>
          <w:w w:val="100"/>
          <w:position w:val="0"/>
          <w:shd w:val="clear" w:color="auto" w:fill="auto"/>
          <w:lang w:val="cs-CZ" w:eastAsia="cs-CZ" w:bidi="cs-CZ"/>
        </w:rPr>
        <w:t>Předání a převzetí díla</w:t>
      </w:r>
      <w:bookmarkEnd w:id="18"/>
      <w:bookmarkEnd w:id="19"/>
    </w:p>
    <w:p>
      <w:pPr>
        <w:pStyle w:val="Style11"/>
        <w:keepNext w:val="0"/>
        <w:keepLines w:val="0"/>
        <w:widowControl w:val="0"/>
        <w:numPr>
          <w:ilvl w:val="0"/>
          <w:numId w:val="15"/>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11"/>
        <w:keepNext w:val="0"/>
        <w:keepLines w:val="0"/>
        <w:widowControl w:val="0"/>
        <w:numPr>
          <w:ilvl w:val="0"/>
          <w:numId w:val="15"/>
        </w:numPr>
        <w:shd w:val="clear" w:color="auto" w:fill="auto"/>
        <w:tabs>
          <w:tab w:pos="718" w:val="left"/>
        </w:tabs>
        <w:bidi w:val="0"/>
        <w:spacing w:before="0"/>
        <w:ind w:left="0" w:right="0" w:firstLine="0"/>
        <w:jc w:val="both"/>
      </w:pPr>
      <w:r>
        <w:rPr>
          <w:color w:val="000000"/>
          <w:spacing w:val="0"/>
          <w:w w:val="100"/>
          <w:position w:val="0"/>
          <w:shd w:val="clear" w:color="auto" w:fill="auto"/>
          <w:lang w:val="cs-CZ" w:eastAsia="cs-CZ" w:bidi="cs-CZ"/>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p>
    <w:p>
      <w:pPr>
        <w:pStyle w:val="Style11"/>
        <w:keepNext w:val="0"/>
        <w:keepLines w:val="0"/>
        <w:widowControl w:val="0"/>
        <w:numPr>
          <w:ilvl w:val="0"/>
          <w:numId w:val="15"/>
        </w:numPr>
        <w:shd w:val="clear" w:color="auto" w:fill="auto"/>
        <w:tabs>
          <w:tab w:pos="718" w:val="left"/>
        </w:tabs>
        <w:bidi w:val="0"/>
        <w:spacing w:before="0"/>
        <w:ind w:left="0" w:right="0" w:firstLine="0"/>
        <w:jc w:val="both"/>
      </w:pPr>
      <w:r>
        <w:rPr>
          <w:color w:val="000000"/>
          <w:spacing w:val="0"/>
          <w:w w:val="100"/>
          <w:position w:val="0"/>
          <w:shd w:val="clear" w:color="auto" w:fill="auto"/>
          <w:lang w:val="cs-CZ" w:eastAsia="cs-CZ" w:bidi="cs-CZ"/>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bránili v užívání díla a objednatel je povinen jej převzít. Soupis vad a nedodělků nebránící užívání díla bude součástí Zápisu o předání a převzetí dokončeného díla vč. termínu jejich odstranění.</w:t>
      </w:r>
    </w:p>
    <w:p>
      <w:pPr>
        <w:pStyle w:val="Style11"/>
        <w:keepNext w:val="0"/>
        <w:keepLines w:val="0"/>
        <w:widowControl w:val="0"/>
        <w:numPr>
          <w:ilvl w:val="0"/>
          <w:numId w:val="15"/>
        </w:numPr>
        <w:shd w:val="clear" w:color="auto" w:fill="auto"/>
        <w:tabs>
          <w:tab w:pos="718" w:val="left"/>
        </w:tabs>
        <w:bidi w:val="0"/>
        <w:spacing w:before="0" w:after="440"/>
        <w:ind w:left="0" w:right="0" w:firstLine="0"/>
        <w:jc w:val="both"/>
      </w:pPr>
      <w:r>
        <w:rPr>
          <w:color w:val="000000"/>
          <w:spacing w:val="0"/>
          <w:w w:val="100"/>
          <w:position w:val="0"/>
          <w:shd w:val="clear" w:color="auto" w:fill="auto"/>
          <w:lang w:val="cs-CZ" w:eastAsia="cs-CZ" w:bidi="cs-CZ"/>
        </w:rPr>
        <w:t>Objednatel bude přejímat a zhotovitel předávat dokončené dílo v místě jeho provádění.</w:t>
      </w:r>
    </w:p>
    <w:p>
      <w:pPr>
        <w:pStyle w:val="Style1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9</w:t>
      </w:r>
    </w:p>
    <w:p>
      <w:pPr>
        <w:pStyle w:val="Style9"/>
        <w:keepNext/>
        <w:keepLines/>
        <w:widowControl w:val="0"/>
        <w:shd w:val="clear" w:color="auto" w:fill="auto"/>
        <w:bidi w:val="0"/>
        <w:spacing w:before="0"/>
        <w:ind w:left="0" w:right="0" w:firstLine="0"/>
        <w:jc w:val="center"/>
      </w:pPr>
      <w:bookmarkStart w:id="20" w:name="bookmark20"/>
      <w:bookmarkStart w:id="21" w:name="bookmark21"/>
      <w:r>
        <w:rPr>
          <w:color w:val="000000"/>
          <w:spacing w:val="0"/>
          <w:w w:val="100"/>
          <w:position w:val="0"/>
          <w:shd w:val="clear" w:color="auto" w:fill="auto"/>
          <w:lang w:val="cs-CZ" w:eastAsia="cs-CZ" w:bidi="cs-CZ"/>
        </w:rPr>
        <w:t>Platební a fakturační podmínky</w:t>
      </w:r>
      <w:bookmarkEnd w:id="20"/>
      <w:bookmarkEnd w:id="21"/>
    </w:p>
    <w:p>
      <w:pPr>
        <w:pStyle w:val="Style11"/>
        <w:keepNext w:val="0"/>
        <w:keepLines w:val="0"/>
        <w:widowControl w:val="0"/>
        <w:numPr>
          <w:ilvl w:val="0"/>
          <w:numId w:val="17"/>
        </w:numPr>
        <w:shd w:val="clear" w:color="auto" w:fill="auto"/>
        <w:tabs>
          <w:tab w:pos="718" w:val="left"/>
        </w:tabs>
        <w:bidi w:val="0"/>
        <w:spacing w:before="0"/>
        <w:ind w:left="0" w:right="0" w:firstLine="0"/>
        <w:jc w:val="both"/>
      </w:pPr>
      <w:r>
        <w:rPr>
          <w:color w:val="000000"/>
          <w:spacing w:val="0"/>
          <w:w w:val="100"/>
          <w:position w:val="0"/>
          <w:shd w:val="clear" w:color="auto" w:fill="auto"/>
          <w:lang w:val="cs-CZ" w:eastAsia="cs-CZ" w:bidi="cs-CZ"/>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11"/>
        <w:keepNext w:val="0"/>
        <w:keepLines w:val="0"/>
        <w:widowControl w:val="0"/>
        <w:numPr>
          <w:ilvl w:val="0"/>
          <w:numId w:val="17"/>
        </w:numPr>
        <w:shd w:val="clear" w:color="auto" w:fill="auto"/>
        <w:tabs>
          <w:tab w:pos="718" w:val="left"/>
        </w:tabs>
        <w:bidi w:val="0"/>
        <w:spacing w:before="0"/>
        <w:ind w:left="0" w:right="0" w:firstLine="0"/>
        <w:jc w:val="both"/>
      </w:pPr>
      <w:r>
        <w:rPr>
          <w:color w:val="000000"/>
          <w:spacing w:val="0"/>
          <w:w w:val="100"/>
          <w:position w:val="0"/>
          <w:shd w:val="clear" w:color="auto" w:fill="auto"/>
          <w:lang w:val="cs-CZ" w:eastAsia="cs-CZ" w:bidi="cs-CZ"/>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11"/>
        <w:keepNext w:val="0"/>
        <w:keepLines w:val="0"/>
        <w:widowControl w:val="0"/>
        <w:numPr>
          <w:ilvl w:val="0"/>
          <w:numId w:val="17"/>
        </w:numPr>
        <w:shd w:val="clear" w:color="auto" w:fill="auto"/>
        <w:tabs>
          <w:tab w:pos="718" w:val="left"/>
        </w:tabs>
        <w:bidi w:val="0"/>
        <w:spacing w:before="0"/>
        <w:ind w:left="0" w:right="0" w:firstLine="0"/>
        <w:jc w:val="both"/>
        <w:rPr>
          <w:sz w:val="12"/>
          <w:szCs w:val="12"/>
        </w:rPr>
      </w:pPr>
      <w:r>
        <w:rPr>
          <w:color w:val="000000"/>
          <w:spacing w:val="0"/>
          <w:w w:val="100"/>
          <w:position w:val="0"/>
          <w:sz w:val="19"/>
          <w:szCs w:val="19"/>
          <w:shd w:val="clear" w:color="auto" w:fill="auto"/>
          <w:lang w:val="cs-CZ" w:eastAsia="cs-CZ" w:bidi="cs-CZ"/>
        </w:rPr>
        <w:t xml:space="preserve">Financování díla bude probíhat formou dílčích měsíčních faktur popř. dle dohody s objednatelem dle objemu provedených a odsouhlasených prací objednatelem, ve formě zjišťovacího protokolu a to až do výše </w:t>
      </w:r>
      <w:r>
        <w:rPr>
          <w:rStyle w:val="CharStyle3"/>
          <w:sz w:val="19"/>
          <w:szCs w:val="19"/>
        </w:rPr>
        <w:t xml:space="preserve">silnic Vysočiny </w:t>
      </w:r>
      <w:r>
        <w:rPr>
          <w:rStyle w:val="CharStyle3"/>
        </w:rPr>
        <w:t>příspěvková organizace</w:t>
      </w:r>
    </w:p>
    <w:p>
      <w:pPr>
        <w:pStyle w:val="Style11"/>
        <w:keepNext w:val="0"/>
        <w:keepLines w:val="0"/>
        <w:widowControl w:val="0"/>
        <w:shd w:val="clear" w:color="auto" w:fill="auto"/>
        <w:bidi w:val="0"/>
        <w:spacing w:before="0" w:line="259" w:lineRule="auto"/>
        <w:ind w:left="0" w:right="0" w:firstLine="0"/>
        <w:jc w:val="both"/>
      </w:pPr>
      <w:r>
        <w:rPr>
          <w:color w:val="000000"/>
          <w:spacing w:val="0"/>
          <w:w w:val="100"/>
          <w:position w:val="0"/>
          <w:shd w:val="clear" w:color="auto" w:fill="auto"/>
          <w:lang w:val="cs-CZ" w:eastAsia="cs-CZ" w:bidi="cs-CZ"/>
        </w:rPr>
        <w:t>90% z celkové ceny díla. Doplatek ve výši 10% z ceny díla bude uhrazen po předání díla objednateli bez vad a nedodělků.</w:t>
      </w:r>
    </w:p>
    <w:p>
      <w:pPr>
        <w:pStyle w:val="Style11"/>
        <w:keepNext w:val="0"/>
        <w:keepLines w:val="0"/>
        <w:widowControl w:val="0"/>
        <w:numPr>
          <w:ilvl w:val="0"/>
          <w:numId w:val="17"/>
        </w:numPr>
        <w:shd w:val="clear" w:color="auto" w:fill="auto"/>
        <w:tabs>
          <w:tab w:pos="712" w:val="left"/>
        </w:tabs>
        <w:bidi w:val="0"/>
        <w:spacing w:before="0"/>
        <w:ind w:left="0" w:right="0" w:firstLine="0"/>
        <w:jc w:val="both"/>
      </w:pPr>
      <w:r>
        <w:rPr>
          <w:color w:val="000000"/>
          <w:spacing w:val="0"/>
          <w:w w:val="100"/>
          <w:position w:val="0"/>
          <w:shd w:val="clear" w:color="auto" w:fill="auto"/>
          <w:lang w:val="cs-CZ" w:eastAsia="cs-CZ" w:bidi="cs-CZ"/>
        </w:rPr>
        <w:t>Fakturovány budou skutečně provedené práce (výměry) dle přílohy č.1 - Cenová nabídka k provedení prací za dodržení jednotkových cen. Položky v rozpočtu neuvedené budou oceněny dle ceníku URS Praha pro rozhodné období.</w:t>
      </w:r>
    </w:p>
    <w:p>
      <w:pPr>
        <w:pStyle w:val="Style11"/>
        <w:keepNext w:val="0"/>
        <w:keepLines w:val="0"/>
        <w:widowControl w:val="0"/>
        <w:numPr>
          <w:ilvl w:val="0"/>
          <w:numId w:val="17"/>
        </w:numPr>
        <w:shd w:val="clear" w:color="auto" w:fill="auto"/>
        <w:tabs>
          <w:tab w:pos="712" w:val="left"/>
        </w:tabs>
        <w:bidi w:val="0"/>
        <w:spacing w:before="0" w:line="257" w:lineRule="auto"/>
        <w:ind w:left="0" w:right="0" w:firstLine="0"/>
        <w:jc w:val="both"/>
      </w:pPr>
      <w:r>
        <w:rPr>
          <w:color w:val="000000"/>
          <w:spacing w:val="0"/>
          <w:w w:val="100"/>
          <w:position w:val="0"/>
          <w:shd w:val="clear" w:color="auto" w:fill="auto"/>
          <w:lang w:val="cs-CZ" w:eastAsia="cs-CZ" w:bidi="cs-CZ"/>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11"/>
        <w:keepNext w:val="0"/>
        <w:keepLines w:val="0"/>
        <w:widowControl w:val="0"/>
        <w:numPr>
          <w:ilvl w:val="0"/>
          <w:numId w:val="17"/>
        </w:numPr>
        <w:shd w:val="clear" w:color="auto" w:fill="auto"/>
        <w:tabs>
          <w:tab w:pos="712" w:val="left"/>
        </w:tabs>
        <w:bidi w:val="0"/>
        <w:spacing w:before="0" w:after="460" w:line="240" w:lineRule="auto"/>
        <w:ind w:left="0" w:right="0" w:firstLine="0"/>
        <w:jc w:val="both"/>
      </w:pPr>
      <w:r>
        <w:rPr>
          <w:color w:val="000000"/>
          <w:spacing w:val="0"/>
          <w:w w:val="100"/>
          <w:position w:val="0"/>
          <w:shd w:val="clear" w:color="auto" w:fill="auto"/>
          <w:lang w:val="cs-CZ" w:eastAsia="cs-CZ" w:bidi="cs-CZ"/>
        </w:rP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pPr>
        <w:pStyle w:val="Style11"/>
        <w:keepNext w:val="0"/>
        <w:keepLines w:val="0"/>
        <w:widowControl w:val="0"/>
        <w:shd w:val="clear" w:color="auto" w:fill="auto"/>
        <w:bidi w:val="0"/>
        <w:spacing w:before="0" w:after="0" w:line="254" w:lineRule="auto"/>
        <w:ind w:left="0" w:right="0" w:firstLine="0"/>
        <w:jc w:val="center"/>
      </w:pPr>
      <w:r>
        <w:rPr>
          <w:b/>
          <w:bCs/>
          <w:color w:val="000000"/>
          <w:spacing w:val="0"/>
          <w:w w:val="100"/>
          <w:position w:val="0"/>
          <w:shd w:val="clear" w:color="auto" w:fill="auto"/>
          <w:lang w:val="cs-CZ" w:eastAsia="cs-CZ" w:bidi="cs-CZ"/>
        </w:rPr>
        <w:t>Článek 10</w:t>
      </w:r>
    </w:p>
    <w:p>
      <w:pPr>
        <w:pStyle w:val="Style9"/>
        <w:keepNext/>
        <w:keepLines/>
        <w:widowControl w:val="0"/>
        <w:shd w:val="clear" w:color="auto" w:fill="auto"/>
        <w:bidi w:val="0"/>
        <w:spacing w:before="0" w:line="254"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Odpovědnost za vady díla a záruka za jakost</w:t>
      </w:r>
      <w:bookmarkEnd w:id="22"/>
      <w:bookmarkEnd w:id="23"/>
    </w:p>
    <w:p>
      <w:pPr>
        <w:pStyle w:val="Style11"/>
        <w:keepNext w:val="0"/>
        <w:keepLines w:val="0"/>
        <w:widowControl w:val="0"/>
        <w:numPr>
          <w:ilvl w:val="0"/>
          <w:numId w:val="19"/>
        </w:numPr>
        <w:shd w:val="clear" w:color="auto" w:fill="auto"/>
        <w:tabs>
          <w:tab w:pos="712" w:val="left"/>
        </w:tabs>
        <w:bidi w:val="0"/>
        <w:spacing w:before="0"/>
        <w:ind w:left="0" w:right="0" w:firstLine="0"/>
        <w:jc w:val="both"/>
      </w:pPr>
      <w:r>
        <w:rPr>
          <w:color w:val="000000"/>
          <w:spacing w:val="0"/>
          <w:w w:val="100"/>
          <w:position w:val="0"/>
          <w:shd w:val="clear" w:color="auto" w:fill="auto"/>
          <w:lang w:val="cs-CZ" w:eastAsia="cs-CZ" w:bidi="cs-CZ"/>
        </w:rPr>
        <w:t>Vzájemnou dohodou a v souladu s ustanoveními občanského zákoníku se stanoví záruční doba na dílo v délce 24 měsíců.</w:t>
      </w:r>
    </w:p>
    <w:p>
      <w:pPr>
        <w:pStyle w:val="Style11"/>
        <w:keepNext w:val="0"/>
        <w:keepLines w:val="0"/>
        <w:widowControl w:val="0"/>
        <w:numPr>
          <w:ilvl w:val="0"/>
          <w:numId w:val="19"/>
        </w:numPr>
        <w:shd w:val="clear" w:color="auto" w:fill="auto"/>
        <w:tabs>
          <w:tab w:pos="712" w:val="left"/>
        </w:tabs>
        <w:bidi w:val="0"/>
        <w:spacing w:before="0" w:line="257" w:lineRule="auto"/>
        <w:ind w:left="0" w:right="0" w:firstLine="0"/>
        <w:jc w:val="both"/>
      </w:pPr>
      <w:r>
        <w:rPr>
          <w:color w:val="000000"/>
          <w:spacing w:val="0"/>
          <w:w w:val="100"/>
          <w:position w:val="0"/>
          <w:shd w:val="clear" w:color="auto" w:fill="auto"/>
          <w:lang w:val="cs-CZ" w:eastAsia="cs-CZ" w:bidi="cs-CZ"/>
        </w:rPr>
        <w:t>Záruční doba začíná běžet dnem předání a převzetí díla. Záruka se nevztahuje na podkladní vrstvy komunikace resp. na jejich únosnost a na následné vady pokládaných asfaltových vrstev těmito (podkladními) vrstvami způsobené.</w:t>
      </w:r>
    </w:p>
    <w:p>
      <w:pPr>
        <w:pStyle w:val="Style11"/>
        <w:keepNext w:val="0"/>
        <w:keepLines w:val="0"/>
        <w:widowControl w:val="0"/>
        <w:numPr>
          <w:ilvl w:val="0"/>
          <w:numId w:val="19"/>
        </w:numPr>
        <w:shd w:val="clear" w:color="auto" w:fill="auto"/>
        <w:tabs>
          <w:tab w:pos="712" w:val="left"/>
        </w:tabs>
        <w:bidi w:val="0"/>
        <w:spacing w:before="0"/>
        <w:ind w:left="0" w:right="0" w:firstLine="0"/>
        <w:jc w:val="both"/>
      </w:pPr>
      <w:r>
        <w:rPr>
          <w:color w:val="000000"/>
          <w:spacing w:val="0"/>
          <w:w w:val="100"/>
          <w:position w:val="0"/>
          <w:shd w:val="clear" w:color="auto" w:fill="auto"/>
          <w:lang w:val="cs-CZ" w:eastAsia="cs-CZ" w:bidi="cs-CZ"/>
        </w:rPr>
        <w:t>Vady díla bude objednatel v průběhu záruční doby reklamovat písemně na adrese zhotovitele. Zhotovitel bezplatně odstraní reklamovanou vadu v místě plnění díla v dohodnutém termínu. O odstranění těchto vad bude sepsán samostatný protokol, který bude následně potvrzen zástupcem objednatele i zhotovitele. O dobu odstraňování vady se prodlužuje záruční doba.</w:t>
      </w:r>
    </w:p>
    <w:p>
      <w:pPr>
        <w:pStyle w:val="Style11"/>
        <w:keepNext w:val="0"/>
        <w:keepLines w:val="0"/>
        <w:widowControl w:val="0"/>
        <w:numPr>
          <w:ilvl w:val="0"/>
          <w:numId w:val="19"/>
        </w:numPr>
        <w:shd w:val="clear" w:color="auto" w:fill="auto"/>
        <w:tabs>
          <w:tab w:pos="712" w:val="left"/>
        </w:tabs>
        <w:bidi w:val="0"/>
        <w:spacing w:before="0"/>
        <w:ind w:left="0" w:right="0" w:firstLine="0"/>
        <w:jc w:val="both"/>
      </w:pPr>
      <w:r>
        <w:rPr>
          <w:color w:val="000000"/>
          <w:spacing w:val="0"/>
          <w:w w:val="100"/>
          <w:position w:val="0"/>
          <w:shd w:val="clear" w:color="auto" w:fill="auto"/>
          <w:lang w:val="cs-CZ" w:eastAsia="cs-CZ" w:bidi="cs-CZ"/>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11"/>
        <w:keepNext w:val="0"/>
        <w:keepLines w:val="0"/>
        <w:widowControl w:val="0"/>
        <w:numPr>
          <w:ilvl w:val="0"/>
          <w:numId w:val="19"/>
        </w:numPr>
        <w:shd w:val="clear" w:color="auto" w:fill="auto"/>
        <w:tabs>
          <w:tab w:pos="712" w:val="left"/>
        </w:tabs>
        <w:bidi w:val="0"/>
        <w:spacing w:before="0" w:line="259" w:lineRule="auto"/>
        <w:ind w:left="0" w:right="0" w:firstLine="0"/>
        <w:jc w:val="both"/>
      </w:pPr>
      <w:r>
        <w:rPr>
          <w:color w:val="000000"/>
          <w:spacing w:val="0"/>
          <w:w w:val="100"/>
          <w:position w:val="0"/>
          <w:shd w:val="clear" w:color="auto" w:fill="auto"/>
          <w:lang w:val="cs-CZ" w:eastAsia="cs-CZ" w:bidi="cs-CZ"/>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11"/>
        <w:keepNext w:val="0"/>
        <w:keepLines w:val="0"/>
        <w:widowControl w:val="0"/>
        <w:shd w:val="clear" w:color="auto" w:fill="auto"/>
        <w:bidi w:val="0"/>
        <w:spacing w:before="0" w:after="0" w:line="254" w:lineRule="auto"/>
        <w:ind w:left="0" w:right="0" w:firstLine="0"/>
        <w:jc w:val="center"/>
      </w:pPr>
      <w:r>
        <w:rPr>
          <w:b/>
          <w:bCs/>
          <w:color w:val="000000"/>
          <w:spacing w:val="0"/>
          <w:w w:val="100"/>
          <w:position w:val="0"/>
          <w:shd w:val="clear" w:color="auto" w:fill="auto"/>
          <w:lang w:val="cs-CZ" w:eastAsia="cs-CZ" w:bidi="cs-CZ"/>
        </w:rPr>
        <w:t>Článek 11</w:t>
      </w:r>
    </w:p>
    <w:p>
      <w:pPr>
        <w:pStyle w:val="Style9"/>
        <w:keepNext/>
        <w:keepLines/>
        <w:widowControl w:val="0"/>
        <w:shd w:val="clear" w:color="auto" w:fill="auto"/>
        <w:bidi w:val="0"/>
        <w:spacing w:before="0" w:line="254"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Smluvní pokuty</w:t>
      </w:r>
      <w:bookmarkEnd w:id="24"/>
      <w:bookmarkEnd w:id="25"/>
    </w:p>
    <w:p>
      <w:pPr>
        <w:pStyle w:val="Style11"/>
        <w:keepNext w:val="0"/>
        <w:keepLines w:val="0"/>
        <w:widowControl w:val="0"/>
        <w:numPr>
          <w:ilvl w:val="0"/>
          <w:numId w:val="21"/>
        </w:numPr>
        <w:shd w:val="clear" w:color="auto" w:fill="auto"/>
        <w:tabs>
          <w:tab w:pos="712" w:val="left"/>
        </w:tabs>
        <w:bidi w:val="0"/>
        <w:spacing w:before="0"/>
        <w:ind w:left="0" w:right="0" w:firstLine="0"/>
        <w:jc w:val="both"/>
      </w:pPr>
      <w:r>
        <w:rPr>
          <w:color w:val="000000"/>
          <w:spacing w:val="0"/>
          <w:w w:val="100"/>
          <w:position w:val="0"/>
          <w:shd w:val="clear" w:color="auto" w:fill="auto"/>
          <w:lang w:val="cs-CZ" w:eastAsia="cs-CZ" w:bidi="cs-CZ"/>
        </w:rPr>
        <w:t>Zhotovitel je povinen zaplatit objednateli smluvní pokutu zajím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11"/>
        <w:keepNext w:val="0"/>
        <w:keepLines w:val="0"/>
        <w:widowControl w:val="0"/>
        <w:numPr>
          <w:ilvl w:val="0"/>
          <w:numId w:val="21"/>
        </w:numPr>
        <w:shd w:val="clear" w:color="auto" w:fill="auto"/>
        <w:tabs>
          <w:tab w:pos="712" w:val="left"/>
        </w:tabs>
        <w:bidi w:val="0"/>
        <w:spacing w:before="0" w:line="264" w:lineRule="auto"/>
        <w:ind w:left="0" w:right="0" w:firstLine="0"/>
        <w:jc w:val="both"/>
      </w:pPr>
      <w:r>
        <w:rPr>
          <w:color w:val="000000"/>
          <w:spacing w:val="0"/>
          <w:w w:val="100"/>
          <w:position w:val="0"/>
          <w:shd w:val="clear" w:color="auto" w:fill="auto"/>
          <w:lang w:val="cs-CZ" w:eastAsia="cs-CZ" w:bidi="cs-CZ"/>
        </w:rPr>
        <w:t>Zhotovitel je povinen zaplatit objednateli smluvní pokutu za prodlení s termínem odstranění vad ve výši 500,- Kč za jednotlivý nedodělek či vadu.</w:t>
      </w:r>
    </w:p>
    <w:p>
      <w:pPr>
        <w:pStyle w:val="Style11"/>
        <w:keepNext w:val="0"/>
        <w:keepLines w:val="0"/>
        <w:widowControl w:val="0"/>
        <w:numPr>
          <w:ilvl w:val="0"/>
          <w:numId w:val="21"/>
        </w:numPr>
        <w:shd w:val="clear" w:color="auto" w:fill="auto"/>
        <w:tabs>
          <w:tab w:pos="712" w:val="left"/>
        </w:tabs>
        <w:bidi w:val="0"/>
        <w:spacing w:before="0" w:line="264" w:lineRule="auto"/>
        <w:ind w:left="0" w:right="0" w:firstLine="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11"/>
        <w:keepNext w:val="0"/>
        <w:keepLines w:val="0"/>
        <w:widowControl w:val="0"/>
        <w:numPr>
          <w:ilvl w:val="0"/>
          <w:numId w:val="21"/>
        </w:numPr>
        <w:shd w:val="clear" w:color="auto" w:fill="auto"/>
        <w:tabs>
          <w:tab w:pos="712" w:val="left"/>
        </w:tabs>
        <w:bidi w:val="0"/>
        <w:spacing w:before="0" w:after="660" w:line="259" w:lineRule="auto"/>
        <w:ind w:left="0" w:right="0" w:firstLine="0"/>
        <w:jc w:val="both"/>
      </w:pPr>
      <w:r>
        <w:rPr>
          <w:color w:val="000000"/>
          <w:spacing w:val="0"/>
          <w:w w:val="100"/>
          <w:position w:val="0"/>
          <w:shd w:val="clear" w:color="auto" w:fill="auto"/>
          <w:lang w:val="cs-CZ" w:eastAsia="cs-CZ" w:bidi="cs-CZ"/>
        </w:rPr>
        <w:t>Strana povinná k uhrazení smluvní pokuty je povinna uhradit vyúčtované sankce nejpozději do 15-ti dnů ode dne obdržení příslušného vyúčtování.</w:t>
      </w:r>
    </w:p>
    <w:p>
      <w:pPr>
        <w:pStyle w:val="Style11"/>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2"/>
        <w:keepNext w:val="0"/>
        <w:keepLines w:val="0"/>
        <w:widowControl w:val="0"/>
        <w:shd w:val="clear" w:color="auto" w:fill="auto"/>
        <w:bidi w:val="0"/>
        <w:spacing w:before="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9"/>
        <w:keepNext/>
        <w:keepLines/>
        <w:widowControl w:val="0"/>
        <w:shd w:val="clear" w:color="auto" w:fill="auto"/>
        <w:bidi w:val="0"/>
        <w:spacing w:before="0"/>
        <w:ind w:left="0" w:right="0" w:firstLine="0"/>
        <w:jc w:val="center"/>
      </w:pPr>
      <w:bookmarkStart w:id="26" w:name="bookmark26"/>
      <w:bookmarkStart w:id="27" w:name="bookmark27"/>
      <w:r>
        <w:rPr>
          <w:color w:val="000000"/>
          <w:spacing w:val="0"/>
          <w:w w:val="100"/>
          <w:position w:val="0"/>
          <w:shd w:val="clear" w:color="auto" w:fill="auto"/>
          <w:lang w:val="cs-CZ" w:eastAsia="cs-CZ" w:bidi="cs-CZ"/>
        </w:rPr>
        <w:t>Další ujednání</w:t>
      </w:r>
      <w:bookmarkEnd w:id="26"/>
      <w:bookmarkEnd w:id="27"/>
    </w:p>
    <w:p>
      <w:pPr>
        <w:pStyle w:val="Style11"/>
        <w:keepNext w:val="0"/>
        <w:keepLines w:val="0"/>
        <w:widowControl w:val="0"/>
        <w:numPr>
          <w:ilvl w:val="0"/>
          <w:numId w:val="23"/>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nebo nepříznivých klimatických podmínek bude mít za následek posun termínu plnění o dobu přerušení.</w:t>
      </w:r>
    </w:p>
    <w:p>
      <w:pPr>
        <w:pStyle w:val="Style11"/>
        <w:keepNext w:val="0"/>
        <w:keepLines w:val="0"/>
        <w:widowControl w:val="0"/>
        <w:numPr>
          <w:ilvl w:val="0"/>
          <w:numId w:val="23"/>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 platném znění.</w:t>
      </w:r>
    </w:p>
    <w:p>
      <w:pPr>
        <w:pStyle w:val="Style11"/>
        <w:keepNext w:val="0"/>
        <w:keepLines w:val="0"/>
        <w:widowControl w:val="0"/>
        <w:numPr>
          <w:ilvl w:val="0"/>
          <w:numId w:val="23"/>
        </w:numPr>
        <w:shd w:val="clear" w:color="auto" w:fill="auto"/>
        <w:tabs>
          <w:tab w:pos="708" w:val="left"/>
        </w:tabs>
        <w:bidi w:val="0"/>
        <w:spacing w:before="0" w:after="440"/>
        <w:ind w:left="0" w:right="0" w:firstLine="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11"/>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13</w:t>
      </w:r>
    </w:p>
    <w:p>
      <w:pPr>
        <w:pStyle w:val="Style9"/>
        <w:keepNext/>
        <w:keepLines/>
        <w:widowControl w:val="0"/>
        <w:shd w:val="clear" w:color="auto" w:fill="auto"/>
        <w:bidi w:val="0"/>
        <w:spacing w:before="0"/>
        <w:ind w:left="0" w:right="0" w:firstLine="0"/>
        <w:jc w:val="center"/>
      </w:pPr>
      <w:bookmarkStart w:id="28" w:name="bookmark28"/>
      <w:bookmarkStart w:id="29" w:name="bookmark29"/>
      <w:r>
        <w:rPr>
          <w:color w:val="000000"/>
          <w:spacing w:val="0"/>
          <w:w w:val="100"/>
          <w:position w:val="0"/>
          <w:shd w:val="clear" w:color="auto" w:fill="auto"/>
          <w:lang w:val="cs-CZ" w:eastAsia="cs-CZ" w:bidi="cs-CZ"/>
        </w:rPr>
        <w:t>Zvláštní ujednání</w:t>
      </w:r>
      <w:bookmarkEnd w:id="28"/>
      <w:bookmarkEnd w:id="29"/>
    </w:p>
    <w:p>
      <w:pPr>
        <w:pStyle w:val="Style11"/>
        <w:keepNext w:val="0"/>
        <w:keepLines w:val="0"/>
        <w:widowControl w:val="0"/>
        <w:numPr>
          <w:ilvl w:val="0"/>
          <w:numId w:val="25"/>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11"/>
        <w:keepNext w:val="0"/>
        <w:keepLines w:val="0"/>
        <w:widowControl w:val="0"/>
        <w:numPr>
          <w:ilvl w:val="0"/>
          <w:numId w:val="25"/>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11"/>
        <w:keepNext w:val="0"/>
        <w:keepLines w:val="0"/>
        <w:widowControl w:val="0"/>
        <w:numPr>
          <w:ilvl w:val="0"/>
          <w:numId w:val="25"/>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Nebezpečí škody na zhotoveném díle přechází na objednatele předáním dokončeného díla objednateli.</w:t>
      </w:r>
    </w:p>
    <w:p>
      <w:pPr>
        <w:pStyle w:val="Style11"/>
        <w:keepNext w:val="0"/>
        <w:keepLines w:val="0"/>
        <w:widowControl w:val="0"/>
        <w:numPr>
          <w:ilvl w:val="0"/>
          <w:numId w:val="25"/>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Veškeré sporné problémy vznikající při plnění nebo v souvislosti s touto smlouvou budou smluvní strany přednostně řešit vzájemným jednáním smírnou cestou. Nedojde-li však k dohodě, budou veškeré majetkové spory vzniklé z právního vztahu založeného touto smlouvou a v souvislosti sní, řešeny a rozhodovány s konečnou platností soudní cestou.</w:t>
      </w:r>
    </w:p>
    <w:p>
      <w:pPr>
        <w:pStyle w:val="Style11"/>
        <w:keepNext w:val="0"/>
        <w:keepLines w:val="0"/>
        <w:widowControl w:val="0"/>
        <w:numPr>
          <w:ilvl w:val="0"/>
          <w:numId w:val="25"/>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Objednatel souhlasí s připojením na odběr elektrické energie, pitné vody a případně dalších médií ve vlastnictví objednatele.</w:t>
      </w:r>
    </w:p>
    <w:p>
      <w:pPr>
        <w:pStyle w:val="Style11"/>
        <w:keepNext w:val="0"/>
        <w:keepLines w:val="0"/>
        <w:widowControl w:val="0"/>
        <w:numPr>
          <w:ilvl w:val="0"/>
          <w:numId w:val="25"/>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11"/>
        <w:keepNext w:val="0"/>
        <w:keepLines w:val="0"/>
        <w:widowControl w:val="0"/>
        <w:numPr>
          <w:ilvl w:val="0"/>
          <w:numId w:val="25"/>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Zhotovitel splní svou povinnost provést dílo jeho dokončením v souladu s touto smlouvou a vystavením předávacího protokolu provedeného díla, na základě něhož objednatel toto dílo převezme dle bodu 8.3. smlouvy.</w:t>
      </w:r>
    </w:p>
    <w:p>
      <w:pPr>
        <w:pStyle w:val="Style11"/>
        <w:keepNext w:val="0"/>
        <w:keepLines w:val="0"/>
        <w:widowControl w:val="0"/>
        <w:numPr>
          <w:ilvl w:val="0"/>
          <w:numId w:val="25"/>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Zhotovitel se zavazuje, že provede práce v maximální míře vlastními pracovníky a nepřenechá zakázku jiné firmě. Subdodavatelské firmy předloží zhotovitel objednateli k odsouhlasení.</w:t>
      </w:r>
    </w:p>
    <w:p>
      <w:pPr>
        <w:pStyle w:val="Style11"/>
        <w:keepNext w:val="0"/>
        <w:keepLines w:val="0"/>
        <w:widowControl w:val="0"/>
        <w:numPr>
          <w:ilvl w:val="0"/>
          <w:numId w:val="25"/>
        </w:numPr>
        <w:shd w:val="clear" w:color="auto" w:fill="auto"/>
        <w:tabs>
          <w:tab w:pos="708" w:val="left"/>
        </w:tabs>
        <w:bidi w:val="0"/>
        <w:spacing w:before="0" w:line="257"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11"/>
        <w:keepNext w:val="0"/>
        <w:keepLines w:val="0"/>
        <w:widowControl w:val="0"/>
        <w:numPr>
          <w:ilvl w:val="0"/>
          <w:numId w:val="25"/>
        </w:numPr>
        <w:shd w:val="clear" w:color="auto" w:fill="auto"/>
        <w:tabs>
          <w:tab w:pos="708" w:val="left"/>
        </w:tabs>
        <w:bidi w:val="0"/>
        <w:spacing w:before="0"/>
        <w:ind w:left="0" w:right="0" w:firstLine="0"/>
        <w:jc w:val="both"/>
        <w:sectPr>
          <w:footnotePr>
            <w:pos w:val="pageBottom"/>
            <w:numFmt w:val="decimal"/>
            <w:numRestart w:val="continuous"/>
          </w:footnotePr>
          <w:pgSz w:w="11900" w:h="16840"/>
          <w:pgMar w:top="1257" w:left="906" w:right="1120" w:bottom="1351" w:header="0" w:footer="3" w:gutter="0"/>
          <w:cols w:space="720"/>
          <w:noEndnote/>
          <w:rtlGutter w:val="0"/>
          <w:docGrid w:linePitch="360"/>
        </w:sectPr>
      </w:pPr>
      <w:r>
        <w:rPr>
          <w:color w:val="000000"/>
          <w:spacing w:val="0"/>
          <w:w w:val="100"/>
          <w:position w:val="0"/>
          <w:shd w:val="clear" w:color="auto" w:fill="auto"/>
          <w:lang w:val="cs-CZ" w:eastAsia="cs-CZ" w:bidi="cs-CZ"/>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p>
      <w:pPr>
        <w:pStyle w:val="Style19"/>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silnic Vysočiny</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příspěvková organizace</w:t>
      </w:r>
    </w:p>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14</w:t>
      </w:r>
    </w:p>
    <w:p>
      <w:pPr>
        <w:pStyle w:val="Style11"/>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hd w:val="clear" w:color="auto" w:fill="auto"/>
          <w:lang w:val="cs-CZ" w:eastAsia="cs-CZ" w:bidi="cs-CZ"/>
        </w:rPr>
        <w:t>Závěrečná ujednání</w:t>
      </w:r>
    </w:p>
    <w:p>
      <w:pPr>
        <w:pStyle w:val="Style11"/>
        <w:keepNext w:val="0"/>
        <w:keepLines w:val="0"/>
        <w:widowControl w:val="0"/>
        <w:numPr>
          <w:ilvl w:val="0"/>
          <w:numId w:val="27"/>
        </w:numPr>
        <w:shd w:val="clear" w:color="auto" w:fill="auto"/>
        <w:tabs>
          <w:tab w:pos="70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11"/>
        <w:keepNext w:val="0"/>
        <w:keepLines w:val="0"/>
        <w:widowControl w:val="0"/>
        <w:numPr>
          <w:ilvl w:val="0"/>
          <w:numId w:val="27"/>
        </w:numPr>
        <w:shd w:val="clear" w:color="auto" w:fill="auto"/>
        <w:tabs>
          <w:tab w:pos="70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občanského zákoníku.</w:t>
      </w:r>
    </w:p>
    <w:p>
      <w:pPr>
        <w:pStyle w:val="Style11"/>
        <w:keepNext w:val="0"/>
        <w:keepLines w:val="0"/>
        <w:widowControl w:val="0"/>
        <w:numPr>
          <w:ilvl w:val="0"/>
          <w:numId w:val="27"/>
        </w:numPr>
        <w:shd w:val="clear" w:color="auto" w:fill="auto"/>
        <w:tabs>
          <w:tab w:pos="70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Smlouva je vyhotovena ve čtyřech výtiscích, z nichž objednatel obdrží 2 a zhotovitel 2 vyhotovení.</w:t>
      </w:r>
    </w:p>
    <w:p>
      <w:pPr>
        <w:pStyle w:val="Style11"/>
        <w:keepNext w:val="0"/>
        <w:keepLines w:val="0"/>
        <w:widowControl w:val="0"/>
        <w:numPr>
          <w:ilvl w:val="0"/>
          <w:numId w:val="27"/>
        </w:numPr>
        <w:shd w:val="clear" w:color="auto" w:fill="auto"/>
        <w:tabs>
          <w:tab w:pos="70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Smlouva nabývá platnosti dnem podpisu smlouvy oběma smluvními stranami a účinnosti nabývá dnem uveřejnění v informačním systému veřejné správy - registru smluv.</w:t>
      </w:r>
    </w:p>
    <w:p>
      <w:pPr>
        <w:pStyle w:val="Style11"/>
        <w:keepNext w:val="0"/>
        <w:keepLines w:val="0"/>
        <w:widowControl w:val="0"/>
        <w:numPr>
          <w:ilvl w:val="0"/>
          <w:numId w:val="27"/>
        </w:numPr>
        <w:shd w:val="clear" w:color="auto" w:fill="auto"/>
        <w:tabs>
          <w:tab w:pos="70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Nedílnou součástí této smlouvy je příloha č.1 - Cenová nabídka k provedení prací.</w:t>
      </w:r>
    </w:p>
    <w:p>
      <w:pPr>
        <w:pStyle w:val="Style11"/>
        <w:keepNext w:val="0"/>
        <w:keepLines w:val="0"/>
        <w:widowControl w:val="0"/>
        <w:numPr>
          <w:ilvl w:val="0"/>
          <w:numId w:val="27"/>
        </w:numPr>
        <w:shd w:val="clear" w:color="auto" w:fill="auto"/>
        <w:tabs>
          <w:tab w:pos="701" w:val="left"/>
        </w:tabs>
        <w:bidi w:val="0"/>
        <w:spacing w:before="0" w:after="900"/>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11"/>
        <w:keepNext w:val="0"/>
        <w:keepLines w:val="0"/>
        <w:widowControl w:val="0"/>
        <w:shd w:val="clear" w:color="auto" w:fill="auto"/>
        <w:bidi w:val="0"/>
        <w:spacing w:before="0" w:after="0" w:line="240" w:lineRule="auto"/>
        <w:ind w:left="0" w:right="0" w:firstLine="0"/>
        <w:jc w:val="both"/>
        <w:sectPr>
          <w:headerReference w:type="default" r:id="rId7"/>
          <w:footerReference w:type="default" r:id="rId8"/>
          <w:footnotePr>
            <w:pos w:val="pageBottom"/>
            <w:numFmt w:val="decimal"/>
            <w:numRestart w:val="continuous"/>
          </w:footnotePr>
          <w:pgSz w:w="11900" w:h="16840"/>
          <w:pgMar w:top="673" w:left="939" w:right="1107" w:bottom="7006" w:header="245" w:footer="3"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4201795</wp:posOffset>
                </wp:positionH>
                <wp:positionV relativeFrom="paragraph">
                  <wp:posOffset>12700</wp:posOffset>
                </wp:positionV>
                <wp:extent cx="862330" cy="179705"/>
                <wp:wrapSquare wrapText="left"/>
                <wp:docPr id="13" name="Shape 13"/>
                <a:graphic xmlns:a="http://schemas.openxmlformats.org/drawingml/2006/main">
                  <a:graphicData uri="http://schemas.microsoft.com/office/word/2010/wordprocessingShape">
                    <wps:wsp>
                      <wps:cNvSpPr txBox="1"/>
                      <wps:spPr>
                        <a:xfrm>
                          <a:ext cx="862330" cy="1797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39" type="#_x0000_t202" style="position:absolute;margin-left:330.85000000000002pt;margin-top:1.pt;width:67.900000000000006pt;height:14.15pt;z-index:-12582937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square" side="left" anchorx="page"/>
              </v:shape>
            </w:pict>
          </mc:Fallback>
        </mc:AlternateContent>
      </w:r>
      <w:r>
        <w:rPr>
          <w:color w:val="000000"/>
          <w:spacing w:val="0"/>
          <w:w w:val="100"/>
          <w:position w:val="0"/>
          <w:shd w:val="clear" w:color="auto" w:fill="auto"/>
          <w:lang w:val="cs-CZ" w:eastAsia="cs-CZ" w:bidi="cs-CZ"/>
        </w:rPr>
        <w:t xml:space="preserve">Ve Ždírci nad Doubravou dne: </w:t>
      </w:r>
      <w:r>
        <w:rPr>
          <w:color w:val="475CB5"/>
          <w:spacing w:val="0"/>
          <w:w w:val="100"/>
          <w:position w:val="0"/>
          <w:shd w:val="clear" w:color="auto" w:fill="auto"/>
          <w:lang w:val="cs-CZ" w:eastAsia="cs-CZ" w:bidi="cs-CZ"/>
        </w:rPr>
        <w:t>'tV ZoH</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8" w:after="1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673" w:left="0" w:right="0" w:bottom="1110"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Jan Adamec, místopředseda-přécistavenstva</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COOP družstvo HB</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w:t>
      </w:r>
    </w:p>
    <w:p>
      <w:pPr>
        <w:pStyle w:val="Style1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673" w:left="939" w:right="1711" w:bottom="1110" w:header="0" w:footer="3" w:gutter="0"/>
          <w:cols w:num="2" w:space="720" w:equalWidth="0">
            <w:col w:w="4032" w:space="1642"/>
            <w:col w:w="3576"/>
          </w:cols>
          <w:noEndnote/>
          <w:rtlGutter w:val="0"/>
          <w:docGrid w:linePitch="360"/>
        </w:sectPr>
      </w:pPr>
      <w:r>
        <w:rPr>
          <w:color w:val="000000"/>
          <w:spacing w:val="0"/>
          <w:w w:val="100"/>
          <w:position w:val="0"/>
          <w:shd w:val="clear" w:color="auto" w:fill="auto"/>
          <w:lang w:val="cs-CZ" w:eastAsia="cs-CZ" w:bidi="cs-CZ"/>
        </w:rPr>
        <w:t>Krajská správa a údržba silnic Vysočiny příspěvková organizace</w:t>
      </w:r>
    </w:p>
    <w:p>
      <w:pPr>
        <w:pStyle w:val="Style26"/>
        <w:keepNext/>
        <w:keepLines/>
        <w:widowControl w:val="0"/>
        <w:pBdr>
          <w:bottom w:val="single" w:sz="4" w:space="0" w:color="auto"/>
        </w:pBdr>
        <w:shd w:val="clear" w:color="auto" w:fill="auto"/>
        <w:bidi w:val="0"/>
        <w:spacing w:before="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příloha č.l k SOD - Cenová nabídka k provedení prací</w:t>
      </w:r>
      <w:bookmarkEnd w:id="34"/>
      <w:bookmarkEnd w:id="35"/>
    </w:p>
    <w:tbl>
      <w:tblPr>
        <w:tblOverlap w:val="never"/>
        <w:jc w:val="left"/>
        <w:tblLayout w:type="fixed"/>
      </w:tblPr>
      <w:tblGrid>
        <w:gridCol w:w="941"/>
        <w:gridCol w:w="1277"/>
        <w:gridCol w:w="1282"/>
        <w:gridCol w:w="1277"/>
        <w:gridCol w:w="922"/>
        <w:gridCol w:w="922"/>
        <w:gridCol w:w="1838"/>
        <w:gridCol w:w="922"/>
        <w:gridCol w:w="1282"/>
        <w:gridCol w:w="3499"/>
      </w:tblGrid>
      <w:tr>
        <w:trPr>
          <w:trHeight w:val="235" w:hRule="exact"/>
        </w:trPr>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Zakázka:</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Umístění:</w:t>
            </w:r>
          </w:p>
        </w:tc>
        <w:tc>
          <w:tcPr>
            <w:gridSpan w:val="5"/>
            <w:tcBorders>
              <w:top w:val="single" w:sz="4"/>
              <w:left w:val="single" w:sz="4"/>
              <w:righ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COOP družstvo HB, Partyzánská 33, 583 01 Chotěboř</w:t>
            </w:r>
          </w:p>
        </w:tc>
      </w:tr>
      <w:tr>
        <w:trPr>
          <w:trHeight w:val="226" w:hRule="exact"/>
        </w:trPr>
        <w:tc>
          <w:tcPr>
            <w:gridSpan w:val="2"/>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Stav, objekt č:</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Investor:</w:t>
            </w:r>
          </w:p>
        </w:tc>
        <w:tc>
          <w:tcPr>
            <w:gridSpan w:val="5"/>
            <w:tcBorders>
              <w:top w:val="single" w:sz="4"/>
              <w:left w:val="single" w:sz="4"/>
              <w:righ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COOP družstvo HB, Partyzánská 33, 583 01 Chotěboř</w:t>
            </w:r>
          </w:p>
        </w:tc>
      </w:tr>
      <w:tr>
        <w:trPr>
          <w:trHeight w:val="230" w:hRule="exact"/>
        </w:trPr>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Č. rozpočtu:</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Objednal:</w:t>
            </w:r>
          </w:p>
        </w:tc>
        <w:tc>
          <w:tcPr>
            <w:gridSpan w:val="5"/>
            <w:tcBorders>
              <w:top w:val="single" w:sz="4"/>
              <w:left w:val="single" w:sz="4"/>
              <w:righ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1000"/>
              <w:jc w:val="left"/>
              <w:rPr>
                <w:sz w:val="15"/>
                <w:szCs w:val="15"/>
              </w:rPr>
            </w:pPr>
            <w:r>
              <w:rPr>
                <w:color w:val="000000"/>
                <w:spacing w:val="0"/>
                <w:w w:val="100"/>
                <w:position w:val="0"/>
                <w:sz w:val="15"/>
                <w:szCs w:val="15"/>
                <w:shd w:val="clear" w:color="auto" w:fill="auto"/>
                <w:lang w:val="cs-CZ" w:eastAsia="cs-CZ" w:bidi="cs-CZ"/>
              </w:rPr>
              <w:t>místopředseda představenstva</w:t>
            </w:r>
          </w:p>
        </w:tc>
      </w:tr>
      <w:tr>
        <w:trPr>
          <w:trHeight w:val="221" w:hRule="exact"/>
        </w:trPr>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Č. dodatku:</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Zhotovitel:</w:t>
            </w:r>
          </w:p>
        </w:tc>
        <w:tc>
          <w:tcPr>
            <w:gridSpan w:val="5"/>
            <w:tcBorders>
              <w:top w:val="single" w:sz="4"/>
              <w:left w:val="single" w:sz="4"/>
              <w:righ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Krajská správa a údržba silnic Vysočiny, příspěvková organizace</w:t>
            </w:r>
          </w:p>
        </w:tc>
      </w:tr>
      <w:tr>
        <w:trPr>
          <w:trHeight w:val="221" w:hRule="exact"/>
        </w:trPr>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Archivní číslo:</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Zpracoval:</w:t>
            </w:r>
          </w:p>
        </w:tc>
        <w:tc>
          <w:tcPr>
            <w:vMerge w:val="restart"/>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4"/>
            <w:tcBorders>
              <w:top w:val="single" w:sz="4"/>
              <w:right w:val="single" w:sz="4"/>
            </w:tcBorders>
            <w:shd w:val="clear" w:color="auto" w:fill="FFFFFF"/>
            <w:vAlign w:val="top"/>
          </w:tcPr>
          <w:p>
            <w:pPr>
              <w:framePr w:w="14160" w:h="7229" w:vSpace="509" w:wrap="notBeside" w:vAnchor="text" w:hAnchor="text" w:x="382" w:y="510"/>
              <w:widowControl w:val="0"/>
              <w:rPr>
                <w:sz w:val="10"/>
                <w:szCs w:val="10"/>
              </w:rPr>
            </w:pPr>
          </w:p>
        </w:tc>
      </w:tr>
      <w:tr>
        <w:trPr>
          <w:trHeight w:val="230" w:hRule="exact"/>
        </w:trPr>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Datum:</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14.10.2021</w:t>
            </w: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tcBorders>
            <w:shd w:val="clear" w:color="auto" w:fill="FFFFFF"/>
            <w:vAlign w:val="top"/>
          </w:tcPr>
          <w:p>
            <w:pPr>
              <w:framePr w:w="14160" w:h="7229" w:vSpace="509" w:wrap="notBeside" w:vAnchor="text" w:hAnchor="text" w:x="382" w:y="510"/>
            </w:pPr>
          </w:p>
        </w:tc>
        <w:tc>
          <w:tcPr>
            <w:gridSpan w:val="4"/>
            <w:tcBorders>
              <w:top w:val="single" w:sz="4"/>
              <w:right w:val="single" w:sz="4"/>
            </w:tcBorders>
            <w:shd w:val="clear" w:color="auto" w:fill="FFFFFF"/>
            <w:vAlign w:val="top"/>
          </w:tcPr>
          <w:p>
            <w:pPr>
              <w:framePr w:w="14160" w:h="7229" w:vSpace="509" w:wrap="notBeside" w:vAnchor="text" w:hAnchor="text" w:x="382" w:y="510"/>
              <w:widowControl w:val="0"/>
              <w:rPr>
                <w:sz w:val="10"/>
                <w:szCs w:val="10"/>
              </w:rPr>
            </w:pPr>
          </w:p>
        </w:tc>
      </w:tr>
      <w:tr>
        <w:trPr>
          <w:trHeight w:val="245" w:hRule="exact"/>
        </w:trPr>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5"/>
            <w:tcBorders>
              <w:top w:val="single" w:sz="4"/>
              <w:left w:val="single" w:sz="4"/>
              <w:right w:val="single" w:sz="4"/>
            </w:tcBorders>
            <w:shd w:val="clear" w:color="auto" w:fill="FFFFFF"/>
            <w:vAlign w:val="top"/>
          </w:tcPr>
          <w:p>
            <w:pPr>
              <w:framePr w:w="14160" w:h="7229" w:vSpace="509" w:wrap="notBeside" w:vAnchor="text" w:hAnchor="text" w:x="382" w:y="510"/>
              <w:widowControl w:val="0"/>
              <w:rPr>
                <w:sz w:val="10"/>
                <w:szCs w:val="10"/>
              </w:rPr>
            </w:pPr>
          </w:p>
        </w:tc>
      </w:tr>
      <w:tr>
        <w:trPr>
          <w:trHeight w:val="240" w:hRule="exact"/>
        </w:trPr>
        <w:tc>
          <w:tcPr>
            <w:gridSpan w:val="3"/>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cs-CZ" w:eastAsia="cs-CZ" w:bidi="cs-CZ"/>
              </w:rPr>
              <w:t>Rozpočtové náklady</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[KČ]</w:t>
            </w:r>
          </w:p>
        </w:tc>
        <w:tc>
          <w:tcPr>
            <w:gridSpan w:val="4"/>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Ostatní náklady</w:t>
            </w:r>
          </w:p>
        </w:tc>
        <w:tc>
          <w:tcPr>
            <w:tcBorders>
              <w:top w:val="single" w:sz="4"/>
              <w:left w:val="single" w:sz="4"/>
              <w:righ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Vypracoval:</w:t>
            </w:r>
          </w:p>
        </w:tc>
      </w:tr>
      <w:tr>
        <w:trPr>
          <w:trHeight w:val="221" w:hRule="exact"/>
        </w:trPr>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Typ oddílu</w:t>
            </w: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Dodávka</w:t>
            </w: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Montáž</w:t>
            </w: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HZS</w:t>
            </w: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Přirážky</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Název nákladu</w:t>
            </w: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Částka</w:t>
            </w: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Sazba DPH</w:t>
            </w:r>
          </w:p>
        </w:tc>
        <w:tc>
          <w:tcPr>
            <w:vMerge w:val="restart"/>
            <w:tcBorders>
              <w:top w:val="single" w:sz="4"/>
              <w:left w:val="single" w:sz="4"/>
              <w:right w:val="single" w:sz="4"/>
            </w:tcBorders>
            <w:shd w:val="clear" w:color="auto" w:fill="FFFFFF"/>
            <w:vAlign w:val="center"/>
          </w:tcPr>
          <w:p>
            <w:pPr>
              <w:pStyle w:val="Style13"/>
              <w:keepNext w:val="0"/>
              <w:keepLines w:val="0"/>
              <w:framePr w:w="14160" w:h="7229" w:vSpace="509" w:wrap="notBeside" w:vAnchor="text" w:hAnchor="text" w:x="382" w:y="510"/>
              <w:widowControl w:val="0"/>
              <w:shd w:val="clear" w:color="auto" w:fill="auto"/>
              <w:bidi w:val="0"/>
              <w:spacing w:before="0" w:after="72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w:t>
            </w:r>
          </w:p>
          <w:p>
            <w:pPr>
              <w:pStyle w:val="Style13"/>
              <w:keepNext w:val="0"/>
              <w:keepLines w:val="0"/>
              <w:framePr w:w="14160" w:h="7229" w:vSpace="509" w:wrap="notBeside" w:vAnchor="text" w:hAnchor="text" w:x="382" w:y="510"/>
              <w:widowControl w:val="0"/>
              <w:shd w:val="clear" w:color="auto" w:fill="auto"/>
              <w:tabs>
                <w:tab w:pos="1666"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Dne:</w:t>
              <w:tab/>
              <w:t>14.10.2021</w:t>
            </w:r>
          </w:p>
        </w:tc>
      </w:tr>
      <w:tr>
        <w:trPr>
          <w:trHeight w:val="221" w:hRule="exact"/>
        </w:trPr>
        <w:tc>
          <w:tcPr>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SOOl</w:t>
            </w: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450 700,00</w:t>
            </w: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center"/>
          </w:tcPr>
          <w:p>
            <w:pPr>
              <w:framePr w:w="14160" w:h="7229" w:vSpace="509" w:wrap="notBeside" w:vAnchor="text" w:hAnchor="text" w:x="382" w:y="510"/>
            </w:pPr>
          </w:p>
        </w:tc>
      </w:tr>
      <w:tr>
        <w:trPr>
          <w:trHeight w:val="226" w:hRule="exact"/>
        </w:trPr>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center"/>
          </w:tcPr>
          <w:p>
            <w:pPr>
              <w:framePr w:w="14160" w:h="7229" w:vSpace="509" w:wrap="notBeside" w:vAnchor="text" w:hAnchor="text" w:x="382" w:y="510"/>
            </w:pPr>
          </w:p>
        </w:tc>
      </w:tr>
      <w:tr>
        <w:trPr>
          <w:trHeight w:val="226" w:hRule="exact"/>
        </w:trPr>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center"/>
          </w:tcPr>
          <w:p>
            <w:pPr>
              <w:framePr w:w="14160" w:h="7229" w:vSpace="509" w:wrap="notBeside" w:vAnchor="text" w:hAnchor="text" w:x="382" w:y="510"/>
            </w:pPr>
          </w:p>
        </w:tc>
      </w:tr>
      <w:tr>
        <w:trPr>
          <w:trHeight w:val="226" w:hRule="exact"/>
        </w:trPr>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center"/>
          </w:tcPr>
          <w:p>
            <w:pPr>
              <w:framePr w:w="14160" w:h="7229" w:vSpace="509" w:wrap="notBeside" w:vAnchor="text" w:hAnchor="text" w:x="382" w:y="510"/>
            </w:pPr>
          </w:p>
        </w:tc>
      </w:tr>
      <w:tr>
        <w:trPr>
          <w:trHeight w:val="226" w:hRule="exact"/>
        </w:trPr>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center"/>
          </w:tcPr>
          <w:p>
            <w:pPr>
              <w:framePr w:w="14160" w:h="7229" w:vSpace="509" w:wrap="notBeside" w:vAnchor="text" w:hAnchor="text" w:x="382" w:y="510"/>
            </w:pPr>
          </w:p>
        </w:tc>
      </w:tr>
      <w:tr>
        <w:trPr>
          <w:trHeight w:val="245" w:hRule="exact"/>
        </w:trPr>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Celkem</w:t>
            </w: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400"/>
              <w:jc w:val="left"/>
              <w:rPr>
                <w:sz w:val="15"/>
                <w:szCs w:val="15"/>
              </w:rPr>
            </w:pPr>
            <w:r>
              <w:rPr>
                <w:b/>
                <w:bCs/>
                <w:color w:val="000000"/>
                <w:spacing w:val="0"/>
                <w:w w:val="100"/>
                <w:position w:val="0"/>
                <w:sz w:val="15"/>
                <w:szCs w:val="15"/>
                <w:shd w:val="clear" w:color="auto" w:fill="auto"/>
                <w:lang w:val="cs-CZ" w:eastAsia="cs-CZ" w:bidi="cs-CZ"/>
              </w:rPr>
              <w:t>450 700,00</w:t>
            </w: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center"/>
          </w:tcPr>
          <w:p>
            <w:pPr>
              <w:framePr w:w="14160" w:h="7229" w:vSpace="509" w:wrap="notBeside" w:vAnchor="text" w:hAnchor="text" w:x="382" w:y="510"/>
            </w:pPr>
          </w:p>
        </w:tc>
      </w:tr>
      <w:tr>
        <w:trPr>
          <w:trHeight w:val="240" w:hRule="exact"/>
        </w:trPr>
        <w:tc>
          <w:tcPr>
            <w:gridSpan w:val="3"/>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Základní rozpočtové náklady</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cs-CZ" w:eastAsia="cs-CZ" w:bidi="cs-CZ"/>
              </w:rPr>
              <w:t>450 700,00 Kč</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Odsouhlasil:</w:t>
            </w:r>
          </w:p>
        </w:tc>
      </w:tr>
      <w:tr>
        <w:trPr>
          <w:trHeight w:val="221" w:hRule="exact"/>
        </w:trPr>
        <w:tc>
          <w:tcPr>
            <w:gridSpan w:val="3"/>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Přirážky</w:t>
            </w:r>
          </w:p>
        </w:tc>
        <w:tc>
          <w:tcPr>
            <w:gridSpan w:val="2"/>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cs-CZ" w:eastAsia="cs-CZ" w:bidi="cs-CZ"/>
              </w:rPr>
              <w:t>0,00 Kč</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val="restart"/>
            <w:tcBorders>
              <w:top w:val="single" w:sz="4"/>
              <w:left w:val="single" w:sz="4"/>
              <w:righ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Dne:</w:t>
            </w:r>
          </w:p>
        </w:tc>
      </w:tr>
      <w:tr>
        <w:trPr>
          <w:trHeight w:val="466" w:hRule="exact"/>
        </w:trPr>
        <w:tc>
          <w:tcPr>
            <w:gridSpan w:val="3"/>
            <w:tcBorders>
              <w:top w:val="single" w:sz="4"/>
              <w:left w:val="single" w:sz="4"/>
            </w:tcBorders>
            <w:shd w:val="clear" w:color="auto" w:fill="FFFFFF"/>
            <w:vAlign w:val="center"/>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Celkové rozpočtové náklady (bezDPH)</w:t>
            </w:r>
          </w:p>
        </w:tc>
        <w:tc>
          <w:tcPr>
            <w:gridSpan w:val="2"/>
            <w:tcBorders>
              <w:top w:val="single" w:sz="4"/>
              <w:left w:val="single" w:sz="4"/>
            </w:tcBorders>
            <w:shd w:val="clear" w:color="auto" w:fill="FFFFFF"/>
            <w:vAlign w:val="center"/>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450 700,00 Kč</w:t>
            </w:r>
          </w:p>
        </w:tc>
        <w:tc>
          <w:tcPr>
            <w:gridSpan w:val="2"/>
            <w:tcBorders>
              <w:top w:val="single" w:sz="4"/>
              <w:left w:val="single" w:sz="4"/>
            </w:tcBorders>
            <w:shd w:val="clear" w:color="auto" w:fill="FFFFFF"/>
            <w:vAlign w:val="center"/>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Celkové ostatní náklady</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bottom"/>
          </w:tcPr>
          <w:p>
            <w:pPr>
              <w:framePr w:w="14160" w:h="7229" w:vSpace="509" w:wrap="notBeside" w:vAnchor="text" w:hAnchor="text" w:x="382" w:y="510"/>
            </w:pPr>
          </w:p>
        </w:tc>
      </w:tr>
      <w:tr>
        <w:trPr>
          <w:trHeight w:val="240" w:hRule="exact"/>
        </w:trPr>
        <w:tc>
          <w:tcPr>
            <w:gridSpan w:val="5"/>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Daň z přidané hodnoty (Rozpočet+Ostatní)</w:t>
            </w:r>
          </w:p>
        </w:tc>
        <w:tc>
          <w:tcPr>
            <w:gridSpan w:val="4"/>
            <w:tcBorders>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Dílčí DPH</w:t>
            </w:r>
          </w:p>
        </w:tc>
        <w:tc>
          <w:tcPr>
            <w:vMerge/>
            <w:tcBorders>
              <w:left w:val="single" w:sz="4"/>
              <w:right w:val="single" w:sz="4"/>
            </w:tcBorders>
            <w:shd w:val="clear" w:color="auto" w:fill="FFFFFF"/>
            <w:vAlign w:val="bottom"/>
          </w:tcPr>
          <w:p>
            <w:pPr>
              <w:framePr w:w="14160" w:h="7229" w:vSpace="509" w:wrap="notBeside" w:vAnchor="text" w:hAnchor="text" w:x="382" w:y="510"/>
            </w:pPr>
          </w:p>
        </w:tc>
      </w:tr>
      <w:tr>
        <w:trPr>
          <w:trHeight w:val="226" w:hRule="exact"/>
        </w:trPr>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Sazba[%]</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Základ</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Daň</w:t>
            </w:r>
          </w:p>
        </w:tc>
        <w:tc>
          <w:tcPr>
            <w:tcBorders>
              <w:left w:val="single" w:sz="4"/>
            </w:tcBorders>
            <w:shd w:val="clear" w:color="auto" w:fill="FFFFFF"/>
            <w:vAlign w:val="top"/>
          </w:tcPr>
          <w:p>
            <w:pPr>
              <w:framePr w:w="14160" w:h="7229" w:vSpace="509" w:wrap="notBeside" w:vAnchor="text" w:hAnchor="text" w:x="382" w:y="510"/>
              <w:widowControl w:val="0"/>
              <w:rPr>
                <w:sz w:val="10"/>
                <w:szCs w:val="10"/>
              </w:rPr>
            </w:pPr>
          </w:p>
        </w:tc>
        <w:tc>
          <w:tcPr>
            <w:tcBorders>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Základna</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Daň</w:t>
            </w:r>
          </w:p>
        </w:tc>
        <w:tc>
          <w:tcPr>
            <w:vMerge/>
            <w:tcBorders>
              <w:left w:val="single" w:sz="4"/>
              <w:right w:val="single" w:sz="4"/>
            </w:tcBorders>
            <w:shd w:val="clear" w:color="auto" w:fill="FFFFFF"/>
            <w:vAlign w:val="bottom"/>
          </w:tcPr>
          <w:p>
            <w:pPr>
              <w:framePr w:w="14160" w:h="7229" w:vSpace="509" w:wrap="notBeside" w:vAnchor="text" w:hAnchor="text" w:x="382" w:y="510"/>
            </w:pPr>
          </w:p>
        </w:tc>
      </w:tr>
      <w:tr>
        <w:trPr>
          <w:trHeight w:val="226" w:hRule="exact"/>
        </w:trPr>
        <w:tc>
          <w:tcPr>
            <w:tcBorders>
              <w:top w:val="single" w:sz="4"/>
              <w:left w:val="single" w:sz="4"/>
            </w:tcBorders>
            <w:shd w:val="clear" w:color="auto" w:fill="FFFFFF"/>
            <w:vAlign w:val="center"/>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10%</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bottom"/>
          </w:tcPr>
          <w:p>
            <w:pPr>
              <w:framePr w:w="14160" w:h="7229" w:vSpace="509" w:wrap="notBeside" w:vAnchor="text" w:hAnchor="text" w:x="382" w:y="510"/>
            </w:pPr>
          </w:p>
        </w:tc>
      </w:tr>
      <w:tr>
        <w:trPr>
          <w:trHeight w:val="254" w:hRule="exact"/>
        </w:trPr>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21%</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450 700,00 Kč</w:t>
            </w:r>
          </w:p>
        </w:tc>
        <w:tc>
          <w:tcPr>
            <w:gridSpan w:val="2"/>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94 647,00 Kč</w:t>
            </w: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bottom"/>
          </w:tcPr>
          <w:p>
            <w:pPr>
              <w:framePr w:w="14160" w:h="7229" w:vSpace="509" w:wrap="notBeside" w:vAnchor="text" w:hAnchor="text" w:x="382" w:y="510"/>
            </w:pPr>
          </w:p>
        </w:tc>
      </w:tr>
      <w:tr>
        <w:trPr>
          <w:trHeight w:val="235" w:hRule="exact"/>
        </w:trPr>
        <w:tc>
          <w:tcPr>
            <w:tcBorders>
              <w:top w:val="single" w:sz="4"/>
              <w:lef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0%</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Razítko:</w:t>
            </w:r>
          </w:p>
        </w:tc>
      </w:tr>
      <w:tr>
        <w:trPr>
          <w:trHeight w:val="456" w:hRule="exact"/>
        </w:trPr>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center"/>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450 700 Kč</w:t>
            </w:r>
          </w:p>
        </w:tc>
        <w:tc>
          <w:tcPr>
            <w:gridSpan w:val="2"/>
            <w:tcBorders>
              <w:top w:val="single" w:sz="4"/>
              <w:left w:val="single" w:sz="4"/>
            </w:tcBorders>
            <w:shd w:val="clear" w:color="auto" w:fill="FFFFFF"/>
            <w:vAlign w:val="center"/>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94 647 Kč</w:t>
            </w: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val="restart"/>
            <w:tcBorders>
              <w:top w:val="single" w:sz="4"/>
              <w:left w:val="single" w:sz="4"/>
              <w:right w:val="single" w:sz="4"/>
            </w:tcBorders>
            <w:shd w:val="clear" w:color="auto" w:fill="FFFFFF"/>
            <w:vAlign w:val="top"/>
          </w:tcPr>
          <w:p>
            <w:pPr>
              <w:framePr w:w="14160" w:h="7229" w:vSpace="509" w:wrap="notBeside" w:vAnchor="text" w:hAnchor="text" w:x="382" w:y="510"/>
              <w:widowControl w:val="0"/>
              <w:rPr>
                <w:sz w:val="10"/>
                <w:szCs w:val="10"/>
              </w:rPr>
            </w:pPr>
          </w:p>
        </w:tc>
      </w:tr>
      <w:tr>
        <w:trPr>
          <w:trHeight w:val="288" w:hRule="exact"/>
        </w:trPr>
        <w:tc>
          <w:tcPr>
            <w:gridSpan w:val="5"/>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i/>
                <w:iCs/>
                <w:color w:val="000000"/>
                <w:spacing w:val="0"/>
                <w:w w:val="100"/>
                <w:position w:val="0"/>
                <w:sz w:val="15"/>
                <w:szCs w:val="15"/>
                <w:shd w:val="clear" w:color="auto" w:fill="auto"/>
                <w:lang w:val="cs-CZ" w:eastAsia="cs-CZ" w:bidi="cs-CZ"/>
              </w:rPr>
              <w:t>Celkové naklady (Rozpočet ^Ostatní) vč. DPH</w:t>
            </w:r>
          </w:p>
        </w:tc>
        <w:tc>
          <w:tcPr>
            <w:gridSpan w:val="4"/>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Účelové měrné jednotky (bez DPH)</w:t>
            </w:r>
          </w:p>
        </w:tc>
        <w:tc>
          <w:tcPr>
            <w:vMerge/>
            <w:tcBorders>
              <w:left w:val="single" w:sz="4"/>
              <w:right w:val="single" w:sz="4"/>
            </w:tcBorders>
            <w:shd w:val="clear" w:color="auto" w:fill="FFFFFF"/>
            <w:vAlign w:val="top"/>
          </w:tcPr>
          <w:p>
            <w:pPr>
              <w:framePr w:w="14160" w:h="7229" w:vSpace="509" w:wrap="notBeside" w:vAnchor="text" w:hAnchor="text" w:x="382" w:y="510"/>
            </w:pPr>
          </w:p>
        </w:tc>
      </w:tr>
      <w:tr>
        <w:trPr>
          <w:trHeight w:val="226" w:hRule="exact"/>
        </w:trPr>
        <w:tc>
          <w:tcPr>
            <w:gridSpan w:val="5"/>
            <w:vMerge w:val="restart"/>
            <w:tcBorders>
              <w:top w:val="single" w:sz="4"/>
              <w:left w:val="single" w:sz="4"/>
            </w:tcBorders>
            <w:shd w:val="clear" w:color="auto" w:fill="FFFFFF"/>
            <w:vAlign w:val="center"/>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28"/>
                <w:szCs w:val="28"/>
              </w:rPr>
            </w:pPr>
            <w:r>
              <w:rPr>
                <w:rFonts w:ascii="Calibri" w:eastAsia="Calibri" w:hAnsi="Calibri" w:cs="Calibri"/>
                <w:i/>
                <w:iCs/>
                <w:color w:val="000000"/>
                <w:spacing w:val="0"/>
                <w:w w:val="100"/>
                <w:position w:val="0"/>
                <w:sz w:val="28"/>
                <w:szCs w:val="28"/>
                <w:shd w:val="clear" w:color="auto" w:fill="auto"/>
                <w:lang w:val="cs-CZ" w:eastAsia="cs-CZ" w:bidi="cs-CZ"/>
              </w:rPr>
              <w:t>545 347 Kč</w:t>
            </w:r>
          </w:p>
        </w:tc>
        <w:tc>
          <w:tcPr>
            <w:gridSpan w:val="2"/>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Název MJ</w:t>
            </w:r>
          </w:p>
        </w:tc>
        <w:tc>
          <w:tcPr>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Počet MJ</w:t>
            </w:r>
          </w:p>
        </w:tc>
        <w:tc>
          <w:tcPr>
            <w:tcBorders>
              <w:top w:val="single" w:sz="4"/>
              <w:left w:val="single" w:sz="4"/>
            </w:tcBorders>
            <w:shd w:val="clear" w:color="auto" w:fill="FFFFFF"/>
            <w:vAlign w:val="bottom"/>
          </w:tcPr>
          <w:p>
            <w:pPr>
              <w:pStyle w:val="Style13"/>
              <w:keepNext w:val="0"/>
              <w:keepLines w:val="0"/>
              <w:framePr w:w="14160" w:h="7229" w:vSpace="509" w:wrap="notBeside" w:vAnchor="text" w:hAnchor="text" w:x="382" w:y="51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Náklady/MJ</w:t>
            </w:r>
          </w:p>
        </w:tc>
        <w:tc>
          <w:tcPr>
            <w:vMerge/>
            <w:tcBorders>
              <w:left w:val="single" w:sz="4"/>
              <w:right w:val="single" w:sz="4"/>
            </w:tcBorders>
            <w:shd w:val="clear" w:color="auto" w:fill="FFFFFF"/>
            <w:vAlign w:val="top"/>
          </w:tcPr>
          <w:p>
            <w:pPr>
              <w:framePr w:w="14160" w:h="7229" w:vSpace="509" w:wrap="notBeside" w:vAnchor="text" w:hAnchor="text" w:x="382" w:y="510"/>
            </w:pPr>
          </w:p>
        </w:tc>
      </w:tr>
      <w:tr>
        <w:trPr>
          <w:trHeight w:val="216" w:hRule="exact"/>
        </w:trPr>
        <w:tc>
          <w:tcPr>
            <w:gridSpan w:val="5"/>
            <w:vMerge/>
            <w:tcBorders>
              <w:left w:val="single" w:sz="4"/>
            </w:tcBorders>
            <w:shd w:val="clear" w:color="auto" w:fill="FFFFFF"/>
            <w:vAlign w:val="center"/>
          </w:tcPr>
          <w:p>
            <w:pPr>
              <w:framePr w:w="14160" w:h="7229" w:vSpace="509" w:wrap="notBeside" w:vAnchor="text" w:hAnchor="text" w:x="382" w:y="510"/>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top"/>
          </w:tcPr>
          <w:p>
            <w:pPr>
              <w:framePr w:w="14160" w:h="7229" w:vSpace="509" w:wrap="notBeside" w:vAnchor="text" w:hAnchor="text" w:x="382" w:y="510"/>
            </w:pPr>
          </w:p>
        </w:tc>
      </w:tr>
      <w:tr>
        <w:trPr>
          <w:trHeight w:val="226" w:hRule="exact"/>
        </w:trPr>
        <w:tc>
          <w:tcPr>
            <w:gridSpan w:val="5"/>
            <w:vMerge/>
            <w:tcBorders>
              <w:left w:val="single" w:sz="4"/>
            </w:tcBorders>
            <w:shd w:val="clear" w:color="auto" w:fill="FFFFFF"/>
            <w:vAlign w:val="center"/>
          </w:tcPr>
          <w:p>
            <w:pPr>
              <w:framePr w:w="14160" w:h="7229" w:vSpace="509" w:wrap="notBeside" w:vAnchor="text" w:hAnchor="text" w:x="382" w:y="510"/>
            </w:pPr>
          </w:p>
        </w:tc>
        <w:tc>
          <w:tcPr>
            <w:gridSpan w:val="2"/>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right w:val="single" w:sz="4"/>
            </w:tcBorders>
            <w:shd w:val="clear" w:color="auto" w:fill="FFFFFF"/>
            <w:vAlign w:val="top"/>
          </w:tcPr>
          <w:p>
            <w:pPr>
              <w:framePr w:w="14160" w:h="7229" w:vSpace="509" w:wrap="notBeside" w:vAnchor="text" w:hAnchor="text" w:x="382" w:y="510"/>
            </w:pPr>
          </w:p>
        </w:tc>
      </w:tr>
      <w:tr>
        <w:trPr>
          <w:trHeight w:val="274" w:hRule="exact"/>
        </w:trPr>
        <w:tc>
          <w:tcPr>
            <w:gridSpan w:val="5"/>
            <w:vMerge/>
            <w:tcBorders>
              <w:left w:val="single" w:sz="4"/>
              <w:bottom w:val="single" w:sz="4"/>
            </w:tcBorders>
            <w:shd w:val="clear" w:color="auto" w:fill="FFFFFF"/>
            <w:vAlign w:val="center"/>
          </w:tcPr>
          <w:p>
            <w:pPr>
              <w:framePr w:w="14160" w:h="7229" w:vSpace="509" w:wrap="notBeside" w:vAnchor="text" w:hAnchor="text" w:x="382" w:y="510"/>
            </w:pPr>
          </w:p>
        </w:tc>
        <w:tc>
          <w:tcPr>
            <w:gridSpan w:val="2"/>
            <w:tcBorders>
              <w:top w:val="single" w:sz="4"/>
              <w:left w:val="single" w:sz="4"/>
              <w:bottom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bottom w:val="single" w:sz="4"/>
            </w:tcBorders>
            <w:shd w:val="clear" w:color="auto" w:fill="FFFFFF"/>
            <w:vAlign w:val="top"/>
          </w:tcPr>
          <w:p>
            <w:pPr>
              <w:framePr w:w="14160" w:h="7229" w:vSpace="509" w:wrap="notBeside" w:vAnchor="text" w:hAnchor="text" w:x="382" w:y="510"/>
              <w:widowControl w:val="0"/>
              <w:rPr>
                <w:sz w:val="10"/>
                <w:szCs w:val="10"/>
              </w:rPr>
            </w:pPr>
          </w:p>
        </w:tc>
        <w:tc>
          <w:tcPr>
            <w:tcBorders>
              <w:top w:val="single" w:sz="4"/>
              <w:left w:val="single" w:sz="4"/>
              <w:bottom w:val="single" w:sz="4"/>
            </w:tcBorders>
            <w:shd w:val="clear" w:color="auto" w:fill="FFFFFF"/>
            <w:vAlign w:val="top"/>
          </w:tcPr>
          <w:p>
            <w:pPr>
              <w:framePr w:w="14160" w:h="7229" w:vSpace="509" w:wrap="notBeside" w:vAnchor="text" w:hAnchor="text" w:x="382" w:y="510"/>
              <w:widowControl w:val="0"/>
              <w:rPr>
                <w:sz w:val="10"/>
                <w:szCs w:val="10"/>
              </w:rPr>
            </w:pPr>
          </w:p>
        </w:tc>
        <w:tc>
          <w:tcPr>
            <w:vMerge/>
            <w:tcBorders>
              <w:left w:val="single" w:sz="4"/>
              <w:bottom w:val="single" w:sz="4"/>
              <w:right w:val="single" w:sz="4"/>
            </w:tcBorders>
            <w:shd w:val="clear" w:color="auto" w:fill="FFFFFF"/>
            <w:vAlign w:val="top"/>
          </w:tcPr>
          <w:p>
            <w:pPr>
              <w:framePr w:w="14160" w:h="7229" w:vSpace="509" w:wrap="notBeside" w:vAnchor="text" w:hAnchor="text" w:x="382" w:y="510"/>
            </w:pPr>
          </w:p>
        </w:tc>
      </w:tr>
    </w:tbl>
    <w:p>
      <w:pPr>
        <w:pStyle w:val="Style16"/>
        <w:keepNext w:val="0"/>
        <w:keepLines w:val="0"/>
        <w:framePr w:w="4406" w:h="331" w:hSpace="381" w:wrap="notBeside" w:vAnchor="text" w:hAnchor="text" w:x="7865" w:y="6"/>
        <w:widowControl w:val="0"/>
        <w:shd w:val="clear" w:color="auto" w:fill="auto"/>
        <w:bidi w:val="0"/>
        <w:spacing w:before="0" w:after="0" w:line="240" w:lineRule="auto"/>
        <w:ind w:left="0" w:right="0" w:firstLine="0"/>
        <w:jc w:val="left"/>
        <w:rPr>
          <w:sz w:val="16"/>
          <w:szCs w:val="16"/>
        </w:rPr>
      </w:pPr>
      <w:r>
        <w:rPr>
          <w:rFonts w:ascii="Calibri" w:eastAsia="Calibri" w:hAnsi="Calibri" w:cs="Calibri"/>
          <w:i/>
          <w:iCs/>
          <w:color w:val="000000"/>
          <w:spacing w:val="0"/>
          <w:w w:val="100"/>
          <w:position w:val="0"/>
          <w:sz w:val="16"/>
          <w:szCs w:val="16"/>
          <w:shd w:val="clear" w:color="auto" w:fill="auto"/>
          <w:lang w:val="cs-CZ" w:eastAsia="cs-CZ" w:bidi="cs-CZ"/>
        </w:rPr>
        <w:t>| Část:</w:t>
      </w:r>
      <w:r>
        <w:rPr>
          <w:b/>
          <w:bCs/>
          <w:color w:val="000000"/>
          <w:spacing w:val="0"/>
          <w:w w:val="100"/>
          <w:position w:val="0"/>
          <w:sz w:val="15"/>
          <w:szCs w:val="15"/>
          <w:shd w:val="clear" w:color="auto" w:fill="auto"/>
          <w:lang w:val="cs-CZ" w:eastAsia="cs-CZ" w:bidi="cs-CZ"/>
        </w:rPr>
        <w:t xml:space="preserve"> |SOQ1 - </w:t>
      </w:r>
      <w:r>
        <w:rPr>
          <w:rFonts w:ascii="Calibri" w:eastAsia="Calibri" w:hAnsi="Calibri" w:cs="Calibri"/>
          <w:i/>
          <w:iCs/>
          <w:color w:val="000000"/>
          <w:spacing w:val="0"/>
          <w:w w:val="100"/>
          <w:position w:val="0"/>
          <w:sz w:val="16"/>
          <w:szCs w:val="16"/>
          <w:shd w:val="clear" w:color="auto" w:fill="auto"/>
          <w:lang w:val="cs-CZ" w:eastAsia="cs-CZ" w:bidi="cs-CZ"/>
        </w:rPr>
        <w:t>Pokládka živice - parkoviště Chotěboř</w:t>
      </w:r>
    </w:p>
    <w:p>
      <w:pPr>
        <w:pStyle w:val="Style16"/>
        <w:keepNext w:val="0"/>
        <w:keepLines w:val="0"/>
        <w:framePr w:w="2117" w:h="336" w:hSpace="381" w:wrap="notBeside" w:vAnchor="text" w:hAnchor="text" w:x="651" w:y="1"/>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4"/>
          <w:szCs w:val="14"/>
          <w:shd w:val="clear" w:color="auto" w:fill="auto"/>
          <w:lang w:val="cs-CZ" w:eastAsia="cs-CZ" w:bidi="cs-CZ"/>
        </w:rPr>
        <w:t>■</w:t>
      </w:r>
      <w:r>
        <w:rPr>
          <w:rFonts w:ascii="Calibri" w:eastAsia="Calibri" w:hAnsi="Calibri" w:cs="Calibri"/>
          <w:i/>
          <w:iCs/>
          <w:color w:val="000000"/>
          <w:spacing w:val="0"/>
          <w:w w:val="100"/>
          <w:position w:val="0"/>
          <w:sz w:val="16"/>
          <w:szCs w:val="16"/>
          <w:shd w:val="clear" w:color="auto" w:fill="auto"/>
          <w:lang w:val="cs-CZ" w:eastAsia="cs-CZ" w:bidi="cs-CZ"/>
        </w:rPr>
        <w:t>vs.’a„h,</w:t>
      </w:r>
      <w:r>
        <w:rPr>
          <w:b/>
          <w:bCs/>
          <w:color w:val="000000"/>
          <w:spacing w:val="0"/>
          <w:w w:val="100"/>
          <w:position w:val="0"/>
          <w:sz w:val="15"/>
          <w:szCs w:val="15"/>
          <w:shd w:val="clear" w:color="auto" w:fill="auto"/>
          <w:lang w:val="cs-CZ" w:eastAsia="cs-CZ" w:bidi="cs-CZ"/>
        </w:rPr>
        <w:t xml:space="preserve"> |cOOP </w:t>
      </w:r>
      <w:r>
        <w:rPr>
          <w:rFonts w:ascii="Calibri" w:eastAsia="Calibri" w:hAnsi="Calibri" w:cs="Calibri"/>
          <w:i/>
          <w:iCs/>
          <w:color w:val="000000"/>
          <w:spacing w:val="0"/>
          <w:w w:val="100"/>
          <w:position w:val="0"/>
          <w:sz w:val="16"/>
          <w:szCs w:val="16"/>
          <w:shd w:val="clear" w:color="auto" w:fill="auto"/>
          <w:lang w:val="cs-CZ" w:eastAsia="cs-CZ" w:bidi="cs-CZ"/>
        </w:rPr>
        <w:t>družstvo HB</w:t>
      </w:r>
    </w:p>
    <w:p>
      <w:pPr>
        <w:widowControl w:val="0"/>
        <w:spacing w:line="1" w:lineRule="exact"/>
      </w:pPr>
      <w:r>
        <w:br w:type="page"/>
      </w:r>
    </w:p>
    <w:p>
      <w:pPr>
        <w:widowControl w:val="0"/>
        <w:spacing w:line="1" w:lineRule="exact"/>
      </w:pPr>
      <w:r>
        <mc:AlternateContent>
          <mc:Choice Requires="wps">
            <w:drawing>
              <wp:anchor distT="0" distB="337820" distL="0" distR="0" simplePos="0" relativeHeight="125829380" behindDoc="0" locked="0" layoutInCell="1" allowOverlap="1">
                <wp:simplePos x="0" y="0"/>
                <wp:positionH relativeFrom="page">
                  <wp:posOffset>865505</wp:posOffset>
                </wp:positionH>
                <wp:positionV relativeFrom="paragraph">
                  <wp:posOffset>0</wp:posOffset>
                </wp:positionV>
                <wp:extent cx="1996440" cy="194945"/>
                <wp:wrapTopAndBottom/>
                <wp:docPr id="15" name="Shape 15"/>
                <a:graphic xmlns:a="http://schemas.openxmlformats.org/drawingml/2006/main">
                  <a:graphicData uri="http://schemas.microsoft.com/office/word/2010/wordprocessingShape">
                    <wps:wsp>
                      <wps:cNvSpPr txBox="1"/>
                      <wps:spPr>
                        <a:xfrm>
                          <a:ext cx="1996440" cy="194945"/>
                        </a:xfrm>
                        <a:prstGeom prst="rect"/>
                        <a:noFill/>
                      </wps:spPr>
                      <wps:txbx>
                        <w:txbxContent>
                          <w:p>
                            <w:pPr>
                              <w:pStyle w:val="Style22"/>
                              <w:keepNext/>
                              <w:keepLines/>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Krajská správa a údržba</w:t>
                            </w:r>
                            <w:bookmarkEnd w:id="30"/>
                            <w:bookmarkEnd w:id="31"/>
                          </w:p>
                        </w:txbxContent>
                      </wps:txbx>
                      <wps:bodyPr wrap="none" lIns="0" tIns="0" rIns="0" bIns="0">
                        <a:noAutoFit/>
                      </wps:bodyPr>
                    </wps:wsp>
                  </a:graphicData>
                </a:graphic>
              </wp:anchor>
            </w:drawing>
          </mc:Choice>
          <mc:Fallback>
            <w:pict>
              <v:shape id="_x0000_s1041" type="#_x0000_t202" style="position:absolute;margin-left:68.150000000000006pt;margin-top:0;width:157.19999999999999pt;height:15.35pt;z-index:-125829373;mso-wrap-distance-left:0;mso-wrap-distance-right:0;mso-wrap-distance-bottom:26.600000000000001pt;mso-position-horizontal-relative:page" filled="f" stroked="f">
                <v:textbox inset="0,0,0,0">
                  <w:txbxContent>
                    <w:p>
                      <w:pPr>
                        <w:pStyle w:val="Style22"/>
                        <w:keepNext/>
                        <w:keepLines/>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Krajská správa a údržba</w:t>
                      </w:r>
                      <w:bookmarkEnd w:id="30"/>
                      <w:bookmarkEnd w:id="31"/>
                    </w:p>
                  </w:txbxContent>
                </v:textbox>
                <w10:wrap type="topAndBottom" anchorx="page"/>
              </v:shape>
            </w:pict>
          </mc:Fallback>
        </mc:AlternateContent>
      </w:r>
      <w:r>
        <mc:AlternateContent>
          <mc:Choice Requires="wps">
            <w:drawing>
              <wp:anchor distT="173990" distB="62865" distL="0" distR="0" simplePos="0" relativeHeight="125829382" behindDoc="0" locked="0" layoutInCell="1" allowOverlap="1">
                <wp:simplePos x="0" y="0"/>
                <wp:positionH relativeFrom="page">
                  <wp:posOffset>859155</wp:posOffset>
                </wp:positionH>
                <wp:positionV relativeFrom="paragraph">
                  <wp:posOffset>173990</wp:posOffset>
                </wp:positionV>
                <wp:extent cx="1240790" cy="295910"/>
                <wp:wrapTopAndBottom/>
                <wp:docPr id="17" name="Shape 17"/>
                <a:graphic xmlns:a="http://schemas.openxmlformats.org/drawingml/2006/main">
                  <a:graphicData uri="http://schemas.microsoft.com/office/word/2010/wordprocessingShape">
                    <wps:wsp>
                      <wps:cNvSpPr txBox="1"/>
                      <wps:spPr>
                        <a:xfrm>
                          <a:ext cx="1240790" cy="295910"/>
                        </a:xfrm>
                        <a:prstGeom prst="rect"/>
                        <a:noFill/>
                      </wps:spPr>
                      <wps:txbx>
                        <w:txbxContent>
                          <w:p>
                            <w:pPr>
                              <w:pStyle w:val="Style22"/>
                              <w:keepNext/>
                              <w:keepLines/>
                              <w:widowControl w:val="0"/>
                              <w:shd w:val="clear" w:color="auto" w:fill="auto"/>
                              <w:bidi w:val="0"/>
                              <w:spacing w:before="0" w:after="0" w:line="211"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silnic Vysočiny</w:t>
                            </w:r>
                            <w:bookmarkEnd w:id="32"/>
                            <w:bookmarkEnd w:id="33"/>
                          </w:p>
                          <w:p>
                            <w:pPr>
                              <w:pStyle w:val="Style2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3" type="#_x0000_t202" style="position:absolute;margin-left:67.650000000000006pt;margin-top:13.699999999999999pt;width:97.700000000000003pt;height:23.300000000000001pt;z-index:-125829371;mso-wrap-distance-left:0;mso-wrap-distance-top:13.699999999999999pt;mso-wrap-distance-right:0;mso-wrap-distance-bottom:4.9500000000000002pt;mso-position-horizontal-relative:page" filled="f" stroked="f">
                <v:textbox inset="0,0,0,0">
                  <w:txbxContent>
                    <w:p>
                      <w:pPr>
                        <w:pStyle w:val="Style22"/>
                        <w:keepNext/>
                        <w:keepLines/>
                        <w:widowControl w:val="0"/>
                        <w:shd w:val="clear" w:color="auto" w:fill="auto"/>
                        <w:bidi w:val="0"/>
                        <w:spacing w:before="0" w:after="0" w:line="211"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silnic Vysočiny</w:t>
                      </w:r>
                      <w:bookmarkEnd w:id="32"/>
                      <w:bookmarkEnd w:id="33"/>
                    </w:p>
                    <w:p>
                      <w:pPr>
                        <w:pStyle w:val="Style2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příspěvková organizace</w:t>
                      </w:r>
                    </w:p>
                  </w:txbxContent>
                </v:textbox>
                <w10:wrap type="topAndBottom" anchorx="page"/>
              </v:shape>
            </w:pict>
          </mc:Fallback>
        </mc:AlternateContent>
      </w:r>
      <w:r>
        <w:drawing>
          <wp:anchor distT="228600" distB="84455" distL="0" distR="0" simplePos="0" relativeHeight="125829384" behindDoc="0" locked="0" layoutInCell="1" allowOverlap="1">
            <wp:simplePos x="0" y="0"/>
            <wp:positionH relativeFrom="page">
              <wp:posOffset>2102485</wp:posOffset>
            </wp:positionH>
            <wp:positionV relativeFrom="paragraph">
              <wp:posOffset>228600</wp:posOffset>
            </wp:positionV>
            <wp:extent cx="743585" cy="21971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743585" cy="219710"/>
                    </a:xfrm>
                    <a:prstGeom prst="rect"/>
                  </pic:spPr>
                </pic:pic>
              </a:graphicData>
            </a:graphic>
          </wp:anchor>
        </w:drawing>
      </w:r>
    </w:p>
    <w:p>
      <w:pPr>
        <w:pStyle w:val="Style9"/>
        <w:keepNext/>
        <w:keepLines/>
        <w:widowControl w:val="0"/>
        <w:shd w:val="clear" w:color="auto" w:fill="auto"/>
        <w:bidi w:val="0"/>
        <w:spacing w:before="0" w:after="44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Položkový rozpočet</w:t>
      </w:r>
      <w:bookmarkEnd w:id="36"/>
      <w:bookmarkEnd w:id="37"/>
    </w:p>
    <w:p>
      <w:pPr>
        <w:pStyle w:val="Style16"/>
        <w:keepNext w:val="0"/>
        <w:keepLines w:val="0"/>
        <w:widowControl w:val="0"/>
        <w:shd w:val="clear" w:color="auto" w:fill="auto"/>
        <w:tabs>
          <w:tab w:pos="1901" w:val="left"/>
          <w:tab w:pos="11645" w:val="left"/>
          <w:tab w:pos="12974" w:val="left"/>
          <w:tab w:pos="14006" w:val="left"/>
        </w:tabs>
        <w:bidi w:val="0"/>
        <w:spacing w:before="0" w:after="0" w:line="240" w:lineRule="auto"/>
        <w:ind w:left="1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stavba:</w:t>
        <w:tab/>
      </w:r>
      <w:r>
        <w:rPr>
          <w:b/>
          <w:bCs/>
          <w:i/>
          <w:iCs/>
          <w:color w:val="000000"/>
          <w:spacing w:val="0"/>
          <w:w w:val="100"/>
          <w:position w:val="0"/>
          <w:sz w:val="15"/>
          <w:szCs w:val="15"/>
          <w:shd w:val="clear" w:color="auto" w:fill="auto"/>
          <w:lang w:val="cs-CZ" w:eastAsia="cs-CZ" w:bidi="cs-CZ"/>
        </w:rPr>
        <w:t>COOP družstvo HB</w:t>
      </w:r>
      <w:r>
        <w:rPr>
          <w:b/>
          <w:bCs/>
          <w:color w:val="000000"/>
          <w:spacing w:val="0"/>
          <w:w w:val="100"/>
          <w:position w:val="0"/>
          <w:sz w:val="15"/>
          <w:szCs w:val="15"/>
          <w:shd w:val="clear" w:color="auto" w:fill="auto"/>
          <w:lang w:val="cs-CZ" w:eastAsia="cs-CZ" w:bidi="cs-CZ"/>
        </w:rPr>
        <w:tab/>
        <w:t>450 700,00</w:t>
        <w:tab/>
        <w:t>94 647,00</w:t>
        <w:tab/>
        <w:t>545 347,00</w:t>
      </w:r>
    </w:p>
    <w:tbl>
      <w:tblPr>
        <w:tblOverlap w:val="never"/>
        <w:jc w:val="center"/>
        <w:tblLayout w:type="fixed"/>
      </w:tblPr>
      <w:tblGrid>
        <w:gridCol w:w="518"/>
        <w:gridCol w:w="1378"/>
        <w:gridCol w:w="6350"/>
        <w:gridCol w:w="763"/>
        <w:gridCol w:w="1075"/>
        <w:gridCol w:w="1186"/>
        <w:gridCol w:w="1286"/>
        <w:gridCol w:w="1229"/>
        <w:gridCol w:w="1138"/>
      </w:tblGrid>
      <w:tr>
        <w:trPr>
          <w:trHeight w:val="206"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66"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Poř. č. pol.</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Kód položky</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Název položky</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jednotka</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Počet Jednotek</w:t>
            </w:r>
          </w:p>
        </w:tc>
        <w:tc>
          <w:tcPr>
            <w:gridSpan w:val="4"/>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CENA</w:t>
            </w:r>
          </w:p>
        </w:tc>
      </w:tr>
      <w:tr>
        <w:trPr>
          <w:trHeight w:val="52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jednotková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celkem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Celkem s 21%</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DPH</w:t>
            </w:r>
          </w:p>
        </w:tc>
      </w:tr>
      <w:tr>
        <w:trPr>
          <w:trHeight w:val="19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Calibri" w:eastAsia="Calibri" w:hAnsi="Calibri" w:cs="Calibri"/>
                <w:color w:val="000000"/>
                <w:spacing w:val="0"/>
                <w:w w:val="100"/>
                <w:position w:val="0"/>
                <w:sz w:val="15"/>
                <w:szCs w:val="15"/>
                <w:shd w:val="clear" w:color="auto" w:fill="auto"/>
                <w:lang w:val="cs-CZ" w:eastAsia="cs-CZ" w:bidi="cs-CZ"/>
              </w:rPr>
              <w:t>9</w:t>
            </w:r>
          </w:p>
        </w:tc>
      </w:tr>
      <w:tr>
        <w:trPr>
          <w:trHeight w:val="418"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číslo a název rozpočtu: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SO01 - Pokládka živice - parkoviště Chotěboř</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||l||Si||S8|gí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9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9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Komunikace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Pronájem finišerové sestavy</w:t>
            </w:r>
          </w:p>
          <w:p>
            <w:pPr>
              <w:pStyle w:val="Style13"/>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Finišerová sestava, přatah finišeru na místo stavby a zpět</w:t>
            </w:r>
          </w:p>
          <w:p>
            <w:pPr>
              <w:pStyle w:val="Style13"/>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Finišer Bomag BF 600 C-ll, válec Hamm DV90, Wacker RD 11EAC, smykový nakladač JCB, obsluha, pomocné práce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DEN '</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rPr>
                <w:sz w:val="15"/>
                <w:szCs w:val="15"/>
              </w:rPr>
            </w:pPr>
            <w:r>
              <w:rPr>
                <w:color w:val="000000"/>
                <w:spacing w:val="0"/>
                <w:w w:val="100"/>
                <w:position w:val="0"/>
                <w:sz w:val="15"/>
                <w:szCs w:val="15"/>
                <w:shd w:val="clear" w:color="auto" w:fill="auto"/>
                <w:lang w:val="cs-CZ" w:eastAsia="cs-CZ" w:bidi="cs-CZ"/>
              </w:rPr>
              <w:t>1,00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80 000,00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80 000,00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shd w:val="clear" w:color="auto" w:fill="auto"/>
                <w:lang w:val="cs-CZ" w:eastAsia="cs-CZ" w:bidi="cs-CZ"/>
              </w:rPr>
              <w:t>16 800,00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96 800,00</w:t>
            </w:r>
          </w:p>
        </w:tc>
      </w:tr>
      <w:tr>
        <w:trPr>
          <w:trHeight w:val="5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4"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Dodávka asf. betonu ACO11 +</w:t>
            </w:r>
          </w:p>
          <w:p>
            <w:pPr>
              <w:pStyle w:val="Style13"/>
              <w:keepNext w:val="0"/>
              <w:keepLines w:val="0"/>
              <w:widowControl w:val="0"/>
              <w:shd w:val="clear" w:color="auto" w:fill="auto"/>
              <w:bidi w:val="0"/>
              <w:spacing w:before="0" w:after="0" w:line="254" w:lineRule="auto"/>
              <w:ind w:left="0" w:right="0" w:firstLine="0"/>
              <w:jc w:val="left"/>
              <w:rPr>
                <w:sz w:val="15"/>
                <w:szCs w:val="15"/>
              </w:rPr>
            </w:pPr>
            <w:r>
              <w:rPr>
                <w:color w:val="000000"/>
                <w:spacing w:val="0"/>
                <w:w w:val="100"/>
                <w:position w:val="0"/>
                <w:sz w:val="15"/>
                <w:szCs w:val="15"/>
                <w:shd w:val="clear" w:color="auto" w:fill="auto"/>
                <w:lang w:val="cs-CZ" w:eastAsia="cs-CZ" w:bidi="cs-CZ"/>
              </w:rPr>
              <w:t>Dodávka ACO11+, předpoklad 1.000m2 při tl. 8cm = 220t Obalovna M-Silnice, Havl. Brod</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220,00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1 685,00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shd w:val="clear" w:color="auto" w:fill="auto"/>
                <w:lang w:val="cs-CZ" w:eastAsia="cs-CZ" w:bidi="cs-CZ"/>
              </w:rPr>
              <w:t>370 700,00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shd w:val="clear" w:color="auto" w:fill="auto"/>
                <w:lang w:val="cs-CZ" w:eastAsia="cs-CZ" w:bidi="cs-CZ"/>
              </w:rPr>
              <w:t>77 847,00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448 547,00</w:t>
            </w:r>
          </w:p>
        </w:tc>
      </w:tr>
      <w:tr>
        <w:trPr>
          <w:trHeight w:val="77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5</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Doprava asf. betonu ACO11+</w:t>
            </w:r>
          </w:p>
          <w:p>
            <w:pPr>
              <w:pStyle w:val="Style13"/>
              <w:keepNext w:val="0"/>
              <w:keepLines w:val="0"/>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cs-CZ" w:eastAsia="cs-CZ" w:bidi="cs-CZ"/>
              </w:rPr>
              <w:t>Doprava ACO11+, předpoklad 6 vozidel á 18,Ot, celkem cca 110t/točka Havl. Brod - Chotěboř</w:t>
            </w:r>
          </w:p>
          <w:p>
            <w:pPr>
              <w:pStyle w:val="Style13"/>
              <w:keepNext w:val="0"/>
              <w:keepLines w:val="0"/>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Komunikace</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rPr>
                <w:sz w:val="15"/>
                <w:szCs w:val="15"/>
              </w:rPr>
            </w:pPr>
            <w:r>
              <w:rPr>
                <w:color w:val="000000"/>
                <w:spacing w:val="0"/>
                <w:w w:val="100"/>
                <w:position w:val="0"/>
                <w:sz w:val="15"/>
                <w:szCs w:val="15"/>
                <w:shd w:val="clear" w:color="auto" w:fill="auto"/>
                <w:lang w:val="cs-CZ" w:eastAsia="cs-CZ" w:bidi="cs-CZ"/>
              </w:rPr>
              <w:t>0,00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280,00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20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0,00</w:t>
            </w:r>
          </w:p>
          <w:p>
            <w:pPr>
              <w:pStyle w:val="Style13"/>
              <w:keepNext w:val="0"/>
              <w:keepLines w:val="0"/>
              <w:widowControl w:val="0"/>
              <w:shd w:val="clear" w:color="auto" w:fill="auto"/>
              <w:bidi w:val="0"/>
              <w:spacing w:before="0" w:after="0" w:line="240" w:lineRule="auto"/>
              <w:ind w:left="0" w:right="0" w:firstLine="460"/>
              <w:jc w:val="left"/>
              <w:rPr>
                <w:sz w:val="15"/>
                <w:szCs w:val="15"/>
              </w:rPr>
            </w:pPr>
            <w:r>
              <w:rPr>
                <w:b/>
                <w:bCs/>
                <w:color w:val="000000"/>
                <w:spacing w:val="0"/>
                <w:w w:val="100"/>
                <w:position w:val="0"/>
                <w:sz w:val="15"/>
                <w:szCs w:val="15"/>
                <w:shd w:val="clear" w:color="auto" w:fill="auto"/>
                <w:lang w:val="cs-CZ" w:eastAsia="cs-CZ" w:bidi="cs-CZ"/>
              </w:rPr>
              <w:t>450 700,00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0,00</w:t>
            </w:r>
          </w:p>
        </w:tc>
      </w:tr>
    </w:tbl>
    <w:p>
      <w:pPr>
        <w:widowControl w:val="0"/>
        <w:spacing w:after="159" w:line="1" w:lineRule="exact"/>
      </w:pPr>
    </w:p>
    <w:p>
      <w:pPr>
        <w:pStyle w:val="Style40"/>
        <w:keepNext w:val="0"/>
        <w:keepLines w:val="0"/>
        <w:widowControl w:val="0"/>
        <w:shd w:val="clear" w:color="auto" w:fill="auto"/>
        <w:tabs>
          <w:tab w:pos="1888" w:val="left"/>
        </w:tabs>
        <w:bidi w:val="0"/>
        <w:spacing w:before="0" w:after="0"/>
        <w:ind w:left="0" w:right="0" w:firstLine="520"/>
        <w:jc w:val="left"/>
      </w:pPr>
      <w:r>
        <w:rPr>
          <w:b/>
          <w:bCs/>
          <w:color w:val="000000"/>
          <w:spacing w:val="0"/>
          <w:w w:val="100"/>
          <w:position w:val="0"/>
          <w:shd w:val="clear" w:color="auto" w:fill="auto"/>
          <w:lang w:val="cs-CZ" w:eastAsia="cs-CZ" w:bidi="cs-CZ"/>
        </w:rPr>
        <w:t>CN obsahuje:</w:t>
        <w:tab/>
        <w:t>V rámci realizace opravy účelových komunikaci bude provedeno:</w:t>
      </w:r>
    </w:p>
    <w:p>
      <w:pPr>
        <w:pStyle w:val="Style40"/>
        <w:keepNext w:val="0"/>
        <w:keepLines w:val="0"/>
        <w:widowControl w:val="0"/>
        <w:shd w:val="clear" w:color="auto" w:fill="auto"/>
        <w:bidi w:val="0"/>
        <w:spacing w:before="0" w:after="0"/>
        <w:ind w:right="0" w:firstLine="0"/>
        <w:jc w:val="both"/>
      </w:pPr>
      <w:r>
        <w:rPr>
          <w:color w:val="000000"/>
          <w:spacing w:val="0"/>
          <w:w w:val="100"/>
          <w:position w:val="0"/>
          <w:u w:val="single"/>
          <w:shd w:val="clear" w:color="auto" w:fill="auto"/>
          <w:lang w:val="cs-CZ" w:eastAsia="cs-CZ" w:bidi="cs-CZ"/>
        </w:rPr>
        <w:t>SOQ1:</w:t>
      </w:r>
    </w:p>
    <w:p>
      <w:pPr>
        <w:pStyle w:val="Style40"/>
        <w:keepNext w:val="0"/>
        <w:keepLines w:val="0"/>
        <w:widowControl w:val="0"/>
        <w:shd w:val="clear" w:color="auto" w:fill="auto"/>
        <w:bidi w:val="0"/>
        <w:spacing w:before="0" w:after="360"/>
        <w:ind w:right="0" w:firstLine="0"/>
        <w:jc w:val="both"/>
      </w:pPr>
      <w:r>
        <w:rPr>
          <w:color w:val="000000"/>
          <w:spacing w:val="0"/>
          <w:w w:val="100"/>
          <w:position w:val="0"/>
          <w:shd w:val="clear" w:color="auto" w:fill="auto"/>
          <w:lang w:val="cs-CZ" w:eastAsia="cs-CZ" w:bidi="cs-CZ"/>
        </w:rPr>
        <w:t>Pronájem finišerové sestavy vč. přetahu finišeru a válce Dodávka asf. betonu ACO11+</w:t>
      </w:r>
    </w:p>
    <w:tbl>
      <w:tblPr>
        <w:tblOverlap w:val="never"/>
        <w:jc w:val="center"/>
        <w:tblLayout w:type="fixed"/>
      </w:tblPr>
      <w:tblGrid>
        <w:gridCol w:w="1291"/>
        <w:gridCol w:w="12744"/>
      </w:tblGrid>
      <w:tr>
        <w:trPr>
          <w:trHeight w:val="70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CN neobsahuje:</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Přechodné dopravní značení</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Laboratorní zkoušky</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Odvodnění komunikace v místech u hasičárny</w:t>
            </w:r>
          </w:p>
        </w:tc>
      </w:tr>
      <w:tr>
        <w:trPr>
          <w:trHeight w:val="408"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Pozn.:</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Fakturováno bude skutečně provedené množství prací dle jednotlových cen.</w:t>
            </w:r>
          </w:p>
        </w:tc>
      </w:tr>
      <w:tr>
        <w:trPr>
          <w:trHeight w:val="466"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Záruka:</w:t>
            </w:r>
          </w:p>
        </w:tc>
        <w:tc>
          <w:tcPr>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5"/>
                <w:szCs w:val="15"/>
              </w:rPr>
            </w:pPr>
            <w:r>
              <w:rPr>
                <w:color w:val="000000"/>
                <w:spacing w:val="0"/>
                <w:w w:val="100"/>
                <w:position w:val="0"/>
                <w:sz w:val="15"/>
                <w:szCs w:val="15"/>
                <w:shd w:val="clear" w:color="auto" w:fill="auto"/>
                <w:lang w:val="cs-CZ" w:eastAsia="cs-CZ" w:bidi="cs-CZ"/>
              </w:rPr>
              <w:t>Záruka na provedené dílo se poskytuje v délce 24-ti měsíců. Záruka se nevztahuje na podkladní vrstvy komunikace resp. na jejich únosnost a na následné vady pokládaných asfaltových vrstev těmito (podkladními) vrstvami způsobené.</w:t>
            </w:r>
          </w:p>
        </w:tc>
      </w:tr>
      <w:tr>
        <w:trPr>
          <w:trHeight w:val="19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Termín:</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01.11.2021</w:t>
            </w:r>
          </w:p>
        </w:tc>
      </w:tr>
    </w:tbl>
    <w:sectPr>
      <w:headerReference w:type="default" r:id="rId11"/>
      <w:footerReference w:type="default" r:id="rId12"/>
      <w:footnotePr>
        <w:pos w:val="pageBottom"/>
        <w:numFmt w:val="decimal"/>
        <w:numRestart w:val="continuous"/>
      </w:footnotePr>
      <w:pgSz w:w="16840" w:h="11900" w:orient="landscape"/>
      <w:pgMar w:top="1487" w:left="907" w:right="1010" w:bottom="1990" w:header="1059" w:footer="156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3385185</wp:posOffset>
              </wp:positionH>
              <wp:positionV relativeFrom="page">
                <wp:posOffset>10201275</wp:posOffset>
              </wp:positionV>
              <wp:extent cx="664210" cy="85090"/>
              <wp:wrapNone/>
              <wp:docPr id="7" name="Shape 7"/>
              <a:graphic xmlns:a="http://schemas.openxmlformats.org/drawingml/2006/main">
                <a:graphicData uri="http://schemas.microsoft.com/office/word/2010/wordprocessingShape">
                  <wps:wsp>
                    <wps:cNvSpPr txBox="1"/>
                    <wps:spPr>
                      <a:xfrm>
                        <a:ext cx="664210" cy="850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3" type="#_x0000_t202" style="position:absolute;margin-left:266.55000000000001pt;margin-top:803.25pt;width:52.299999999999997pt;height:6.7000000000000002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587375</wp:posOffset>
              </wp:positionH>
              <wp:positionV relativeFrom="page">
                <wp:posOffset>9973310</wp:posOffset>
              </wp:positionV>
              <wp:extent cx="6257290" cy="0"/>
              <wp:wrapNone/>
              <wp:docPr id="9" name="Shape 9"/>
              <a:graphic xmlns:a="http://schemas.openxmlformats.org/drawingml/2006/main">
                <a:graphicData uri="http://schemas.microsoft.com/office/word/2010/wordprocessingShape">
                  <wps:wsp>
                    <wps:cNvCnPr/>
                    <wps:spPr>
                      <a:xfrm>
                        <a:ext cx="6257290" cy="0"/>
                      </a:xfrm>
                      <a:prstGeom prst="straightConnector1"/>
                      <a:ln w="12700">
                        <a:solidFill/>
                      </a:ln>
                    </wps:spPr>
                    <wps:bodyPr/>
                  </wps:wsp>
                </a:graphicData>
              </a:graphic>
            </wp:anchor>
          </w:drawing>
        </mc:Choice>
        <mc:Fallback>
          <w:pict>
            <v:shape o:spt="32" o:oned="true" path="m,l21600,21600e" style="position:absolute;margin-left:46.25pt;margin-top:785.29999999999995pt;width:492.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3391535</wp:posOffset>
              </wp:positionH>
              <wp:positionV relativeFrom="page">
                <wp:posOffset>9988550</wp:posOffset>
              </wp:positionV>
              <wp:extent cx="664210" cy="85090"/>
              <wp:wrapNone/>
              <wp:docPr id="10" name="Shape 10"/>
              <a:graphic xmlns:a="http://schemas.openxmlformats.org/drawingml/2006/main">
                <a:graphicData uri="http://schemas.microsoft.com/office/word/2010/wordprocessingShape">
                  <wps:wsp>
                    <wps:cNvSpPr txBox="1"/>
                    <wps:spPr>
                      <a:xfrm>
                        <a:ext cx="664210" cy="850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6" type="#_x0000_t202" style="position:absolute;margin-left:267.05000000000001pt;margin-top:786.5pt;width:52.299999999999997pt;height:6.7000000000000002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599440</wp:posOffset>
              </wp:positionH>
              <wp:positionV relativeFrom="page">
                <wp:posOffset>9948545</wp:posOffset>
              </wp:positionV>
              <wp:extent cx="6245225" cy="0"/>
              <wp:wrapNone/>
              <wp:docPr id="12" name="Shape 12"/>
              <a:graphic xmlns:a="http://schemas.openxmlformats.org/drawingml/2006/main">
                <a:graphicData uri="http://schemas.microsoft.com/office/word/2010/wordprocessingShape">
                  <wps:wsp>
                    <wps:cNvCnPr/>
                    <wps:spPr>
                      <a:xfrm>
                        <a:ext cx="6245225" cy="0"/>
                      </a:xfrm>
                      <a:prstGeom prst="straightConnector1"/>
                      <a:ln w="12700">
                        <a:solidFill/>
                      </a:ln>
                    </wps:spPr>
                    <wps:bodyPr/>
                  </wps:wsp>
                </a:graphicData>
              </a:graphic>
            </wp:anchor>
          </w:drawing>
        </mc:Choice>
        <mc:Fallback>
          <w:pict>
            <v:shape o:spt="32" o:oned="true" path="m,l21600,21600e" style="position:absolute;margin-left:47.200000000000003pt;margin-top:783.35000000000002pt;width:491.7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608330</wp:posOffset>
              </wp:positionH>
              <wp:positionV relativeFrom="page">
                <wp:posOffset>361950</wp:posOffset>
              </wp:positionV>
              <wp:extent cx="1642745" cy="128270"/>
              <wp:wrapNone/>
              <wp:docPr id="1" name="Shape 1"/>
              <a:graphic xmlns:a="http://schemas.openxmlformats.org/drawingml/2006/main">
                <a:graphicData uri="http://schemas.microsoft.com/office/word/2010/wordprocessingShape">
                  <wps:wsp>
                    <wps:cNvSpPr txBox="1"/>
                    <wps:spPr>
                      <a:xfrm>
                        <a:ext cx="1642745" cy="1282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899999999999999pt;margin-top:28.5pt;width:129.34999999999999pt;height:1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1626235</wp:posOffset>
              </wp:positionH>
              <wp:positionV relativeFrom="page">
                <wp:posOffset>539115</wp:posOffset>
              </wp:positionV>
              <wp:extent cx="624840" cy="194945"/>
              <wp:wrapNone/>
              <wp:docPr id="3" name="Shape 3"/>
              <a:graphic xmlns:a="http://schemas.openxmlformats.org/drawingml/2006/main">
                <a:graphicData uri="http://schemas.microsoft.com/office/word/2010/wordprocessingShape">
                  <wps:wsp>
                    <wps:cNvSpPr txBox="1"/>
                    <wps:spPr>
                      <a:xfrm>
                        <a:ext cx="624840" cy="194945"/>
                      </a:xfrm>
                      <a:prstGeom prst="rect"/>
                      <a:noFill/>
                    </wps:spPr>
                    <wps:txbx>
                      <w:txbxContent>
                        <w:p>
                          <w:pPr>
                            <w:widowControl w:val="0"/>
                            <w:rPr>
                              <w:sz w:val="2"/>
                              <w:szCs w:val="2"/>
                            </w:rPr>
                          </w:pPr>
                          <w:r>
                            <w:drawing>
                              <wp:inline>
                                <wp:extent cx="628015" cy="19494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628015" cy="194945"/>
                                        </a:xfrm>
                                        <a:prstGeom prst="rect"/>
                                      </pic:spPr>
                                    </pic:pic>
                                  </a:graphicData>
                                </a:graphic>
                              </wp:inline>
                            </w:drawing>
                          </w:r>
                        </w:p>
                      </w:txbxContent>
                    </wps:txbx>
                    <wps:bodyPr lIns="0" tIns="0" rIns="0" bIns="0">
                      <a:noAutoFit/>
                    </wps:bodyPr>
                  </wps:wsp>
                </a:graphicData>
              </a:graphic>
            </wp:anchor>
          </w:drawing>
        </mc:Choice>
        <mc:Fallback>
          <w:pict>
            <v:shape id="_x0000_s1030" type="#_x0000_t202" style="position:absolute;margin-left:128.05000000000001pt;margin-top:42.450000000000003pt;width:49.200000000000003pt;height:15.35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628015" cy="19494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628015" cy="194945"/>
                                  </a:xfrm>
                                  <a:prstGeom prst="rect"/>
                                </pic:spPr>
                              </pic:pic>
                            </a:graphicData>
                          </a:graphic>
                        </wp:inline>
                      </w:drawing>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6.7.%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8"/>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Verdana" w:eastAsia="Verdana" w:hAnsi="Verdana" w:cs="Verdana"/>
      <w:b/>
      <w:bCs/>
      <w:i/>
      <w:iCs/>
      <w:smallCaps w:val="0"/>
      <w:strike w:val="0"/>
      <w:sz w:val="12"/>
      <w:szCs w:val="12"/>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Nadpis #3_"/>
    <w:basedOn w:val="DefaultParagraphFont"/>
    <w:link w:val="Style9"/>
    <w:rPr>
      <w:rFonts w:ascii="Arial" w:eastAsia="Arial" w:hAnsi="Arial" w:cs="Arial"/>
      <w:b/>
      <w:bCs/>
      <w:i w:val="0"/>
      <w:iCs w:val="0"/>
      <w:smallCaps w:val="0"/>
      <w:strike w:val="0"/>
      <w:sz w:val="19"/>
      <w:szCs w:val="19"/>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9"/>
      <w:szCs w:val="19"/>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Titulek tabulky_"/>
    <w:basedOn w:val="DefaultParagraphFont"/>
    <w:link w:val="Style16"/>
    <w:rPr>
      <w:rFonts w:ascii="Arial" w:eastAsia="Arial" w:hAnsi="Arial" w:cs="Arial"/>
      <w:b w:val="0"/>
      <w:bCs w:val="0"/>
      <w:i w:val="0"/>
      <w:iCs w:val="0"/>
      <w:smallCaps w:val="0"/>
      <w:strike w:val="0"/>
      <w:sz w:val="19"/>
      <w:szCs w:val="19"/>
      <w:u w:val="none"/>
    </w:rPr>
  </w:style>
  <w:style w:type="character" w:customStyle="1" w:styleId="CharStyle20">
    <w:name w:val="Základní text (4)_"/>
    <w:basedOn w:val="DefaultParagraphFont"/>
    <w:link w:val="Style19"/>
    <w:rPr>
      <w:rFonts w:ascii="Verdana" w:eastAsia="Verdana" w:hAnsi="Verdana" w:cs="Verdana"/>
      <w:b/>
      <w:bCs/>
      <w:i/>
      <w:iCs/>
      <w:smallCaps w:val="0"/>
      <w:strike w:val="0"/>
      <w:sz w:val="19"/>
      <w:szCs w:val="19"/>
      <w:u w:val="none"/>
    </w:rPr>
  </w:style>
  <w:style w:type="character" w:customStyle="1" w:styleId="CharStyle23">
    <w:name w:val="Nadpis #2_"/>
    <w:basedOn w:val="DefaultParagraphFont"/>
    <w:link w:val="Style22"/>
    <w:rPr>
      <w:rFonts w:ascii="Verdana" w:eastAsia="Verdana" w:hAnsi="Verdana" w:cs="Verdana"/>
      <w:b/>
      <w:bCs/>
      <w:i/>
      <w:iCs/>
      <w:smallCaps w:val="0"/>
      <w:strike w:val="0"/>
      <w:sz w:val="22"/>
      <w:szCs w:val="22"/>
      <w:u w:val="none"/>
    </w:rPr>
  </w:style>
  <w:style w:type="character" w:customStyle="1" w:styleId="CharStyle25">
    <w:name w:val="Základní text (5)_"/>
    <w:basedOn w:val="DefaultParagraphFont"/>
    <w:link w:val="Style24"/>
    <w:rPr>
      <w:rFonts w:ascii="Verdana" w:eastAsia="Verdana" w:hAnsi="Verdana" w:cs="Verdana"/>
      <w:b/>
      <w:bCs/>
      <w:i/>
      <w:iCs/>
      <w:smallCaps w:val="0"/>
      <w:strike w:val="0"/>
      <w:sz w:val="14"/>
      <w:szCs w:val="14"/>
      <w:u w:val="none"/>
    </w:rPr>
  </w:style>
  <w:style w:type="character" w:customStyle="1" w:styleId="CharStyle27">
    <w:name w:val="Nadpis #1_"/>
    <w:basedOn w:val="DefaultParagraphFont"/>
    <w:link w:val="Style26"/>
    <w:rPr>
      <w:rFonts w:ascii="Calibri" w:eastAsia="Calibri" w:hAnsi="Calibri" w:cs="Calibri"/>
      <w:b w:val="0"/>
      <w:bCs w:val="0"/>
      <w:i/>
      <w:iCs/>
      <w:smallCaps w:val="0"/>
      <w:strike w:val="0"/>
      <w:sz w:val="26"/>
      <w:szCs w:val="26"/>
      <w:u w:val="none"/>
    </w:rPr>
  </w:style>
  <w:style w:type="character" w:customStyle="1" w:styleId="CharStyle41">
    <w:name w:val="Základní text (3)_"/>
    <w:basedOn w:val="DefaultParagraphFont"/>
    <w:link w:val="Style40"/>
    <w:rPr>
      <w:rFonts w:ascii="Arial" w:eastAsia="Arial" w:hAnsi="Arial" w:cs="Arial"/>
      <w:b w:val="0"/>
      <w:bCs w:val="0"/>
      <w:i w:val="0"/>
      <w:iCs w:val="0"/>
      <w:smallCaps w:val="0"/>
      <w:strike w:val="0"/>
      <w:sz w:val="15"/>
      <w:szCs w:val="15"/>
      <w:u w:val="none"/>
    </w:rPr>
  </w:style>
  <w:style w:type="paragraph" w:customStyle="1" w:styleId="Style2">
    <w:name w:val="Základní text (2)"/>
    <w:basedOn w:val="Normal"/>
    <w:link w:val="CharStyle3"/>
    <w:pPr>
      <w:widowControl w:val="0"/>
      <w:shd w:val="clear" w:color="auto" w:fill="FFFFFF"/>
      <w:spacing w:after="220" w:line="226" w:lineRule="auto"/>
    </w:pPr>
    <w:rPr>
      <w:rFonts w:ascii="Verdana" w:eastAsia="Verdana" w:hAnsi="Verdana" w:cs="Verdana"/>
      <w:b/>
      <w:bCs/>
      <w:i/>
      <w:iCs/>
      <w:smallCaps w:val="0"/>
      <w:strike w:val="0"/>
      <w:sz w:val="12"/>
      <w:szCs w:val="12"/>
      <w:u w:val="none"/>
    </w:rPr>
  </w:style>
  <w:style w:type="paragraph" w:customStyle="1" w:styleId="Style5">
    <w:name w:val="Záhlaví nebo zápatí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Nadpis #3"/>
    <w:basedOn w:val="Normal"/>
    <w:link w:val="CharStyle10"/>
    <w:pPr>
      <w:widowControl w:val="0"/>
      <w:shd w:val="clear" w:color="auto" w:fill="FFFFFF"/>
      <w:spacing w:after="220" w:line="252" w:lineRule="auto"/>
      <w:jc w:val="center"/>
      <w:outlineLvl w:val="2"/>
    </w:pPr>
    <w:rPr>
      <w:rFonts w:ascii="Arial" w:eastAsia="Arial" w:hAnsi="Arial" w:cs="Arial"/>
      <w:b/>
      <w:bCs/>
      <w:i w:val="0"/>
      <w:iCs w:val="0"/>
      <w:smallCaps w:val="0"/>
      <w:strike w:val="0"/>
      <w:sz w:val="19"/>
      <w:szCs w:val="19"/>
      <w:u w:val="none"/>
    </w:rPr>
  </w:style>
  <w:style w:type="paragraph" w:customStyle="1" w:styleId="Style11">
    <w:name w:val="Základní text"/>
    <w:basedOn w:val="Normal"/>
    <w:link w:val="CharStyle12"/>
    <w:pPr>
      <w:widowControl w:val="0"/>
      <w:shd w:val="clear" w:color="auto" w:fill="FFFFFF"/>
      <w:spacing w:after="220" w:line="252" w:lineRule="auto"/>
    </w:pPr>
    <w:rPr>
      <w:rFonts w:ascii="Arial" w:eastAsia="Arial" w:hAnsi="Arial" w:cs="Arial"/>
      <w:b w:val="0"/>
      <w:bCs w:val="0"/>
      <w:i w:val="0"/>
      <w:iCs w:val="0"/>
      <w:smallCaps w:val="0"/>
      <w:strike w:val="0"/>
      <w:sz w:val="19"/>
      <w:szCs w:val="19"/>
      <w:u w:val="none"/>
    </w:rPr>
  </w:style>
  <w:style w:type="paragraph" w:customStyle="1" w:styleId="Style13">
    <w:name w:val="Jiné"/>
    <w:basedOn w:val="Normal"/>
    <w:link w:val="CharStyle14"/>
    <w:pPr>
      <w:widowControl w:val="0"/>
      <w:shd w:val="clear" w:color="auto" w:fill="FFFFFF"/>
      <w:spacing w:after="220" w:line="252" w:lineRule="auto"/>
    </w:pPr>
    <w:rPr>
      <w:rFonts w:ascii="Arial" w:eastAsia="Arial" w:hAnsi="Arial" w:cs="Arial"/>
      <w:b w:val="0"/>
      <w:bCs w:val="0"/>
      <w:i w:val="0"/>
      <w:iCs w:val="0"/>
      <w:smallCaps w:val="0"/>
      <w:strike w:val="0"/>
      <w:sz w:val="19"/>
      <w:szCs w:val="19"/>
      <w:u w:val="none"/>
    </w:rPr>
  </w:style>
  <w:style w:type="paragraph" w:customStyle="1" w:styleId="Style16">
    <w:name w:val="Titulek tabulky"/>
    <w:basedOn w:val="Normal"/>
    <w:link w:val="CharStyle17"/>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9">
    <w:name w:val="Základní text (4)"/>
    <w:basedOn w:val="Normal"/>
    <w:link w:val="CharStyle20"/>
    <w:pPr>
      <w:widowControl w:val="0"/>
      <w:shd w:val="clear" w:color="auto" w:fill="FFFFFF"/>
      <w:spacing w:line="233" w:lineRule="auto"/>
    </w:pPr>
    <w:rPr>
      <w:rFonts w:ascii="Verdana" w:eastAsia="Verdana" w:hAnsi="Verdana" w:cs="Verdana"/>
      <w:b/>
      <w:bCs/>
      <w:i/>
      <w:iCs/>
      <w:smallCaps w:val="0"/>
      <w:strike w:val="0"/>
      <w:sz w:val="19"/>
      <w:szCs w:val="19"/>
      <w:u w:val="none"/>
    </w:rPr>
  </w:style>
  <w:style w:type="paragraph" w:customStyle="1" w:styleId="Style22">
    <w:name w:val="Nadpis #2"/>
    <w:basedOn w:val="Normal"/>
    <w:link w:val="CharStyle23"/>
    <w:pPr>
      <w:widowControl w:val="0"/>
      <w:shd w:val="clear" w:color="auto" w:fill="FFFFFF"/>
      <w:spacing w:line="226" w:lineRule="auto"/>
      <w:outlineLvl w:val="1"/>
    </w:pPr>
    <w:rPr>
      <w:rFonts w:ascii="Verdana" w:eastAsia="Verdana" w:hAnsi="Verdana" w:cs="Verdana"/>
      <w:b/>
      <w:bCs/>
      <w:i/>
      <w:iCs/>
      <w:smallCaps w:val="0"/>
      <w:strike w:val="0"/>
      <w:sz w:val="22"/>
      <w:szCs w:val="22"/>
      <w:u w:val="none"/>
    </w:rPr>
  </w:style>
  <w:style w:type="paragraph" w:customStyle="1" w:styleId="Style24">
    <w:name w:val="Základní text (5)"/>
    <w:basedOn w:val="Normal"/>
    <w:link w:val="CharStyle25"/>
    <w:pPr>
      <w:widowControl w:val="0"/>
      <w:shd w:val="clear" w:color="auto" w:fill="FFFFFF"/>
      <w:spacing w:line="211" w:lineRule="auto"/>
    </w:pPr>
    <w:rPr>
      <w:rFonts w:ascii="Verdana" w:eastAsia="Verdana" w:hAnsi="Verdana" w:cs="Verdana"/>
      <w:b/>
      <w:bCs/>
      <w:i/>
      <w:iCs/>
      <w:smallCaps w:val="0"/>
      <w:strike w:val="0"/>
      <w:sz w:val="14"/>
      <w:szCs w:val="14"/>
      <w:u w:val="none"/>
    </w:rPr>
  </w:style>
  <w:style w:type="paragraph" w:customStyle="1" w:styleId="Style26">
    <w:name w:val="Nadpis #1"/>
    <w:basedOn w:val="Normal"/>
    <w:link w:val="CharStyle27"/>
    <w:pPr>
      <w:widowControl w:val="0"/>
      <w:shd w:val="clear" w:color="auto" w:fill="FFFFFF"/>
      <w:spacing w:after="120"/>
      <w:jc w:val="center"/>
      <w:outlineLvl w:val="0"/>
    </w:pPr>
    <w:rPr>
      <w:rFonts w:ascii="Calibri" w:eastAsia="Calibri" w:hAnsi="Calibri" w:cs="Calibri"/>
      <w:b w:val="0"/>
      <w:bCs w:val="0"/>
      <w:i/>
      <w:iCs/>
      <w:smallCaps w:val="0"/>
      <w:strike w:val="0"/>
      <w:sz w:val="26"/>
      <w:szCs w:val="26"/>
      <w:u w:val="none"/>
    </w:rPr>
  </w:style>
  <w:style w:type="paragraph" w:customStyle="1" w:styleId="Style40">
    <w:name w:val="Základní text (3)"/>
    <w:basedOn w:val="Normal"/>
    <w:link w:val="CharStyle41"/>
    <w:pPr>
      <w:widowControl w:val="0"/>
      <w:shd w:val="clear" w:color="auto" w:fill="FFFFFF"/>
      <w:spacing w:after="180" w:line="266" w:lineRule="auto"/>
      <w:ind w:left="1920"/>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header" Target="header3.xml"/><Relationship Id="rId12" Type="http://schemas.openxmlformats.org/officeDocument/2006/relationships/footer" Target="footer3.xm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