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5C7B2D62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23164">
        <w:t xml:space="preserve">   </w:t>
      </w:r>
      <w:r w:rsidR="00823164">
        <w:rPr>
          <w:color w:val="0070C0"/>
        </w:rPr>
        <w:t>Josef Vágner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41AE8096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23164">
        <w:rPr>
          <w:color w:val="0070C0"/>
        </w:rPr>
        <w:t xml:space="preserve">              Vánoční koncert </w:t>
      </w:r>
      <w:r>
        <w:rPr>
          <w:color w:val="0070C0"/>
        </w:rPr>
        <w:t xml:space="preserve"> </w:t>
      </w:r>
    </w:p>
    <w:p w14:paraId="3D1B0A9E" w14:textId="08CEE2D8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  <w:r w:rsidR="006F6CE8">
        <w:rPr>
          <w:color w:val="0070C0"/>
        </w:rPr>
        <w:t>“</w:t>
      </w:r>
      <w:r w:rsidR="00823164">
        <w:rPr>
          <w:color w:val="0070C0"/>
        </w:rPr>
        <w:t>Muzikály naruby</w:t>
      </w:r>
      <w:r w:rsidR="006F6CE8">
        <w:rPr>
          <w:color w:val="0070C0"/>
        </w:rPr>
        <w:t>“</w:t>
      </w:r>
      <w:r w:rsidR="00300632">
        <w:rPr>
          <w:color w:val="0070C0"/>
        </w:rPr>
        <w:t xml:space="preserve">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50A84742" w:rsidR="00300632" w:rsidRPr="00300632" w:rsidRDefault="00823164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Josef Vágner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6F6CE8"/>
    <w:rsid w:val="00823164"/>
    <w:rsid w:val="00A45F72"/>
    <w:rsid w:val="00B97840"/>
    <w:rsid w:val="00CC78DF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2020-03-20T11:15:00Z</dcterms:created>
  <dcterms:modified xsi:type="dcterms:W3CDTF">2021-10-25T09:12:00Z</dcterms:modified>
</cp:coreProperties>
</file>