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3138" w14:textId="77777777" w:rsidR="00DB133C" w:rsidRDefault="007019DB">
      <w:pPr>
        <w:pStyle w:val="Heading10"/>
        <w:framePr w:wrap="none" w:vAnchor="page" w:hAnchor="page" w:x="1530" w:y="1643"/>
        <w:shd w:val="clear" w:color="auto" w:fill="auto"/>
        <w:spacing w:after="0"/>
      </w:pPr>
      <w:bookmarkStart w:id="0" w:name="bookmark0"/>
      <w:r>
        <w:t>SMLOUVA O PODNÁJMU NEBYTOVÝCH PROSTOR</w:t>
      </w:r>
      <w:bookmarkEnd w:id="0"/>
    </w:p>
    <w:p w14:paraId="660F3139" w14:textId="5D6BAF82" w:rsidR="00DB133C" w:rsidRDefault="007019DB">
      <w:pPr>
        <w:pStyle w:val="Heading10"/>
        <w:framePr w:w="8803" w:h="5001" w:hRule="exact" w:wrap="none" w:vAnchor="page" w:hAnchor="page" w:x="1530" w:y="2137"/>
        <w:shd w:val="clear" w:color="auto" w:fill="auto"/>
        <w:spacing w:after="0" w:line="254" w:lineRule="exact"/>
      </w:pPr>
      <w:bookmarkStart w:id="1" w:name="bookmark1"/>
      <w:r>
        <w:t>Hudební divadlo v Karl</w:t>
      </w:r>
      <w:r w:rsidR="00C150FA">
        <w:t>í</w:t>
      </w:r>
      <w:r>
        <w:t>ně p.o.</w:t>
      </w:r>
      <w:bookmarkEnd w:id="1"/>
    </w:p>
    <w:p w14:paraId="660F313A" w14:textId="2B7F43D3" w:rsidR="00DB133C" w:rsidRDefault="007019DB">
      <w:pPr>
        <w:pStyle w:val="Bodytext20"/>
        <w:framePr w:w="8803" w:h="5001" w:hRule="exact" w:wrap="none" w:vAnchor="page" w:hAnchor="page" w:x="1530" w:y="2137"/>
        <w:shd w:val="clear" w:color="auto" w:fill="auto"/>
        <w:spacing w:after="334"/>
        <w:ind w:right="980"/>
      </w:pPr>
      <w:r>
        <w:t xml:space="preserve">se sídlem Křižíkova 10, 186 00 Praha 8 - Karlín                                                                                    jednající panem Egonem Kulhánkem, ředitelem HDK                                                                                   IČ: 00064335, DIČ: CZ00064335                                                                                                                  bankovní spojení: KB, a.s., č.ú.: </w:t>
      </w:r>
      <w:r w:rsidR="00FD5D58">
        <w:t>xxxxxxxxxxxxx</w:t>
      </w:r>
      <w:r>
        <w:t xml:space="preserve">                                                                                  (dále jen „divadlo")</w:t>
      </w:r>
    </w:p>
    <w:p w14:paraId="660F313B" w14:textId="77777777" w:rsidR="00DB133C" w:rsidRDefault="007019DB">
      <w:pPr>
        <w:pStyle w:val="Bodytext20"/>
        <w:framePr w:w="8803" w:h="5001" w:hRule="exact" w:wrap="none" w:vAnchor="page" w:hAnchor="page" w:x="1530" w:y="2137"/>
        <w:shd w:val="clear" w:color="auto" w:fill="auto"/>
        <w:spacing w:after="266" w:line="212" w:lineRule="exact"/>
      </w:pPr>
      <w:r>
        <w:t>a</w:t>
      </w:r>
    </w:p>
    <w:p w14:paraId="660F313C" w14:textId="77777777" w:rsidR="00DB133C" w:rsidRDefault="007019DB">
      <w:pPr>
        <w:pStyle w:val="Heading10"/>
        <w:framePr w:w="8803" w:h="5001" w:hRule="exact" w:wrap="none" w:vAnchor="page" w:hAnchor="page" w:x="1530" w:y="2137"/>
        <w:shd w:val="clear" w:color="auto" w:fill="auto"/>
        <w:spacing w:after="0" w:line="254" w:lineRule="exact"/>
      </w:pPr>
      <w:bookmarkStart w:id="2" w:name="bookmark2"/>
      <w:r>
        <w:t>Musica Bohemica, s.r.o.</w:t>
      </w:r>
      <w:bookmarkEnd w:id="2"/>
    </w:p>
    <w:p w14:paraId="660F313D" w14:textId="77777777" w:rsidR="00DB133C" w:rsidRDefault="007019DB">
      <w:pPr>
        <w:pStyle w:val="Bodytext20"/>
        <w:framePr w:w="8803" w:h="5001" w:hRule="exact" w:wrap="none" w:vAnchor="page" w:hAnchor="page" w:x="1530" w:y="2137"/>
        <w:shd w:val="clear" w:color="auto" w:fill="auto"/>
        <w:spacing w:after="0"/>
      </w:pPr>
      <w:r>
        <w:t>se sídlem Londýnská 674/55, 120 00 Praha 2</w:t>
      </w:r>
    </w:p>
    <w:p w14:paraId="660F313E" w14:textId="77777777" w:rsidR="00DB133C" w:rsidRDefault="007019DB">
      <w:pPr>
        <w:pStyle w:val="Bodytext20"/>
        <w:framePr w:w="8803" w:h="5001" w:hRule="exact" w:wrap="none" w:vAnchor="page" w:hAnchor="page" w:x="1530" w:y="2137"/>
        <w:shd w:val="clear" w:color="auto" w:fill="auto"/>
        <w:spacing w:after="0"/>
      </w:pPr>
      <w:r>
        <w:t>zapsaná v obchodním rejstříku vedeném Městským soudem v Praze, oddíl C., vložka 52702</w:t>
      </w:r>
    </w:p>
    <w:p w14:paraId="660F313F" w14:textId="77777777" w:rsidR="00DB133C" w:rsidRDefault="007019DB">
      <w:pPr>
        <w:pStyle w:val="Bodytext20"/>
        <w:framePr w:w="8803" w:h="5001" w:hRule="exact" w:wrap="none" w:vAnchor="page" w:hAnchor="page" w:x="1530" w:y="2137"/>
        <w:shd w:val="clear" w:color="auto" w:fill="auto"/>
        <w:spacing w:after="0"/>
      </w:pPr>
      <w:r>
        <w:t>IČO: 25136330, DIČ: CZ 25136330</w:t>
      </w:r>
    </w:p>
    <w:p w14:paraId="660F3140" w14:textId="77777777" w:rsidR="00DB133C" w:rsidRDefault="007019DB">
      <w:pPr>
        <w:pStyle w:val="Bodytext20"/>
        <w:framePr w:w="8803" w:h="5001" w:hRule="exact" w:wrap="none" w:vAnchor="page" w:hAnchor="page" w:x="1530" w:y="2137"/>
        <w:shd w:val="clear" w:color="auto" w:fill="auto"/>
        <w:spacing w:after="0"/>
      </w:pPr>
      <w:r>
        <w:t>zastoupená Daniel Severa, na základě plné moci</w:t>
      </w:r>
    </w:p>
    <w:p w14:paraId="660F3141" w14:textId="77777777" w:rsidR="00DB133C" w:rsidRDefault="007019DB">
      <w:pPr>
        <w:pStyle w:val="Bodytext20"/>
        <w:framePr w:w="8803" w:h="5001" w:hRule="exact" w:wrap="none" w:vAnchor="page" w:hAnchor="page" w:x="1530" w:y="2137"/>
        <w:shd w:val="clear" w:color="auto" w:fill="auto"/>
        <w:spacing w:after="0" w:line="514" w:lineRule="exact"/>
      </w:pPr>
      <w:r>
        <w:t>(dále jen „společnost")</w:t>
      </w:r>
    </w:p>
    <w:p w14:paraId="660F3142" w14:textId="77777777" w:rsidR="00DB133C" w:rsidRDefault="007019DB">
      <w:pPr>
        <w:pStyle w:val="Bodytext20"/>
        <w:framePr w:w="8803" w:h="5001" w:hRule="exact" w:wrap="none" w:vAnchor="page" w:hAnchor="page" w:x="1530" w:y="2137"/>
        <w:shd w:val="clear" w:color="auto" w:fill="auto"/>
        <w:spacing w:after="0" w:line="514" w:lineRule="exact"/>
        <w:ind w:right="980"/>
      </w:pPr>
      <w:r>
        <w:t>uzavřely níže uvedeného dne, měsíce a roku tuto smlouvy o podnájmu nebytových prostor:</w:t>
      </w:r>
    </w:p>
    <w:p w14:paraId="660F3143" w14:textId="77777777" w:rsidR="00DB133C" w:rsidRDefault="007019DB">
      <w:pPr>
        <w:pStyle w:val="Heading10"/>
        <w:framePr w:w="8803" w:h="1288" w:hRule="exact" w:wrap="none" w:vAnchor="page" w:hAnchor="page" w:x="1530" w:y="7520"/>
        <w:shd w:val="clear" w:color="auto" w:fill="auto"/>
        <w:spacing w:after="249"/>
        <w:jc w:val="center"/>
      </w:pPr>
      <w:bookmarkStart w:id="3" w:name="bookmark3"/>
      <w:r>
        <w:t>Preambule</w:t>
      </w:r>
      <w:bookmarkEnd w:id="3"/>
    </w:p>
    <w:p w14:paraId="660F3144" w14:textId="7E4E9F2C" w:rsidR="00DB133C" w:rsidRDefault="007019DB">
      <w:pPr>
        <w:pStyle w:val="Bodytext20"/>
        <w:framePr w:w="8803" w:h="1288" w:hRule="exact" w:wrap="none" w:vAnchor="page" w:hAnchor="page" w:x="1530" w:y="7520"/>
        <w:shd w:val="clear" w:color="auto" w:fill="auto"/>
        <w:spacing w:after="0"/>
        <w:jc w:val="both"/>
      </w:pPr>
      <w:r>
        <w:t>Divadlo je oprávněno přenechat společnosti nebytové prostory uvedené níže do užívání na základě "Nájemní smlouvy č. NAN/58//01/009617/2006" ze dne 9.10.2006 uzavřené mezi Hlavním městem Praha a Hudebním divadlem v Karlíně, p.o.</w:t>
      </w:r>
    </w:p>
    <w:p w14:paraId="660F3145" w14:textId="77777777" w:rsidR="00DB133C" w:rsidRDefault="007019DB">
      <w:pPr>
        <w:pStyle w:val="Heading10"/>
        <w:framePr w:w="8803" w:h="5178" w:hRule="exact" w:wrap="none" w:vAnchor="page" w:hAnchor="page" w:x="1530" w:y="9290"/>
        <w:shd w:val="clear" w:color="auto" w:fill="auto"/>
        <w:spacing w:after="0"/>
        <w:jc w:val="center"/>
      </w:pPr>
      <w:bookmarkStart w:id="4" w:name="bookmark4"/>
      <w:r>
        <w:t>ČI. I.</w:t>
      </w:r>
      <w:bookmarkEnd w:id="4"/>
    </w:p>
    <w:p w14:paraId="660F3146" w14:textId="77777777" w:rsidR="00DB133C" w:rsidRDefault="007019DB">
      <w:pPr>
        <w:pStyle w:val="Heading10"/>
        <w:framePr w:w="8803" w:h="5178" w:hRule="exact" w:wrap="none" w:vAnchor="page" w:hAnchor="page" w:x="1530" w:y="9290"/>
        <w:shd w:val="clear" w:color="auto" w:fill="auto"/>
        <w:spacing w:after="249"/>
        <w:jc w:val="center"/>
      </w:pPr>
      <w:bookmarkStart w:id="5" w:name="bookmark5"/>
      <w:r>
        <w:t>Předmět smlouvy</w:t>
      </w:r>
      <w:bookmarkEnd w:id="5"/>
    </w:p>
    <w:p w14:paraId="660F3147" w14:textId="77777777" w:rsidR="00DB133C" w:rsidRDefault="007019DB">
      <w:pPr>
        <w:pStyle w:val="Bodytext20"/>
        <w:framePr w:w="8803" w:h="5178" w:hRule="exact" w:wrap="none" w:vAnchor="page" w:hAnchor="page" w:x="1530" w:y="9290"/>
        <w:numPr>
          <w:ilvl w:val="0"/>
          <w:numId w:val="1"/>
        </w:numPr>
        <w:shd w:val="clear" w:color="auto" w:fill="auto"/>
        <w:tabs>
          <w:tab w:val="left" w:pos="694"/>
        </w:tabs>
        <w:jc w:val="both"/>
      </w:pPr>
      <w:r>
        <w:t>Divadlo touto podnájemní smlouvou přenechává společnosti do užívání nebytové prostory divadla - jeviště a jeho zázemí včetně technického vybavení, hlediště a jeho zázemí (včetně toalet), šatny pro účinkující, realizační štáb i diváky, provozní místnosti, maskérnu, garderobiernu, zkušebny, foyer, baletní sál, technické schodiště, prostory v 1. patře, apod. - za účelem uspořádání přímého televizního a rozhlasového přenosu slavnostního vyhlášení výsledků ankety Český Slavík 21 a následného společenského setkání s vítězi ankety (dále jen „akce"). Seznam pronajímaných místností a časový harmonogram akce je Přílohou č. 1 smlouvy.</w:t>
      </w:r>
    </w:p>
    <w:p w14:paraId="660F3148" w14:textId="77777777" w:rsidR="00DB133C" w:rsidRDefault="007019DB">
      <w:pPr>
        <w:pStyle w:val="Bodytext20"/>
        <w:framePr w:w="8803" w:h="5178" w:hRule="exact" w:wrap="none" w:vAnchor="page" w:hAnchor="page" w:x="1530" w:y="9290"/>
        <w:numPr>
          <w:ilvl w:val="0"/>
          <w:numId w:val="1"/>
        </w:numPr>
        <w:shd w:val="clear" w:color="auto" w:fill="auto"/>
        <w:tabs>
          <w:tab w:val="left" w:pos="694"/>
        </w:tabs>
        <w:jc w:val="both"/>
      </w:pPr>
      <w:r>
        <w:t>Doba podnájmu se sjednává na dobu určitou, a to konkrétně v termínu od 16/11 2021 23:00 hod. do 20/11, 06:00 hod.</w:t>
      </w:r>
    </w:p>
    <w:p w14:paraId="660F3149" w14:textId="77777777" w:rsidR="00DB133C" w:rsidRDefault="007019DB">
      <w:pPr>
        <w:pStyle w:val="Bodytext20"/>
        <w:framePr w:w="8803" w:h="5178" w:hRule="exact" w:wrap="none" w:vAnchor="page" w:hAnchor="page" w:x="1530" w:y="9290"/>
        <w:numPr>
          <w:ilvl w:val="0"/>
          <w:numId w:val="1"/>
        </w:numPr>
        <w:shd w:val="clear" w:color="auto" w:fill="auto"/>
        <w:tabs>
          <w:tab w:val="left" w:pos="694"/>
        </w:tabs>
        <w:spacing w:after="0"/>
        <w:jc w:val="both"/>
      </w:pPr>
      <w:r>
        <w:t>Prostory a technická zařízení uvedená v čl. I odst. 1 budou společnosti v řádném stavu předány dne 16/11 2021 ve 23:00, a to na základě předávacího protokolu. Společnost se touto smlouvou zavazuje pronajaté prostory vyklidit a předat zpět divadlu nejpozději dne 20/11 2021 do 06:00. Ke zpětnému předání prostor a technických zařízení dojde na základě předávacího protokolu, který bude podepsán dne 20/11 2021. Bez podpisu předávacího protokolu oběma smluvními stranami nebude společnosti umožněn vstup do prostor divadla. Předávací protokol je přílohou č. 2 smlouvy.</w:t>
      </w:r>
    </w:p>
    <w:p w14:paraId="660F314A" w14:textId="77777777" w:rsidR="00DB133C" w:rsidRDefault="007019DB">
      <w:pPr>
        <w:pStyle w:val="Headerorfooter0"/>
        <w:framePr w:wrap="none" w:vAnchor="page" w:hAnchor="page" w:x="10170" w:y="15518"/>
        <w:shd w:val="clear" w:color="auto" w:fill="auto"/>
      </w:pPr>
      <w:r>
        <w:t>1</w:t>
      </w:r>
    </w:p>
    <w:p w14:paraId="660F314B" w14:textId="77777777" w:rsidR="00DB133C" w:rsidRDefault="00DB133C">
      <w:pPr>
        <w:rPr>
          <w:sz w:val="2"/>
          <w:szCs w:val="2"/>
        </w:rPr>
        <w:sectPr w:rsidR="00DB133C">
          <w:pgSz w:w="11900" w:h="16840"/>
          <w:pgMar w:top="360" w:right="360" w:bottom="360" w:left="360" w:header="0" w:footer="3" w:gutter="0"/>
          <w:cols w:space="720"/>
          <w:noEndnote/>
          <w:docGrid w:linePitch="360"/>
        </w:sectPr>
      </w:pPr>
    </w:p>
    <w:p w14:paraId="660F314C" w14:textId="77777777" w:rsidR="00DB133C" w:rsidRDefault="007019DB">
      <w:pPr>
        <w:pStyle w:val="Bodytext20"/>
        <w:framePr w:w="8827" w:h="2371" w:hRule="exact" w:wrap="none" w:vAnchor="page" w:hAnchor="page" w:x="1518" w:y="1594"/>
        <w:numPr>
          <w:ilvl w:val="0"/>
          <w:numId w:val="1"/>
        </w:numPr>
        <w:shd w:val="clear" w:color="auto" w:fill="auto"/>
        <w:tabs>
          <w:tab w:val="left" w:pos="691"/>
        </w:tabs>
        <w:spacing w:after="260"/>
        <w:jc w:val="both"/>
      </w:pPr>
      <w:r>
        <w:lastRenderedPageBreak/>
        <w:t>Společnost je oprávněna užít prostory pouze za účelem uvedeným v odst. 1. tohoto článku. Činnost společnosti bude spočívat především ve stavbě scény, kamerové, osvětlovací, zvukové a efektové techniky, zvukových a kamerových zkouškách, projížděčce, generální zkoušce, přímého přenosu a likvidaci scény. Společnost je rovněž oprávněna uspořádat po skončení přímého přenosu v prostorách divadla společenské setkání účastníků akce spojené s rautem. Společnost je rovněž oprávněna zajistit nepřetržitou ostrahu pronajatých prostor firmou, kterou najme.</w:t>
      </w:r>
    </w:p>
    <w:p w14:paraId="660F314D" w14:textId="77777777" w:rsidR="00DB133C" w:rsidRDefault="007019DB">
      <w:pPr>
        <w:pStyle w:val="Bodytext20"/>
        <w:framePr w:w="8827" w:h="2371" w:hRule="exact" w:wrap="none" w:vAnchor="page" w:hAnchor="page" w:x="1518" w:y="1594"/>
        <w:numPr>
          <w:ilvl w:val="0"/>
          <w:numId w:val="1"/>
        </w:numPr>
        <w:shd w:val="clear" w:color="auto" w:fill="auto"/>
        <w:tabs>
          <w:tab w:val="left" w:pos="691"/>
        </w:tabs>
        <w:spacing w:after="0"/>
        <w:jc w:val="both"/>
      </w:pPr>
      <w:r>
        <w:t xml:space="preserve">K předání prostor dojde pouze v případě, že bude řádně a včas zaplaceno podnájemné dle čl. </w:t>
      </w:r>
      <w:r>
        <w:rPr>
          <w:lang w:val="en-US" w:eastAsia="en-US" w:bidi="en-US"/>
        </w:rPr>
        <w:t xml:space="preserve">III., </w:t>
      </w:r>
      <w:r>
        <w:t>odst. 1. této smlouvy.</w:t>
      </w:r>
    </w:p>
    <w:p w14:paraId="660F314E" w14:textId="77777777" w:rsidR="00DB133C" w:rsidRPr="007019DB" w:rsidRDefault="007019DB" w:rsidP="007019DB">
      <w:pPr>
        <w:pStyle w:val="Bodytext30"/>
        <w:framePr w:w="8866" w:h="10486" w:hRule="exact" w:wrap="none" w:vAnchor="page" w:hAnchor="page" w:x="1518" w:y="4456"/>
        <w:shd w:val="clear" w:color="auto" w:fill="auto"/>
        <w:spacing w:before="0"/>
        <w:rPr>
          <w:sz w:val="22"/>
          <w:szCs w:val="22"/>
        </w:rPr>
      </w:pPr>
      <w:r w:rsidRPr="007019DB">
        <w:rPr>
          <w:sz w:val="22"/>
          <w:szCs w:val="22"/>
        </w:rPr>
        <w:t>Čl. II.</w:t>
      </w:r>
    </w:p>
    <w:p w14:paraId="660F314F" w14:textId="77777777" w:rsidR="00DB133C" w:rsidRDefault="007019DB" w:rsidP="007019DB">
      <w:pPr>
        <w:pStyle w:val="Heading10"/>
        <w:framePr w:w="8866" w:h="10486" w:hRule="exact" w:wrap="none" w:vAnchor="page" w:hAnchor="page" w:x="1518" w:y="4456"/>
        <w:shd w:val="clear" w:color="auto" w:fill="auto"/>
        <w:spacing w:after="209"/>
        <w:jc w:val="center"/>
      </w:pPr>
      <w:bookmarkStart w:id="6" w:name="bookmark6"/>
      <w:r>
        <w:t>Práva a povinnosti smluvních stran</w:t>
      </w:r>
      <w:bookmarkEnd w:id="6"/>
    </w:p>
    <w:p w14:paraId="660F3150" w14:textId="77777777" w:rsidR="00DB133C" w:rsidRDefault="007019DB" w:rsidP="007019DB">
      <w:pPr>
        <w:pStyle w:val="Bodytext20"/>
        <w:framePr w:w="8866" w:h="10486" w:hRule="exact" w:wrap="none" w:vAnchor="page" w:hAnchor="page" w:x="1518" w:y="4456"/>
        <w:numPr>
          <w:ilvl w:val="0"/>
          <w:numId w:val="2"/>
        </w:numPr>
        <w:shd w:val="clear" w:color="auto" w:fill="auto"/>
        <w:tabs>
          <w:tab w:val="left" w:pos="691"/>
        </w:tabs>
        <w:spacing w:after="260"/>
        <w:jc w:val="both"/>
      </w:pPr>
      <w:r>
        <w:t>Společnost smí používat a obsluhovat technická zařízení a vybavení najímaných prostor pouze v souladu s pokyny nebo za účasti osoby pověřené divadlem. Za tímto účelem bude tato osoba divadlem určena nejpozději dnem podpisu smlouvy osobou odpovědnou, kterou je Jan Křehla - 730 195 539 (případně jinou osobou, kterou určí vedení divadla). Tato osoba bude společnosti vždy na požádání k dispozici. Společnost je povinna dodržovat bezpečnostní a požární předpisy spojené s provozem budovy, ve které jsou umístěny prostory (dále jen „budova"), a zařízení uvedených v čl. 1. s nimiž byla divadlem seznámena.</w:t>
      </w:r>
    </w:p>
    <w:p w14:paraId="660F3151" w14:textId="43AA4EF2" w:rsidR="00DB133C" w:rsidRDefault="007019DB" w:rsidP="007019DB">
      <w:pPr>
        <w:pStyle w:val="Bodytext20"/>
        <w:framePr w:w="8866" w:h="10486" w:hRule="exact" w:wrap="none" w:vAnchor="page" w:hAnchor="page" w:x="1518" w:y="4456"/>
        <w:numPr>
          <w:ilvl w:val="0"/>
          <w:numId w:val="2"/>
        </w:numPr>
        <w:shd w:val="clear" w:color="auto" w:fill="auto"/>
        <w:tabs>
          <w:tab w:val="left" w:pos="691"/>
        </w:tabs>
        <w:spacing w:after="256"/>
        <w:jc w:val="both"/>
      </w:pPr>
      <w:r>
        <w:t xml:space="preserve">Společnost se zavazuje prostřednictvím svých zástupců, kterými jsou Daniel Severa </w:t>
      </w:r>
      <w:r w:rsidR="00FD5D58">
        <w:t>+420 xxxxxxxxx</w:t>
      </w:r>
      <w:r>
        <w:t xml:space="preserve"> a Viktor </w:t>
      </w:r>
      <w:r>
        <w:rPr>
          <w:lang w:val="en-US" w:eastAsia="en-US" w:bidi="en-US"/>
        </w:rPr>
        <w:t xml:space="preserve">Mayer </w:t>
      </w:r>
      <w:r>
        <w:t xml:space="preserve">+420 </w:t>
      </w:r>
      <w:r w:rsidR="00FD5D58">
        <w:t>xxxxxxxxx</w:t>
      </w:r>
      <w:r>
        <w:t xml:space="preserve"> zajistit řádnou, průběžnou a kvalifikovanou komunikaci mezi společností a osobou pověřenou divadlem.</w:t>
      </w:r>
    </w:p>
    <w:p w14:paraId="660F3152" w14:textId="77777777" w:rsidR="00DB133C" w:rsidRDefault="007019DB" w:rsidP="007019DB">
      <w:pPr>
        <w:pStyle w:val="Bodytext20"/>
        <w:framePr w:w="8866" w:h="10486" w:hRule="exact" w:wrap="none" w:vAnchor="page" w:hAnchor="page" w:x="1518" w:y="4456"/>
        <w:numPr>
          <w:ilvl w:val="0"/>
          <w:numId w:val="2"/>
        </w:numPr>
        <w:shd w:val="clear" w:color="auto" w:fill="auto"/>
        <w:tabs>
          <w:tab w:val="left" w:pos="691"/>
        </w:tabs>
        <w:spacing w:after="260" w:line="259" w:lineRule="exact"/>
        <w:jc w:val="both"/>
      </w:pPr>
      <w:r>
        <w:t>Společnost není oprávněna dát prostory do užívání třetí osobě. Stavbu scény, zvukové, osvětlovací a další techniky jakož i další činnosti je společnost oprávněna zajistit prostřednictvím specializovaných firem.</w:t>
      </w:r>
    </w:p>
    <w:p w14:paraId="660F3153" w14:textId="77777777" w:rsidR="00DB133C" w:rsidRDefault="007019DB" w:rsidP="007019DB">
      <w:pPr>
        <w:pStyle w:val="Bodytext20"/>
        <w:framePr w:w="8866" w:h="10486" w:hRule="exact" w:wrap="none" w:vAnchor="page" w:hAnchor="page" w:x="1518" w:y="4456"/>
        <w:numPr>
          <w:ilvl w:val="0"/>
          <w:numId w:val="2"/>
        </w:numPr>
        <w:shd w:val="clear" w:color="auto" w:fill="auto"/>
        <w:tabs>
          <w:tab w:val="left" w:pos="691"/>
        </w:tabs>
        <w:spacing w:after="264" w:line="259" w:lineRule="exact"/>
        <w:jc w:val="both"/>
      </w:pPr>
      <w:r>
        <w:t>Divadlo neodpovídá za škodu na věcech, které byly společností, resp. třetími osobami v době trvání podnájmu dle této smlouvy do prostor či do budovy vneseny, ledaže takovou škodu způsobí divadlo.</w:t>
      </w:r>
    </w:p>
    <w:p w14:paraId="660F3154" w14:textId="77777777" w:rsidR="00DB133C" w:rsidRDefault="007019DB" w:rsidP="007019DB">
      <w:pPr>
        <w:pStyle w:val="Bodytext20"/>
        <w:framePr w:w="8866" w:h="10486" w:hRule="exact" w:wrap="none" w:vAnchor="page" w:hAnchor="page" w:x="1518" w:y="4456"/>
        <w:numPr>
          <w:ilvl w:val="0"/>
          <w:numId w:val="2"/>
        </w:numPr>
        <w:shd w:val="clear" w:color="auto" w:fill="auto"/>
        <w:tabs>
          <w:tab w:val="left" w:pos="691"/>
        </w:tabs>
        <w:spacing w:after="260"/>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660F3155" w14:textId="77777777" w:rsidR="00DB133C" w:rsidRDefault="007019DB" w:rsidP="007019DB">
      <w:pPr>
        <w:pStyle w:val="Bodytext20"/>
        <w:framePr w:w="8866" w:h="10486" w:hRule="exact" w:wrap="none" w:vAnchor="page" w:hAnchor="page" w:x="1518" w:y="4456"/>
        <w:numPr>
          <w:ilvl w:val="0"/>
          <w:numId w:val="2"/>
        </w:numPr>
        <w:shd w:val="clear" w:color="auto" w:fill="auto"/>
        <w:tabs>
          <w:tab w:val="left" w:pos="691"/>
        </w:tabs>
        <w:spacing w:after="260"/>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Na způsobenou škodu musí být společnost upozorněna nejpozději při zpětném předání pronajatých prostor a tato skutečnost musí být uvedena v písemném protokolu o předání. Společnost se zavazuje nahradit takovou škodu do 14 dní od doložení její výše. Na toto plnění společnosti vyhotoví divadlo příslušný daňový doklad.</w:t>
      </w:r>
    </w:p>
    <w:p w14:paraId="660F3156" w14:textId="77777777" w:rsidR="00DB133C" w:rsidRDefault="007019DB" w:rsidP="007019DB">
      <w:pPr>
        <w:pStyle w:val="Bodytext20"/>
        <w:framePr w:w="8866" w:h="10486" w:hRule="exact" w:wrap="none" w:vAnchor="page" w:hAnchor="page" w:x="1518" w:y="4456"/>
        <w:numPr>
          <w:ilvl w:val="0"/>
          <w:numId w:val="2"/>
        </w:numPr>
        <w:shd w:val="clear" w:color="auto" w:fill="auto"/>
        <w:tabs>
          <w:tab w:val="left" w:pos="691"/>
        </w:tabs>
        <w:spacing w:after="0"/>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sálu není povoleno, vyjma prostoru VIP lóží a prostoru poroty v sále. Požární poplachové směrnice jsou</w:t>
      </w:r>
    </w:p>
    <w:p w14:paraId="660F3157" w14:textId="77777777" w:rsidR="00DB133C" w:rsidRDefault="007019DB">
      <w:pPr>
        <w:pStyle w:val="Headerorfooter0"/>
        <w:framePr w:wrap="none" w:vAnchor="page" w:hAnchor="page" w:x="10158" w:y="15484"/>
        <w:shd w:val="clear" w:color="auto" w:fill="auto"/>
      </w:pPr>
      <w:r>
        <w:t>2</w:t>
      </w:r>
    </w:p>
    <w:p w14:paraId="660F3158" w14:textId="77777777" w:rsidR="00DB133C" w:rsidRDefault="00DB133C">
      <w:pPr>
        <w:rPr>
          <w:sz w:val="2"/>
          <w:szCs w:val="2"/>
        </w:rPr>
        <w:sectPr w:rsidR="00DB133C">
          <w:pgSz w:w="11900" w:h="16840"/>
          <w:pgMar w:top="360" w:right="360" w:bottom="360" w:left="360" w:header="0" w:footer="3" w:gutter="0"/>
          <w:cols w:space="720"/>
          <w:noEndnote/>
          <w:docGrid w:linePitch="360"/>
        </w:sectPr>
      </w:pPr>
    </w:p>
    <w:p w14:paraId="660F3159" w14:textId="77777777" w:rsidR="00DB133C" w:rsidRDefault="007019DB">
      <w:pPr>
        <w:pStyle w:val="Bodytext20"/>
        <w:framePr w:w="8808" w:h="13190" w:hRule="exact" w:wrap="none" w:vAnchor="page" w:hAnchor="page" w:x="1527" w:y="1594"/>
        <w:shd w:val="clear" w:color="auto" w:fill="auto"/>
        <w:tabs>
          <w:tab w:val="left" w:pos="691"/>
        </w:tabs>
        <w:spacing w:after="256"/>
        <w:jc w:val="both"/>
      </w:pPr>
      <w:r>
        <w:lastRenderedPageBreak/>
        <w:t>přílohou smlouvy č. 3, Požární evakuační plán je přílohou č. 4 smlouvy, BOZP, Požární řád a rizika jsou přílohou č. 5 smlouvy a Přílohou č. 6 smlouvy je Prohlášení odpovědné osoby společnosti.</w:t>
      </w:r>
    </w:p>
    <w:p w14:paraId="660F315A" w14:textId="77777777" w:rsidR="00DB133C" w:rsidRDefault="007019DB">
      <w:pPr>
        <w:pStyle w:val="Bodytext20"/>
        <w:framePr w:w="8808" w:h="13190" w:hRule="exact" w:wrap="none" w:vAnchor="page" w:hAnchor="page" w:x="1527" w:y="1594"/>
        <w:numPr>
          <w:ilvl w:val="0"/>
          <w:numId w:val="2"/>
        </w:numPr>
        <w:shd w:val="clear" w:color="auto" w:fill="auto"/>
        <w:tabs>
          <w:tab w:val="left" w:pos="692"/>
        </w:tabs>
        <w:spacing w:after="264" w:line="259" w:lineRule="exact"/>
        <w:jc w:val="both"/>
      </w:pPr>
      <w:r>
        <w:t>Cateringové služby v Hudebním divadle v Karlině je oprávněna konat výhradně společnost „ASTACUS s.r.o.". Její služby si společnost v případě zájmu zajistí mimo tento smluvní vztah.</w:t>
      </w:r>
    </w:p>
    <w:p w14:paraId="660F315B" w14:textId="77777777" w:rsidR="00DB133C" w:rsidRDefault="007019DB">
      <w:pPr>
        <w:pStyle w:val="Bodytext20"/>
        <w:framePr w:w="8808" w:h="13190" w:hRule="exact" w:wrap="none" w:vAnchor="page" w:hAnchor="page" w:x="1527" w:y="1594"/>
        <w:numPr>
          <w:ilvl w:val="0"/>
          <w:numId w:val="2"/>
        </w:numPr>
        <w:shd w:val="clear" w:color="auto" w:fill="auto"/>
        <w:tabs>
          <w:tab w:val="left" w:pos="692"/>
        </w:tabs>
        <w:spacing w:after="260"/>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660F315C" w14:textId="4701A95B" w:rsidR="00DB133C" w:rsidRDefault="007019DB">
      <w:pPr>
        <w:pStyle w:val="Bodytext20"/>
        <w:framePr w:w="8808" w:h="13190" w:hRule="exact" w:wrap="none" w:vAnchor="page" w:hAnchor="page" w:x="1527" w:y="1594"/>
        <w:numPr>
          <w:ilvl w:val="0"/>
          <w:numId w:val="2"/>
        </w:numPr>
        <w:shd w:val="clear" w:color="auto" w:fill="auto"/>
        <w:tabs>
          <w:tab w:val="left" w:pos="692"/>
        </w:tabs>
        <w:spacing w:after="260"/>
        <w:jc w:val="both"/>
      </w:pPr>
      <w:r>
        <w:t xml:space="preserve">Společnost je oprávněna umístit do prostor divadla loga, bannery, roll-upy, reklamní Stánky a další propagační předměty partnerů a sponzorů akce. Výše uvedené reklamní plochy budou v prostorách divadla umístěny ve dnech 17.-19.11.2021 Společnost je povinna respektovat požadavky na způsoby zavěšení, uchycení a umístění výše uvedených materiálů a předmětů na venkovních a vnitřních zdech, sloupech a dveřích budovy. Pro případ, že společnost způsobí škodu na interiéru nebo exteriéru budovy tím, že při umístění propagačních předmětů nedodrží divadlem předem stanovené požadavky na uchycení a zavěšení apod., se smluvní strany dohodly, že společnost způsobenou škodu uhradí. Pro případ porušení tohoto zákazu ze strany společnosti, popř. třetích osob pověřených společností se smluvní strany dohodly, že společnost zaplatí smluvní pokutu ve výši </w:t>
      </w:r>
      <w:r w:rsidR="00FD5D58">
        <w:t>xx</w:t>
      </w:r>
      <w:r>
        <w:t xml:space="preserve">,- Kč (slovy: </w:t>
      </w:r>
      <w:r w:rsidR="00FD5D58">
        <w:t>xx</w:t>
      </w:r>
      <w:r>
        <w:t>)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 Společnost má rovněž právo označit přiměřeným způsobem dveře šaten a dalších místností cedulkami se jmény účinkujících a dalšími informacemi, přičemž nesmí dojít k jejich poškození. Příloha č. 7 smlouvy jsou Formáty reklamních ploch.</w:t>
      </w:r>
    </w:p>
    <w:p w14:paraId="660F315D" w14:textId="77777777" w:rsidR="00DB133C" w:rsidRDefault="007019DB">
      <w:pPr>
        <w:pStyle w:val="Bodytext20"/>
        <w:framePr w:w="8808" w:h="13190" w:hRule="exact" w:wrap="none" w:vAnchor="page" w:hAnchor="page" w:x="1527" w:y="1594"/>
        <w:numPr>
          <w:ilvl w:val="0"/>
          <w:numId w:val="2"/>
        </w:numPr>
        <w:shd w:val="clear" w:color="auto" w:fill="auto"/>
        <w:tabs>
          <w:tab w:val="left" w:pos="692"/>
        </w:tabs>
        <w:spacing w:after="260"/>
        <w:jc w:val="both"/>
      </w:pPr>
      <w:r>
        <w:t>Eventuální úpravy související s TV a rozhlasovým přenosem budou uskutečněny na základě požadavků předložených divadlu nejpozději 15 dní před uskutečněním akce. Jde zejména o demontáž sedadel pro potřeby televizní techniky. Dále divadlo umožní instalaci potřebné televizní a rozhlasové techniky pro přímý přenos, včetně instalace kamer, kamerových jeřábů, kamerové jízdy a osvětlovacích lamp v hledišti dle plánu, který dodá společnost nejpozději do 15 dní před přímým přenosem. Divadlo rovněž dle kapacitních možností umožní společnosti odběr elektrického proudu pro zvukovou, osvětlovací a další techniku využitou při akci.</w:t>
      </w:r>
    </w:p>
    <w:p w14:paraId="660F315E" w14:textId="77777777" w:rsidR="00DB133C" w:rsidRDefault="007019DB">
      <w:pPr>
        <w:pStyle w:val="Bodytext20"/>
        <w:framePr w:w="8808" w:h="13190" w:hRule="exact" w:wrap="none" w:vAnchor="page" w:hAnchor="page" w:x="1527" w:y="1594"/>
        <w:numPr>
          <w:ilvl w:val="0"/>
          <w:numId w:val="2"/>
        </w:numPr>
        <w:shd w:val="clear" w:color="auto" w:fill="auto"/>
        <w:tabs>
          <w:tab w:val="left" w:pos="692"/>
        </w:tabs>
        <w:spacing w:after="260"/>
        <w:jc w:val="both"/>
      </w:pPr>
      <w:r>
        <w:t>Divadlo se zavazuje umožnit společnosti uvnitř objektu parkování 3 vozů po dobu trvání pronájmu</w:t>
      </w:r>
    </w:p>
    <w:p w14:paraId="660F315F" w14:textId="195E8B92" w:rsidR="00DB133C" w:rsidRDefault="007019DB">
      <w:pPr>
        <w:pStyle w:val="Bodytext20"/>
        <w:framePr w:w="8808" w:h="13190" w:hRule="exact" w:wrap="none" w:vAnchor="page" w:hAnchor="page" w:x="1527" w:y="1594"/>
        <w:numPr>
          <w:ilvl w:val="0"/>
          <w:numId w:val="2"/>
        </w:numPr>
        <w:shd w:val="clear" w:color="auto" w:fill="auto"/>
        <w:tabs>
          <w:tab w:val="left" w:pos="692"/>
        </w:tabs>
        <w:spacing w:after="260"/>
        <w:jc w:val="both"/>
      </w:pPr>
      <w:r>
        <w:t xml:space="preserve">Společnost se zavazuje před akcí uzavřít a po celou dobu akce mít platné pojištění odpovědnosti za způsobenou škodu alespoň na částku </w:t>
      </w:r>
      <w:r w:rsidR="00FD5D58">
        <w:t>xx</w:t>
      </w:r>
      <w:r>
        <w:t>,- Kč (</w:t>
      </w:r>
      <w:r w:rsidR="00FD5D58">
        <w:t>xx</w:t>
      </w:r>
      <w:r>
        <w:t>). Na vyžádání divadla se společnost povinna předložit doklad o sjednaném pojištění.</w:t>
      </w:r>
    </w:p>
    <w:p w14:paraId="660F3160" w14:textId="77777777" w:rsidR="00DB133C" w:rsidRDefault="007019DB">
      <w:pPr>
        <w:pStyle w:val="Bodytext20"/>
        <w:framePr w:w="8808" w:h="13190" w:hRule="exact" w:wrap="none" w:vAnchor="page" w:hAnchor="page" w:x="1527" w:y="1594"/>
        <w:numPr>
          <w:ilvl w:val="0"/>
          <w:numId w:val="2"/>
        </w:numPr>
        <w:shd w:val="clear" w:color="auto" w:fill="auto"/>
        <w:tabs>
          <w:tab w:val="left" w:pos="692"/>
        </w:tabs>
        <w:spacing w:after="260"/>
        <w:jc w:val="both"/>
      </w:pPr>
      <w:r>
        <w:t>Neuskuteční-li se akce z důvodů ležících výhradně na straně divadla a divadlem zaviněných, je divadlo povinno zaplatit partnerovi veškeré účelně vynaložené a prokazatelné náklady, které mu v souvislosti s plněním povinností z této smlouvy vznikly a vypořádat všechny oprávněné nároky třetích osob smluvně zainteresovaných na akci</w:t>
      </w:r>
    </w:p>
    <w:p w14:paraId="660F3161" w14:textId="77777777" w:rsidR="00DB133C" w:rsidRDefault="007019DB">
      <w:pPr>
        <w:pStyle w:val="Bodytext20"/>
        <w:framePr w:w="8808" w:h="13190" w:hRule="exact" w:wrap="none" w:vAnchor="page" w:hAnchor="page" w:x="1527" w:y="1594"/>
        <w:numPr>
          <w:ilvl w:val="0"/>
          <w:numId w:val="2"/>
        </w:numPr>
        <w:shd w:val="clear" w:color="auto" w:fill="auto"/>
        <w:tabs>
          <w:tab w:val="left" w:pos="692"/>
        </w:tabs>
        <w:spacing w:after="0"/>
        <w:jc w:val="both"/>
      </w:pPr>
      <w:r>
        <w:t>Neuskuteční-li se akce z důvodů ležících na straně společnosti a společností zaviněných, je společnost povinna zaplatit divadlu veškeré účelně vynaložené a prokazatelné náklady, které mu v souvislosti s plněním povinností z této smlouvy vznikly.</w:t>
      </w:r>
    </w:p>
    <w:p w14:paraId="660F3162" w14:textId="77777777" w:rsidR="00DB133C" w:rsidRDefault="007019DB">
      <w:pPr>
        <w:pStyle w:val="Headerorfooter0"/>
        <w:framePr w:wrap="none" w:vAnchor="page" w:hAnchor="page" w:x="10143" w:y="15489"/>
        <w:shd w:val="clear" w:color="auto" w:fill="auto"/>
      </w:pPr>
      <w:r>
        <w:t>3</w:t>
      </w:r>
    </w:p>
    <w:p w14:paraId="660F3163" w14:textId="77777777" w:rsidR="00DB133C" w:rsidRDefault="00DB133C">
      <w:pPr>
        <w:rPr>
          <w:sz w:val="2"/>
          <w:szCs w:val="2"/>
        </w:rPr>
        <w:sectPr w:rsidR="00DB133C">
          <w:pgSz w:w="11900" w:h="16840"/>
          <w:pgMar w:top="360" w:right="360" w:bottom="360" w:left="360" w:header="0" w:footer="3" w:gutter="0"/>
          <w:cols w:space="720"/>
          <w:noEndnote/>
          <w:docGrid w:linePitch="360"/>
        </w:sectPr>
      </w:pPr>
    </w:p>
    <w:p w14:paraId="660F3164" w14:textId="77777777" w:rsidR="00DB133C" w:rsidRDefault="007019DB">
      <w:pPr>
        <w:pStyle w:val="Bodytext40"/>
        <w:framePr w:w="8818" w:h="533" w:hRule="exact" w:wrap="none" w:vAnchor="page" w:hAnchor="page" w:x="1522" w:y="1643"/>
        <w:shd w:val="clear" w:color="auto" w:fill="auto"/>
      </w:pPr>
      <w:r>
        <w:lastRenderedPageBreak/>
        <w:t xml:space="preserve">ČI. </w:t>
      </w:r>
      <w:r>
        <w:rPr>
          <w:lang w:val="en-US" w:eastAsia="en-US" w:bidi="en-US"/>
        </w:rPr>
        <w:t>III.</w:t>
      </w:r>
    </w:p>
    <w:p w14:paraId="660F3165" w14:textId="77777777" w:rsidR="00DB133C" w:rsidRDefault="007019DB">
      <w:pPr>
        <w:pStyle w:val="Bodytext40"/>
        <w:framePr w:w="8818" w:h="533" w:hRule="exact" w:wrap="none" w:vAnchor="page" w:hAnchor="page" w:x="1522" w:y="1643"/>
        <w:shd w:val="clear" w:color="auto" w:fill="auto"/>
        <w:spacing w:after="0"/>
      </w:pPr>
      <w:r>
        <w:t>Podnájemné a jeho splatnost</w:t>
      </w:r>
    </w:p>
    <w:p w14:paraId="660F3166" w14:textId="7358D07B" w:rsidR="00DB133C" w:rsidRDefault="007019DB">
      <w:pPr>
        <w:pStyle w:val="Bodytext20"/>
        <w:framePr w:w="8818" w:h="3657" w:hRule="exact" w:wrap="none" w:vAnchor="page" w:hAnchor="page" w:x="1522" w:y="2396"/>
        <w:numPr>
          <w:ilvl w:val="0"/>
          <w:numId w:val="3"/>
        </w:numPr>
        <w:shd w:val="clear" w:color="auto" w:fill="auto"/>
        <w:tabs>
          <w:tab w:val="left" w:pos="686"/>
        </w:tabs>
        <w:spacing w:after="280"/>
        <w:jc w:val="both"/>
      </w:pPr>
      <w:r>
        <w:t>Společnost je povinna zaplatit za užívání prostor a movitých věcí v prostorech umístěných v rozsahu dle této smlouvy a za využití služeb s podnájmem spojených (vodné, stočné, elektrická energie, klimatizace, otop, audioaparatura, náklady na požární hlídku, úklid, základní ostrahu objektu, hledištní personál včetně obsluhy šaten pro diváky, pracovníky jevištního provozu a pracovníky technicko</w:t>
      </w:r>
      <w:r>
        <w:softHyphen/>
        <w:t xml:space="preserve">hospodářské správy) podnájemné ve výši </w:t>
      </w:r>
      <w:r w:rsidR="00FD5D58">
        <w:t>xx</w:t>
      </w:r>
      <w:r>
        <w:t xml:space="preserve">,- Kč vč. DPH (slovy: </w:t>
      </w:r>
      <w:r w:rsidR="00FD5D58">
        <w:t>xx</w:t>
      </w:r>
      <w:r>
        <w:t xml:space="preserve"> korun českých včetně příslušné částky DPH) za ročník ankety 2021.</w:t>
      </w:r>
    </w:p>
    <w:p w14:paraId="660F3167" w14:textId="3401BF42" w:rsidR="00DB133C" w:rsidRDefault="007019DB">
      <w:pPr>
        <w:pStyle w:val="Bodytext20"/>
        <w:framePr w:w="8818" w:h="3657" w:hRule="exact" w:wrap="none" w:vAnchor="page" w:hAnchor="page" w:x="1522" w:y="2396"/>
        <w:numPr>
          <w:ilvl w:val="0"/>
          <w:numId w:val="3"/>
        </w:numPr>
        <w:shd w:val="clear" w:color="auto" w:fill="auto"/>
        <w:tabs>
          <w:tab w:val="left" w:pos="686"/>
        </w:tabs>
        <w:spacing w:after="0"/>
        <w:jc w:val="both"/>
      </w:pPr>
      <w:r>
        <w:t xml:space="preserve">Společnost je povinna zaplatit podnájemné uvedené v předchozím odstavci na základě řádně vystavené zálohové faktury doručené společnosti nejméně 20 dnů před konáním akce převodem na účet divadla uvedený v záhlaví smlouvy a to tak, aby podnájemné bylo připsáno na účet divadla nejpozději 5 dní před započetím akce. V případě, že společnost nezaplatí podnájemné dle odst. 1. tohoto článku, má divadlo právo od této smlouvy odstoupit a společnost je povinna zaplatit divadlu smluvní pokutu ve výši </w:t>
      </w:r>
      <w:r w:rsidR="00FD5D58">
        <w:t>xx</w:t>
      </w:r>
      <w:r>
        <w:t>,- Kč, která je splatná do 14 dnů od odstoupení od této smlouvy. O tomto plnění bude vyhotoven daňový doklad.</w:t>
      </w:r>
    </w:p>
    <w:p w14:paraId="660F3168" w14:textId="77777777" w:rsidR="00DB133C" w:rsidRDefault="007019DB">
      <w:pPr>
        <w:pStyle w:val="Bodytext40"/>
        <w:framePr w:w="8818" w:h="5207" w:hRule="exact" w:wrap="none" w:vAnchor="page" w:hAnchor="page" w:x="1522" w:y="6539"/>
        <w:shd w:val="clear" w:color="auto" w:fill="auto"/>
      </w:pPr>
      <w:r>
        <w:t>ČI. IV.</w:t>
      </w:r>
    </w:p>
    <w:p w14:paraId="660F3169" w14:textId="77777777" w:rsidR="00DB133C" w:rsidRDefault="007019DB">
      <w:pPr>
        <w:pStyle w:val="Bodytext40"/>
        <w:framePr w:w="8818" w:h="5207" w:hRule="exact" w:wrap="none" w:vAnchor="page" w:hAnchor="page" w:x="1522" w:y="6539"/>
        <w:shd w:val="clear" w:color="auto" w:fill="auto"/>
        <w:spacing w:after="229"/>
      </w:pPr>
      <w:r>
        <w:t>Závěrečná ustanovení</w:t>
      </w:r>
    </w:p>
    <w:p w14:paraId="660F316A" w14:textId="77777777" w:rsidR="00DB133C" w:rsidRDefault="007019DB">
      <w:pPr>
        <w:pStyle w:val="Bodytext20"/>
        <w:framePr w:w="8818" w:h="5207" w:hRule="exact" w:wrap="none" w:vAnchor="page" w:hAnchor="page" w:x="1522" w:y="6539"/>
        <w:numPr>
          <w:ilvl w:val="0"/>
          <w:numId w:val="4"/>
        </w:numPr>
        <w:shd w:val="clear" w:color="auto" w:fill="auto"/>
        <w:tabs>
          <w:tab w:val="left" w:pos="686"/>
        </w:tabs>
        <w:spacing w:after="280"/>
        <w:jc w:val="both"/>
      </w:pPr>
      <w:r>
        <w:t>Práva a povinnosti z této smlouvy vyplývající a v této smlouvě neupravená se řídí českým právem.</w:t>
      </w:r>
    </w:p>
    <w:p w14:paraId="660F316B" w14:textId="77777777" w:rsidR="00DB133C" w:rsidRDefault="007019DB">
      <w:pPr>
        <w:pStyle w:val="Bodytext20"/>
        <w:framePr w:w="8818" w:h="5207" w:hRule="exact" w:wrap="none" w:vAnchor="page" w:hAnchor="page" w:x="1522" w:y="6539"/>
        <w:numPr>
          <w:ilvl w:val="0"/>
          <w:numId w:val="4"/>
        </w:numPr>
        <w:shd w:val="clear" w:color="auto" w:fill="auto"/>
        <w:tabs>
          <w:tab w:val="left" w:pos="686"/>
        </w:tabs>
        <w:spacing w:after="280"/>
        <w:jc w:val="both"/>
      </w:pPr>
      <w:r>
        <w:t>Tato smlouva je vyhotovena ve dvou stejnopisech, z nichž jeden obdrží společnost a jeden obdrží divadlo.</w:t>
      </w:r>
    </w:p>
    <w:p w14:paraId="660F316C" w14:textId="77777777" w:rsidR="00DB133C" w:rsidRDefault="007019DB">
      <w:pPr>
        <w:pStyle w:val="Bodytext20"/>
        <w:framePr w:w="8818" w:h="5207" w:hRule="exact" w:wrap="none" w:vAnchor="page" w:hAnchor="page" w:x="1522" w:y="6539"/>
        <w:numPr>
          <w:ilvl w:val="0"/>
          <w:numId w:val="4"/>
        </w:numPr>
        <w:shd w:val="clear" w:color="auto" w:fill="auto"/>
        <w:tabs>
          <w:tab w:val="left" w:pos="686"/>
        </w:tabs>
        <w:spacing w:after="276"/>
        <w:jc w:val="both"/>
      </w:pPr>
      <w:r>
        <w:t>Změny a doplňky této smlouvy je možné činit pouze po vzájemné dohodě smluvních stran, a to písemným a číslovaným dodatkem.</w:t>
      </w:r>
    </w:p>
    <w:p w14:paraId="660F316D" w14:textId="77777777" w:rsidR="00DB133C" w:rsidRDefault="007019DB">
      <w:pPr>
        <w:pStyle w:val="Bodytext20"/>
        <w:framePr w:w="8818" w:h="5207" w:hRule="exact" w:wrap="none" w:vAnchor="page" w:hAnchor="page" w:x="1522" w:y="6539"/>
        <w:numPr>
          <w:ilvl w:val="0"/>
          <w:numId w:val="4"/>
        </w:numPr>
        <w:shd w:val="clear" w:color="auto" w:fill="auto"/>
        <w:tabs>
          <w:tab w:val="left" w:pos="686"/>
        </w:tabs>
        <w:spacing w:after="284" w:line="259" w:lineRule="exact"/>
        <w:jc w:val="both"/>
      </w:pPr>
      <w:r>
        <w:t>Smluvní strany po přečtení textu smlouvy prohlašují, že mu rozumějí, že smlouva je sepsána v souladu s jejich pravou a svobodnou vůli a cítí se jí vázáni. Na důkaz toho připojují své podpisy.</w:t>
      </w:r>
    </w:p>
    <w:p w14:paraId="660F316E" w14:textId="77777777" w:rsidR="00DB133C" w:rsidRDefault="007019DB">
      <w:pPr>
        <w:pStyle w:val="Bodytext20"/>
        <w:framePr w:w="8818" w:h="5207" w:hRule="exact" w:wrap="none" w:vAnchor="page" w:hAnchor="page" w:x="1522" w:y="6539"/>
        <w:numPr>
          <w:ilvl w:val="0"/>
          <w:numId w:val="4"/>
        </w:numPr>
        <w:shd w:val="clear" w:color="auto" w:fill="auto"/>
        <w:tabs>
          <w:tab w:val="left" w:pos="686"/>
        </w:tabs>
        <w:spacing w:after="261"/>
        <w:jc w:val="both"/>
      </w:pPr>
      <w:r>
        <w:t>Podpisem této smlouvy společnost prohlašuje, že byla seznámena se zásadami BOZP v divadle a zavazuje se, stejně jako všichni účastníci podnájmu, tímto popisem je dodržovat.</w:t>
      </w:r>
    </w:p>
    <w:p w14:paraId="660F316F" w14:textId="77777777" w:rsidR="00DB133C" w:rsidRDefault="007019DB">
      <w:pPr>
        <w:pStyle w:val="Bodytext20"/>
        <w:framePr w:w="8818" w:h="5207" w:hRule="exact" w:wrap="none" w:vAnchor="page" w:hAnchor="page" w:x="1522" w:y="6539"/>
        <w:numPr>
          <w:ilvl w:val="0"/>
          <w:numId w:val="4"/>
        </w:numPr>
        <w:shd w:val="clear" w:color="auto" w:fill="auto"/>
        <w:tabs>
          <w:tab w:val="left" w:pos="686"/>
        </w:tabs>
        <w:spacing w:after="0" w:line="278" w:lineRule="exact"/>
        <w:jc w:val="both"/>
      </w:pPr>
      <w:r>
        <w:t>Tato smlouva nabývá platnosti a účinnosti dnem uveřejnění v registru smluv v souladu se Zákonem č. 340/2015 Sb. o registru smluv.</w:t>
      </w:r>
    </w:p>
    <w:p w14:paraId="660F3170" w14:textId="77777777" w:rsidR="00DB133C" w:rsidRDefault="007019DB">
      <w:pPr>
        <w:pStyle w:val="Bodytext20"/>
        <w:framePr w:wrap="none" w:vAnchor="page" w:hAnchor="page" w:x="1522" w:y="12254"/>
        <w:shd w:val="clear" w:color="auto" w:fill="auto"/>
        <w:spacing w:after="0" w:line="212" w:lineRule="exact"/>
        <w:jc w:val="both"/>
      </w:pPr>
      <w:r>
        <w:t>V Praze, dne 15.10.2021</w:t>
      </w:r>
    </w:p>
    <w:p w14:paraId="47F131CE" w14:textId="77777777" w:rsidR="007019DB" w:rsidRDefault="007019DB" w:rsidP="007019DB">
      <w:pPr>
        <w:pStyle w:val="Bodytext20"/>
        <w:framePr w:w="8818" w:h="1981" w:hRule="exact" w:wrap="none" w:vAnchor="page" w:hAnchor="page" w:x="1522" w:y="13800"/>
        <w:shd w:val="clear" w:color="auto" w:fill="auto"/>
        <w:spacing w:after="60" w:line="212" w:lineRule="exact"/>
        <w:ind w:left="380"/>
      </w:pPr>
      <w:r>
        <w:t xml:space="preserve">Egon Kulhánek,                                                                                              Daniel Severa </w:t>
      </w:r>
    </w:p>
    <w:p w14:paraId="5200158D" w14:textId="75BB431E" w:rsidR="007019DB" w:rsidRDefault="007019DB" w:rsidP="007019DB">
      <w:pPr>
        <w:pStyle w:val="Bodytext20"/>
        <w:framePr w:w="8818" w:h="1981" w:hRule="exact" w:wrap="none" w:vAnchor="page" w:hAnchor="page" w:x="1522" w:y="13800"/>
        <w:shd w:val="clear" w:color="auto" w:fill="auto"/>
        <w:spacing w:after="60" w:line="212" w:lineRule="exact"/>
        <w:ind w:left="380"/>
      </w:pPr>
      <w:r>
        <w:t xml:space="preserve">                                                                                                                             producent</w:t>
      </w:r>
    </w:p>
    <w:p w14:paraId="48662850" w14:textId="22FCA985" w:rsidR="007019DB" w:rsidRDefault="007019DB" w:rsidP="007019DB">
      <w:pPr>
        <w:pStyle w:val="Bodytext20"/>
        <w:framePr w:w="8818" w:h="1981" w:hRule="exact" w:wrap="none" w:vAnchor="page" w:hAnchor="page" w:x="1522" w:y="13800"/>
        <w:shd w:val="clear" w:color="auto" w:fill="auto"/>
        <w:spacing w:after="60" w:line="212" w:lineRule="exact"/>
        <w:ind w:left="380"/>
        <w:jc w:val="both"/>
      </w:pPr>
      <w:r>
        <w:t xml:space="preserve">Hudební divadlo v Karlíně p.o.                                                                      </w:t>
      </w:r>
    </w:p>
    <w:p w14:paraId="7B08A6F6" w14:textId="77777777" w:rsidR="007019DB" w:rsidRDefault="007019DB" w:rsidP="007019DB">
      <w:pPr>
        <w:pStyle w:val="Bodytext20"/>
        <w:framePr w:w="8818" w:h="1981" w:hRule="exact" w:wrap="none" w:vAnchor="page" w:hAnchor="page" w:x="1522" w:y="13800"/>
        <w:shd w:val="clear" w:color="auto" w:fill="auto"/>
        <w:spacing w:after="0" w:line="212" w:lineRule="exact"/>
        <w:ind w:left="5" w:right="6211"/>
        <w:jc w:val="both"/>
      </w:pPr>
      <w:r>
        <w:t xml:space="preserve">                                                                                                                           </w:t>
      </w:r>
    </w:p>
    <w:p w14:paraId="660F3172" w14:textId="3DFD9A8C" w:rsidR="00DB133C" w:rsidRDefault="007019DB" w:rsidP="007019DB">
      <w:pPr>
        <w:pStyle w:val="Bodytext20"/>
        <w:framePr w:w="8818" w:h="1981" w:hRule="exact" w:wrap="none" w:vAnchor="page" w:hAnchor="page" w:x="1522" w:y="13800"/>
        <w:shd w:val="clear" w:color="auto" w:fill="auto"/>
        <w:spacing w:after="0" w:line="212" w:lineRule="exact"/>
        <w:ind w:left="5" w:right="6211"/>
      </w:pPr>
      <w:r>
        <w:t xml:space="preserve">                                                                                                                                                                                                                                           </w:t>
      </w:r>
    </w:p>
    <w:p w14:paraId="660F3174" w14:textId="77777777" w:rsidR="00DB133C" w:rsidRDefault="007019DB">
      <w:pPr>
        <w:pStyle w:val="Headerorfooter0"/>
        <w:framePr w:wrap="none" w:vAnchor="page" w:hAnchor="page" w:x="10138" w:y="15508"/>
        <w:shd w:val="clear" w:color="auto" w:fill="auto"/>
      </w:pPr>
      <w:r>
        <w:t>4</w:t>
      </w:r>
    </w:p>
    <w:p w14:paraId="660F3175" w14:textId="77777777" w:rsidR="00DB133C" w:rsidRDefault="00DB133C">
      <w:pPr>
        <w:rPr>
          <w:sz w:val="2"/>
          <w:szCs w:val="2"/>
        </w:rPr>
      </w:pPr>
    </w:p>
    <w:sectPr w:rsidR="00DB133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563D" w14:textId="77777777" w:rsidR="008C05BC" w:rsidRDefault="008C05BC">
      <w:r>
        <w:separator/>
      </w:r>
    </w:p>
  </w:endnote>
  <w:endnote w:type="continuationSeparator" w:id="0">
    <w:p w14:paraId="569C38FA" w14:textId="77777777" w:rsidR="008C05BC" w:rsidRDefault="008C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51BE" w14:textId="77777777" w:rsidR="008C05BC" w:rsidRDefault="008C05BC"/>
  </w:footnote>
  <w:footnote w:type="continuationSeparator" w:id="0">
    <w:p w14:paraId="476A6F79" w14:textId="77777777" w:rsidR="008C05BC" w:rsidRDefault="008C05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DB7"/>
    <w:multiLevelType w:val="multilevel"/>
    <w:tmpl w:val="B8B8FE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1C4103"/>
    <w:multiLevelType w:val="multilevel"/>
    <w:tmpl w:val="8F82D7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DF02E5"/>
    <w:multiLevelType w:val="multilevel"/>
    <w:tmpl w:val="8B92E3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751392"/>
    <w:multiLevelType w:val="multilevel"/>
    <w:tmpl w:val="E2C08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B133C"/>
    <w:rsid w:val="007019DB"/>
    <w:rsid w:val="008C05BC"/>
    <w:rsid w:val="00AF2B5A"/>
    <w:rsid w:val="00C150FA"/>
    <w:rsid w:val="00DB133C"/>
    <w:rsid w:val="00FD5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3138"/>
  <w15:docId w15:val="{1EAF3FB5-5464-4078-8AC2-1C373316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Calibri" w:eastAsia="Calibri" w:hAnsi="Calibri" w:cs="Calibri"/>
      <w:b/>
      <w:bCs/>
      <w:i w:val="0"/>
      <w:iCs w:val="0"/>
      <w:smallCaps w:val="0"/>
      <w:strike w:val="0"/>
      <w:sz w:val="21"/>
      <w:szCs w:val="21"/>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1"/>
      <w:szCs w:val="21"/>
      <w:u w:val="none"/>
    </w:rPr>
  </w:style>
  <w:style w:type="character" w:customStyle="1" w:styleId="Headerorfooter">
    <w:name w:val="Header or footer_"/>
    <w:basedOn w:val="Standardnpsmoodstavce"/>
    <w:link w:val="Headerorfooter0"/>
    <w:rPr>
      <w:rFonts w:ascii="Calibri" w:eastAsia="Calibri" w:hAnsi="Calibri" w:cs="Calibri"/>
      <w:b w:val="0"/>
      <w:bCs w:val="0"/>
      <w:i w:val="0"/>
      <w:iCs w:val="0"/>
      <w:smallCaps w:val="0"/>
      <w:strike w:val="0"/>
      <w:sz w:val="21"/>
      <w:szCs w:val="21"/>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16"/>
      <w:szCs w:val="16"/>
      <w:u w:val="none"/>
    </w:rPr>
  </w:style>
  <w:style w:type="character" w:customStyle="1" w:styleId="Bodytext4">
    <w:name w:val="Body text (4)_"/>
    <w:basedOn w:val="Standardnpsmoodstavce"/>
    <w:link w:val="Bodytext40"/>
    <w:rPr>
      <w:rFonts w:ascii="Calibri" w:eastAsia="Calibri" w:hAnsi="Calibri" w:cs="Calibri"/>
      <w:b/>
      <w:bCs/>
      <w:i w:val="0"/>
      <w:iCs w:val="0"/>
      <w:smallCaps w:val="0"/>
      <w:strike w:val="0"/>
      <w:sz w:val="21"/>
      <w:szCs w:val="21"/>
      <w:u w:val="none"/>
    </w:rPr>
  </w:style>
  <w:style w:type="paragraph" w:customStyle="1" w:styleId="Heading10">
    <w:name w:val="Heading #1"/>
    <w:basedOn w:val="Normln"/>
    <w:link w:val="Heading1"/>
    <w:pPr>
      <w:shd w:val="clear" w:color="auto" w:fill="FFFFFF"/>
      <w:spacing w:after="300" w:line="190" w:lineRule="exact"/>
      <w:outlineLvl w:val="0"/>
    </w:pPr>
    <w:rPr>
      <w:rFonts w:ascii="Calibri" w:eastAsia="Calibri" w:hAnsi="Calibri" w:cs="Calibri"/>
      <w:b/>
      <w:bCs/>
      <w:sz w:val="21"/>
      <w:szCs w:val="21"/>
    </w:rPr>
  </w:style>
  <w:style w:type="paragraph" w:customStyle="1" w:styleId="Bodytext20">
    <w:name w:val="Body text (2)"/>
    <w:basedOn w:val="Normln"/>
    <w:link w:val="Bodytext2"/>
    <w:pPr>
      <w:shd w:val="clear" w:color="auto" w:fill="FFFFFF"/>
      <w:spacing w:after="300" w:line="254" w:lineRule="exact"/>
    </w:pPr>
    <w:rPr>
      <w:rFonts w:ascii="Calibri" w:eastAsia="Calibri" w:hAnsi="Calibri" w:cs="Calibri"/>
      <w:sz w:val="21"/>
      <w:szCs w:val="21"/>
    </w:rPr>
  </w:style>
  <w:style w:type="paragraph" w:customStyle="1" w:styleId="Headerorfooter0">
    <w:name w:val="Header or footer"/>
    <w:basedOn w:val="Normln"/>
    <w:link w:val="Headerorfooter"/>
    <w:pPr>
      <w:shd w:val="clear" w:color="auto" w:fill="FFFFFF"/>
      <w:spacing w:line="212" w:lineRule="exact"/>
    </w:pPr>
    <w:rPr>
      <w:rFonts w:ascii="Calibri" w:eastAsia="Calibri" w:hAnsi="Calibri" w:cs="Calibri"/>
      <w:sz w:val="21"/>
      <w:szCs w:val="21"/>
    </w:rPr>
  </w:style>
  <w:style w:type="paragraph" w:customStyle="1" w:styleId="Bodytext30">
    <w:name w:val="Body text (3)"/>
    <w:basedOn w:val="Normln"/>
    <w:link w:val="Bodytext3"/>
    <w:pPr>
      <w:shd w:val="clear" w:color="auto" w:fill="FFFFFF"/>
      <w:spacing w:before="520" w:after="60" w:line="190" w:lineRule="exact"/>
      <w:jc w:val="center"/>
    </w:pPr>
    <w:rPr>
      <w:rFonts w:ascii="Calibri" w:eastAsia="Calibri" w:hAnsi="Calibri" w:cs="Calibri"/>
      <w:b/>
      <w:bCs/>
      <w:sz w:val="16"/>
      <w:szCs w:val="16"/>
    </w:rPr>
  </w:style>
  <w:style w:type="paragraph" w:customStyle="1" w:styleId="Bodytext40">
    <w:name w:val="Body text (4)"/>
    <w:basedOn w:val="Normln"/>
    <w:link w:val="Bodytext4"/>
    <w:pPr>
      <w:shd w:val="clear" w:color="auto" w:fill="FFFFFF"/>
      <w:spacing w:after="60" w:line="190" w:lineRule="exact"/>
      <w:jc w:val="center"/>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1794</Words>
  <Characters>10585</Characters>
  <Application>Microsoft Office Word</Application>
  <DocSecurity>0</DocSecurity>
  <Lines>88</Lines>
  <Paragraphs>24</Paragraphs>
  <ScaleCrop>false</ScaleCrop>
  <Company>Hudební divadlo Karlín</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2021-10-22T12:47:00Z</dcterms:created>
  <dcterms:modified xsi:type="dcterms:W3CDTF">2021-10-27T19:48:00Z</dcterms:modified>
</cp:coreProperties>
</file>