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Brantice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19.02.2020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2 605,02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19.02.2020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1 111,58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19.02.2020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3 230,70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65116,00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7 363,32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Loučky u Zátoru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9090,00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Opavské Předměstí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19.02.2020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4366,00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554,22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Radim u Brantic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19.02.2020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19.02.2020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16273,00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1 070,43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Zátor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19.02.2020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19.02.2020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9313,00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667,93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104158,00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10 397,83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10 398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1 pachtovní smlouvy č. 14N20/26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14.09.2021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