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91131" w14:textId="15C6BC30" w:rsidR="00020BC8" w:rsidRPr="00521689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521689">
        <w:rPr>
          <w:rFonts w:ascii="Cambria" w:hAnsi="Cambria" w:cstheme="minorHAnsi"/>
          <w:b/>
          <w:sz w:val="32"/>
          <w:szCs w:val="32"/>
        </w:rPr>
        <w:t>Smlouva o dílo</w:t>
      </w:r>
    </w:p>
    <w:p w14:paraId="1DD58934" w14:textId="77777777" w:rsidR="00D76F72" w:rsidRPr="00521689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D1C5B" w:rsidRPr="00521689" w14:paraId="77D1804B" w14:textId="77777777" w:rsidTr="005C79F8">
        <w:tc>
          <w:tcPr>
            <w:tcW w:w="2350" w:type="dxa"/>
          </w:tcPr>
          <w:p w14:paraId="716E8F0B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39727A7B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4D1C5B" w:rsidRPr="00521689" w14:paraId="101A4941" w14:textId="77777777" w:rsidTr="005C79F8">
        <w:tc>
          <w:tcPr>
            <w:tcW w:w="2350" w:type="dxa"/>
          </w:tcPr>
          <w:p w14:paraId="3B33C59E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4C31085A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1" w:name="_Hlk530055023"/>
            <w:r w:rsidRPr="00521689">
              <w:rPr>
                <w:rFonts w:ascii="Cambria" w:hAnsi="Cambria" w:cstheme="minorHAnsi"/>
              </w:rPr>
              <w:t>06578705</w:t>
            </w:r>
            <w:bookmarkEnd w:id="1"/>
          </w:p>
        </w:tc>
      </w:tr>
      <w:tr w:rsidR="004D1C5B" w:rsidRPr="00521689" w14:paraId="76174945" w14:textId="77777777" w:rsidTr="005C79F8">
        <w:tc>
          <w:tcPr>
            <w:tcW w:w="2350" w:type="dxa"/>
          </w:tcPr>
          <w:p w14:paraId="5B78ECF2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4926F1CE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CZ06578705</w:t>
            </w:r>
          </w:p>
        </w:tc>
      </w:tr>
      <w:tr w:rsidR="004D1C5B" w:rsidRPr="00521689" w14:paraId="7AFC8986" w14:textId="77777777" w:rsidTr="005C79F8">
        <w:tc>
          <w:tcPr>
            <w:tcW w:w="2350" w:type="dxa"/>
          </w:tcPr>
          <w:p w14:paraId="7662C94F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46D1D59C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4D1C5B" w:rsidRPr="00521689" w14:paraId="500E2C3C" w14:textId="77777777" w:rsidTr="005C79F8">
        <w:tc>
          <w:tcPr>
            <w:tcW w:w="2350" w:type="dxa"/>
          </w:tcPr>
          <w:p w14:paraId="4534E14D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Pracoviště:</w:t>
            </w:r>
          </w:p>
        </w:tc>
        <w:tc>
          <w:tcPr>
            <w:tcW w:w="6722" w:type="dxa"/>
          </w:tcPr>
          <w:p w14:paraId="18B4181F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</w:rPr>
            </w:pPr>
            <w:r w:rsidRPr="00C434F0">
              <w:rPr>
                <w:rFonts w:ascii="Cambria" w:hAnsi="Cambria" w:cstheme="minorHAnsi"/>
              </w:rPr>
              <w:t>Na Žertvách 132/24, Praha 8</w:t>
            </w:r>
          </w:p>
        </w:tc>
      </w:tr>
      <w:tr w:rsidR="004D1C5B" w:rsidRPr="00521689" w14:paraId="45B531B5" w14:textId="77777777" w:rsidTr="005C79F8">
        <w:tc>
          <w:tcPr>
            <w:tcW w:w="2350" w:type="dxa"/>
          </w:tcPr>
          <w:p w14:paraId="4AC3E4DE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58300824" w14:textId="77777777" w:rsidR="004D1C5B" w:rsidRPr="00521689" w:rsidRDefault="004D1C5B" w:rsidP="005C79F8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Mgr. Zdeněk Veselý, generální ředitel</w:t>
            </w:r>
          </w:p>
        </w:tc>
      </w:tr>
    </w:tbl>
    <w:p w14:paraId="5340C46B" w14:textId="77777777" w:rsidR="004D1C5B" w:rsidRPr="00521689" w:rsidRDefault="004D1C5B" w:rsidP="004D1C5B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</w:p>
    <w:p w14:paraId="6C4D06E9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bookmarkEnd w:id="0"/>
    <w:p w14:paraId="2FDD4F90" w14:textId="77777777" w:rsidR="00F07900" w:rsidRPr="00521689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521689" w:rsidRPr="00521689" w14:paraId="23DFF343" w14:textId="77777777" w:rsidTr="00EC34C3">
        <w:tc>
          <w:tcPr>
            <w:tcW w:w="2376" w:type="dxa"/>
          </w:tcPr>
          <w:p w14:paraId="16C6355C" w14:textId="7A068EFF" w:rsidR="00521689" w:rsidRPr="00521689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="00521689"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4CF9BD4C" w14:textId="75A095E4" w:rsidR="00521689" w:rsidRP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Český metrologický institut</w:t>
            </w:r>
          </w:p>
        </w:tc>
      </w:tr>
      <w:tr w:rsidR="00521689" w:rsidRPr="00521689" w14:paraId="7E592684" w14:textId="77777777" w:rsidTr="00EC34C3">
        <w:tc>
          <w:tcPr>
            <w:tcW w:w="2376" w:type="dxa"/>
          </w:tcPr>
          <w:p w14:paraId="61842555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25991F79" w14:textId="2466DF65" w:rsidR="00521689" w:rsidRP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00177016</w:t>
            </w:r>
          </w:p>
        </w:tc>
      </w:tr>
      <w:tr w:rsidR="00521689" w:rsidRPr="00521689" w14:paraId="2C8F13A2" w14:textId="77777777" w:rsidTr="00EC34C3">
        <w:tc>
          <w:tcPr>
            <w:tcW w:w="2376" w:type="dxa"/>
          </w:tcPr>
          <w:p w14:paraId="3D2793AF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3259729F" w14:textId="5B3F27AA" w:rsidR="00521689" w:rsidRP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CZ00177016</w:t>
            </w:r>
          </w:p>
        </w:tc>
      </w:tr>
      <w:tr w:rsidR="00521689" w:rsidRPr="00521689" w14:paraId="7C8A66DC" w14:textId="77777777" w:rsidTr="00EC34C3">
        <w:tc>
          <w:tcPr>
            <w:tcW w:w="2376" w:type="dxa"/>
          </w:tcPr>
          <w:p w14:paraId="07F0E77A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3FECDA95" w14:textId="687443DE" w:rsidR="00521689" w:rsidRPr="00521689" w:rsidRDefault="0031378D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Okružní 31, 638 00   Brno, Česká republika</w:t>
            </w:r>
          </w:p>
        </w:tc>
      </w:tr>
      <w:tr w:rsidR="00521689" w:rsidRPr="00521689" w14:paraId="48B56DD7" w14:textId="77777777" w:rsidTr="00EC34C3">
        <w:tc>
          <w:tcPr>
            <w:tcW w:w="2376" w:type="dxa"/>
          </w:tcPr>
          <w:p w14:paraId="6498F2DE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AAA0CAF" w14:textId="081B38F7" w:rsidR="00521689" w:rsidRP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doc. RNDr. Jiří Tesař, Ph.D.</w:t>
            </w:r>
          </w:p>
        </w:tc>
      </w:tr>
      <w:tr w:rsidR="00521689" w:rsidRPr="00521689" w14:paraId="07DEA46B" w14:textId="77777777" w:rsidTr="00EC34C3">
        <w:tc>
          <w:tcPr>
            <w:tcW w:w="2376" w:type="dxa"/>
          </w:tcPr>
          <w:p w14:paraId="31EE044D" w14:textId="77777777" w:rsid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Zápis v OR, sp.zn.:</w:t>
            </w:r>
          </w:p>
          <w:p w14:paraId="4441C93C" w14:textId="77777777" w:rsidR="0031378D" w:rsidRDefault="0031378D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7343A9E5" w14:textId="1D28E0B9" w:rsidR="003E02C7" w:rsidRPr="00521689" w:rsidRDefault="003E02C7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56AAF2D3" w14:textId="3F3B5C39" w:rsid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Příspěvková organizace zřízená MPO (ke dni 1.1.1993)</w:t>
            </w:r>
          </w:p>
          <w:p w14:paraId="05D99966" w14:textId="5ED56566" w:rsidR="0031378D" w:rsidRPr="00521689" w:rsidRDefault="0031378D" w:rsidP="00EC34C3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státní instituce s plnou právní subjektivitou</w:t>
            </w:r>
            <w:bookmarkStart w:id="2" w:name="_GoBack"/>
            <w:bookmarkEnd w:id="2"/>
          </w:p>
        </w:tc>
      </w:tr>
    </w:tbl>
    <w:p w14:paraId="03563F7E" w14:textId="680AC22B" w:rsidR="00521689" w:rsidRPr="00521689" w:rsidRDefault="00521689" w:rsidP="00521689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274E78CD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087D1436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521689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uzavírají</w:t>
      </w:r>
      <w:r w:rsidR="00A5236E" w:rsidRPr="00521689">
        <w:rPr>
          <w:rFonts w:ascii="Cambria" w:hAnsi="Cambria" w:cstheme="minorHAnsi"/>
        </w:rPr>
        <w:t>,</w:t>
      </w:r>
      <w:r w:rsidRPr="00521689">
        <w:rPr>
          <w:rFonts w:ascii="Cambria" w:hAnsi="Cambria" w:cstheme="minorHAnsi"/>
        </w:rPr>
        <w:t xml:space="preserve"> ve smyslu ustanovení § </w:t>
      </w:r>
      <w:r w:rsidR="00521689" w:rsidRPr="00521689">
        <w:rPr>
          <w:rFonts w:ascii="Cambria" w:hAnsi="Cambria" w:cstheme="minorHAnsi"/>
        </w:rPr>
        <w:t>2586</w:t>
      </w:r>
      <w:r w:rsidR="00E4340A" w:rsidRPr="00521689">
        <w:rPr>
          <w:rFonts w:ascii="Cambria" w:hAnsi="Cambria" w:cstheme="minorHAnsi"/>
        </w:rPr>
        <w:t xml:space="preserve"> </w:t>
      </w:r>
      <w:r w:rsidR="007332D3" w:rsidRPr="00521689">
        <w:rPr>
          <w:rFonts w:ascii="Cambria" w:hAnsi="Cambria" w:cstheme="minorHAnsi"/>
        </w:rPr>
        <w:t>a násl.</w:t>
      </w:r>
      <w:r w:rsidRPr="00521689">
        <w:rPr>
          <w:rFonts w:ascii="Cambria" w:hAnsi="Cambria" w:cstheme="minorHAnsi"/>
        </w:rPr>
        <w:t xml:space="preserve"> zákona</w:t>
      </w:r>
      <w:r w:rsidR="00C153FD" w:rsidRPr="00521689">
        <w:rPr>
          <w:rFonts w:ascii="Cambria" w:hAnsi="Cambria" w:cstheme="minorHAnsi"/>
        </w:rPr>
        <w:t xml:space="preserve"> č.</w:t>
      </w:r>
      <w:r w:rsidRPr="00521689">
        <w:rPr>
          <w:rFonts w:ascii="Cambria" w:hAnsi="Cambria" w:cstheme="minorHAnsi"/>
        </w:rPr>
        <w:t xml:space="preserve"> </w:t>
      </w:r>
      <w:r w:rsidR="00D76F72" w:rsidRPr="00521689">
        <w:rPr>
          <w:rFonts w:ascii="Cambria" w:hAnsi="Cambria" w:cstheme="minorHAnsi"/>
        </w:rPr>
        <w:t>89/2012 Sb., občanský zákoník</w:t>
      </w:r>
      <w:r w:rsidRPr="00521689">
        <w:rPr>
          <w:rFonts w:ascii="Cambria" w:hAnsi="Cambria" w:cstheme="minorHAnsi"/>
        </w:rPr>
        <w:t>, ve znění pozdějších předpisů</w:t>
      </w:r>
      <w:r w:rsidR="00A5236E" w:rsidRPr="00521689">
        <w:rPr>
          <w:rFonts w:ascii="Cambria" w:hAnsi="Cambria" w:cstheme="minorHAnsi"/>
        </w:rPr>
        <w:t xml:space="preserve">, </w:t>
      </w:r>
      <w:r w:rsidR="008C5769" w:rsidRPr="00521689">
        <w:rPr>
          <w:rFonts w:ascii="Cambria" w:hAnsi="Cambria" w:cstheme="minorHAnsi"/>
        </w:rPr>
        <w:t>tuto</w:t>
      </w:r>
    </w:p>
    <w:p w14:paraId="76E3CFF0" w14:textId="77777777" w:rsidR="00A5236E" w:rsidRPr="00521689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521689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21689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521689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(dále jen „</w:t>
      </w:r>
      <w:r w:rsidRPr="00521689">
        <w:rPr>
          <w:rFonts w:ascii="Cambria" w:hAnsi="Cambria" w:cstheme="minorHAnsi"/>
          <w:b/>
        </w:rPr>
        <w:t>Smlouva</w:t>
      </w:r>
      <w:r w:rsidRPr="00521689">
        <w:rPr>
          <w:rFonts w:ascii="Cambria" w:hAnsi="Cambria" w:cstheme="minorHAnsi"/>
        </w:rPr>
        <w:t>“)</w:t>
      </w:r>
    </w:p>
    <w:p w14:paraId="48DAA78A" w14:textId="77777777" w:rsidR="00020BC8" w:rsidRPr="00521689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521689">
        <w:rPr>
          <w:rFonts w:ascii="Cambria" w:hAnsi="Cambria" w:cstheme="minorHAnsi"/>
          <w:b/>
        </w:rPr>
        <w:t>Úvodní</w:t>
      </w:r>
      <w:r w:rsidR="00020BC8" w:rsidRPr="00521689">
        <w:rPr>
          <w:rFonts w:ascii="Cambria" w:hAnsi="Cambria" w:cstheme="minorHAnsi"/>
          <w:b/>
        </w:rPr>
        <w:t xml:space="preserve"> ustanovení</w:t>
      </w:r>
      <w:r w:rsidR="00020BC8" w:rsidRPr="00521689">
        <w:rPr>
          <w:rFonts w:ascii="Cambria" w:hAnsi="Cambria" w:cstheme="minorHAnsi"/>
          <w:b/>
          <w:smallCaps/>
        </w:rPr>
        <w:t xml:space="preserve"> </w:t>
      </w:r>
    </w:p>
    <w:p w14:paraId="718DCA14" w14:textId="77777777" w:rsidR="00BE695F" w:rsidRPr="00E4213F" w:rsidRDefault="00347595" w:rsidP="00BE695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>Zhotovitel p</w:t>
      </w:r>
      <w:r w:rsidR="00BD53ED" w:rsidRPr="00E4213F">
        <w:rPr>
          <w:rFonts w:ascii="Cambria" w:hAnsi="Cambria" w:cstheme="minorHAnsi"/>
        </w:rPr>
        <w:t xml:space="preserve">rohlašuje, že </w:t>
      </w:r>
      <w:r w:rsidRPr="00E4213F">
        <w:rPr>
          <w:rFonts w:ascii="Cambria" w:hAnsi="Cambria" w:cstheme="minorHAnsi"/>
        </w:rPr>
        <w:t>má dostatečné</w:t>
      </w:r>
      <w:r w:rsidR="00BD53ED" w:rsidRPr="00E4213F">
        <w:rPr>
          <w:rFonts w:ascii="Cambria" w:hAnsi="Cambria" w:cstheme="minorHAnsi"/>
        </w:rPr>
        <w:t xml:space="preserve"> zkušenosti a schopnosti, aby řádně a včas provedl Dílo (jak je definováno níže) dle této Smlouvy a je tak způsobilý jej splnit.</w:t>
      </w:r>
    </w:p>
    <w:p w14:paraId="629FC8E2" w14:textId="2825FB98" w:rsidR="00652DAD" w:rsidRDefault="00BE695F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 xml:space="preserve">Zhotovitel prohlašuje, že je odborně znalý a schopný k poskytování plnění dle této Smlouvy, že má nastaveny kapacity i vnitřní procesy tak, aby byl schopen poskytnout plnění v souladu se Smlouvou. </w:t>
      </w:r>
      <w:r w:rsidR="0003487A" w:rsidRPr="00E4213F">
        <w:rPr>
          <w:rFonts w:ascii="Cambria" w:hAnsi="Cambria" w:cstheme="minorHAnsi"/>
        </w:rPr>
        <w:t>Zhotovitel</w:t>
      </w:r>
      <w:r w:rsidRPr="00E4213F">
        <w:rPr>
          <w:rFonts w:ascii="Cambria" w:hAnsi="Cambria" w:cstheme="minorHAnsi"/>
        </w:rPr>
        <w:t xml:space="preserve"> dále prohlašuje, že Smlouva obsahuje pravdivé a realistické údaje a pokud se dodatečně ukáže, že pro splnění jakékoliv jeho povinnosti je potřebné vynaložit další náklady nad rámec výslovně uvedený ve Smlouvě, ponese tyto náklady Zhotovitel. </w:t>
      </w:r>
    </w:p>
    <w:p w14:paraId="21CDB0F3" w14:textId="6B0D894B" w:rsidR="00157E62" w:rsidRDefault="00F377A0" w:rsidP="00652D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Tato Smlouva je uzavřena na základě výsledku zadávacího řízení dle zákona č. 134/2016 Sb., o zadávání veřejných zakázek, ve znění pozdějších předpisů, při veřejné zakázce s názvem „</w:t>
      </w:r>
      <w:r w:rsidR="00C041C6" w:rsidRPr="00801FC2">
        <w:rPr>
          <w:rFonts w:ascii="Cambria" w:hAnsi="Cambria" w:cstheme="minorHAnsi"/>
          <w:b/>
        </w:rPr>
        <w:t xml:space="preserve">Zpracování technického předpisu pro </w:t>
      </w:r>
      <w:r w:rsidR="003752ED">
        <w:rPr>
          <w:rFonts w:ascii="Cambria" w:hAnsi="Cambria" w:cstheme="minorHAnsi"/>
          <w:b/>
        </w:rPr>
        <w:t>veřejné nabíjecí stanice elektromobilů</w:t>
      </w:r>
      <w:r>
        <w:rPr>
          <w:rFonts w:ascii="Cambria" w:hAnsi="Cambria" w:cstheme="minorHAnsi"/>
        </w:rPr>
        <w:t>“, ve které byla nabídka Zhotovitele vybrána jako nejv</w:t>
      </w:r>
      <w:r w:rsidR="009A247D">
        <w:rPr>
          <w:rFonts w:ascii="Cambria" w:hAnsi="Cambria" w:cstheme="minorHAnsi"/>
        </w:rPr>
        <w:t>ý</w:t>
      </w:r>
      <w:r>
        <w:rPr>
          <w:rFonts w:ascii="Cambria" w:hAnsi="Cambria" w:cstheme="minorHAnsi"/>
        </w:rPr>
        <w:t>hodnější.</w:t>
      </w:r>
    </w:p>
    <w:p w14:paraId="714A62FF" w14:textId="6E85F52F" w:rsidR="00AC4948" w:rsidRDefault="00131B57" w:rsidP="00BD6D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prohlašuje, že je příspěvkovou organizací, jejímž zřizovatelem je </w:t>
      </w:r>
      <w:r w:rsidRPr="00971A1D">
        <w:rPr>
          <w:rFonts w:ascii="Cambria" w:hAnsi="Cambria" w:cstheme="minorHAnsi"/>
        </w:rPr>
        <w:t>Ministerstvo průmyslu a obchodu České republiky</w:t>
      </w:r>
      <w:r>
        <w:rPr>
          <w:rFonts w:ascii="Cambria" w:hAnsi="Cambria" w:cstheme="minorHAnsi"/>
        </w:rPr>
        <w:t>. V souladu se zřizovací listinou Zhotovitele je Zhotovitel národním metrologickým institutem České republiky, jehož hlavním předmětem činnosti je plnění činností, které mu byly svěřeny na základě zákona č. 505/1990 Sb., o metrologii, ve znění pozdějších předpisů, tedy jednak plnění funkcí národního metrologického institutu v oblasti vědy, výzkumu a aplikace poznatků metrologie do praktického užití, jakož i zabezpečování funkcí výkonného metrologického orgánu legální a průmyslové metrologie. Zhotovitel je národním metrologickým institutem České republiky, který svou činností vytváří základní předpoklady pro zabezpečení jednotnosti a správnosti měřidel a měření ve všech oborech vědecké, technické a hospodářské činnosti. Jednou z hlavních činností Zhotovitele je zpracování metrologických předpisů a jiných normativních dokumentů stanovujících technické požadavky na měřidla a metody přenosu hodnot měřících jednotek ze státních etalonů na etalony nižších řádů a pracovní měřidla, a zpracováních věcných podkladů návrhů vyhlášek k zajišťování jednotnosti a správnosti měřidel a měření, vyhlášek stanovujících měřidla podléhajících schválení typu a ověřování, zpracování a vydávání opatření obecné povahy</w:t>
      </w:r>
      <w:r w:rsidR="004C231C">
        <w:rPr>
          <w:rFonts w:ascii="Cambria" w:hAnsi="Cambria" w:cstheme="minorHAnsi"/>
        </w:rPr>
        <w:t xml:space="preserve">. </w:t>
      </w:r>
    </w:p>
    <w:p w14:paraId="395087AF" w14:textId="69A21B0E" w:rsidR="004C231C" w:rsidRPr="00BD6D6E" w:rsidRDefault="004C231C" w:rsidP="00BD6D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 ohledem na výše uvedené </w:t>
      </w:r>
      <w:r w:rsidR="00A62733">
        <w:rPr>
          <w:rFonts w:ascii="Cambria" w:hAnsi="Cambria" w:cstheme="minorHAnsi"/>
        </w:rPr>
        <w:t xml:space="preserve">smluvní strany konstatují, že Zhotovitel je osobou, která má dostatečné pravomoci, znalosti a zkušenosti, aby provedla Dílo, jak je definováno níže v této Smlouvě. </w:t>
      </w:r>
    </w:p>
    <w:p w14:paraId="044C6AE5" w14:textId="0C772E1C" w:rsidR="00D9011F" w:rsidRPr="00347595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Předmět Smlouvy</w:t>
      </w:r>
    </w:p>
    <w:p w14:paraId="160FBB50" w14:textId="23F85FF0" w:rsidR="00157E62" w:rsidRPr="00E945E7" w:rsidRDefault="00977026" w:rsidP="00E945E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A18CE">
        <w:rPr>
          <w:rFonts w:ascii="Cambria" w:hAnsi="Cambria" w:cstheme="minorHAnsi"/>
        </w:rPr>
        <w:t xml:space="preserve">Zhotovitel </w:t>
      </w:r>
      <w:bookmarkStart w:id="3" w:name="_Hlk57296914"/>
      <w:r w:rsidR="00792A30">
        <w:rPr>
          <w:rFonts w:ascii="Cambria" w:hAnsi="Cambria" w:cstheme="minorHAnsi"/>
        </w:rPr>
        <w:t>se na základě této Smlouvy zavazuje pro Objednatele provést dílo spočívající</w:t>
      </w:r>
      <w:r w:rsidR="00B742B0">
        <w:rPr>
          <w:rFonts w:ascii="Cambria" w:hAnsi="Cambria" w:cstheme="minorHAnsi"/>
        </w:rPr>
        <w:t xml:space="preserve"> ve </w:t>
      </w:r>
      <w:r w:rsidR="00D56C59">
        <w:rPr>
          <w:rFonts w:ascii="Cambria" w:hAnsi="Cambria" w:cstheme="minorHAnsi"/>
        </w:rPr>
        <w:t>vy</w:t>
      </w:r>
      <w:r w:rsidR="00B742B0" w:rsidRPr="00B742B0">
        <w:rPr>
          <w:rFonts w:ascii="Cambria" w:hAnsi="Cambria" w:cstheme="minorHAnsi"/>
        </w:rPr>
        <w:t xml:space="preserve">pracování technického předpisu </w:t>
      </w:r>
      <w:bookmarkEnd w:id="3"/>
      <w:r w:rsidR="00E945E7" w:rsidRPr="00E945E7">
        <w:rPr>
          <w:rFonts w:ascii="Cambria" w:hAnsi="Cambria" w:cstheme="minorHAnsi"/>
        </w:rPr>
        <w:t xml:space="preserve">obsahující metrologické požadavky a metody zkoušení pro </w:t>
      </w:r>
      <w:r w:rsidR="003752ED">
        <w:rPr>
          <w:rFonts w:ascii="Cambria" w:hAnsi="Cambria" w:cstheme="minorHAnsi"/>
        </w:rPr>
        <w:t>veřejné nabíjecí stanice elektromobilů</w:t>
      </w:r>
      <w:r w:rsidR="00FC2664">
        <w:rPr>
          <w:rFonts w:ascii="Cambria" w:hAnsi="Cambria" w:cstheme="minorHAnsi"/>
        </w:rPr>
        <w:t xml:space="preserve"> </w:t>
      </w:r>
      <w:r w:rsidR="00157E62" w:rsidRPr="00E945E7">
        <w:rPr>
          <w:rFonts w:ascii="Cambria" w:hAnsi="Cambria" w:cstheme="minorHAnsi"/>
        </w:rPr>
        <w:t>(dále jen „</w:t>
      </w:r>
      <w:r w:rsidR="00157E62" w:rsidRPr="00E945E7">
        <w:rPr>
          <w:rFonts w:ascii="Cambria" w:hAnsi="Cambria" w:cstheme="minorHAnsi"/>
          <w:b/>
          <w:bCs/>
        </w:rPr>
        <w:t>Dílo</w:t>
      </w:r>
      <w:r w:rsidR="00157E62" w:rsidRPr="00E945E7">
        <w:rPr>
          <w:rFonts w:ascii="Cambria" w:hAnsi="Cambria" w:cstheme="minorHAnsi"/>
        </w:rPr>
        <w:t xml:space="preserve">“). </w:t>
      </w:r>
      <w:r w:rsidR="00FA2456">
        <w:rPr>
          <w:rFonts w:ascii="Cambria" w:hAnsi="Cambria" w:cstheme="minorHAnsi"/>
        </w:rPr>
        <w:t xml:space="preserve">Při provádění Díla </w:t>
      </w:r>
      <w:r w:rsidR="00227F51">
        <w:rPr>
          <w:rFonts w:ascii="Cambria" w:hAnsi="Cambria" w:cstheme="minorHAnsi"/>
        </w:rPr>
        <w:t>Zhotovitel</w:t>
      </w:r>
      <w:r w:rsidR="00AD5DD4">
        <w:rPr>
          <w:rFonts w:ascii="Cambria" w:hAnsi="Cambria" w:cstheme="minorHAnsi"/>
        </w:rPr>
        <w:t xml:space="preserve"> zohlední</w:t>
      </w:r>
      <w:r w:rsidR="00227F51">
        <w:rPr>
          <w:rFonts w:ascii="Cambria" w:hAnsi="Cambria" w:cstheme="minorHAnsi"/>
        </w:rPr>
        <w:t xml:space="preserve"> </w:t>
      </w:r>
      <w:r w:rsidR="00F953C1" w:rsidRPr="00F953C1">
        <w:rPr>
          <w:rFonts w:ascii="Cambria" w:hAnsi="Cambria" w:cstheme="minorHAnsi"/>
        </w:rPr>
        <w:t>výsledky z výzkumu EMPIR</w:t>
      </w:r>
      <w:r w:rsidR="00BC4A04">
        <w:rPr>
          <w:rFonts w:ascii="Cambria" w:hAnsi="Cambria" w:cstheme="minorHAnsi"/>
        </w:rPr>
        <w:t xml:space="preserve"> (</w:t>
      </w:r>
      <w:r w:rsidR="00BC4A04" w:rsidRPr="00BC4A04">
        <w:rPr>
          <w:rFonts w:ascii="Cambria" w:hAnsi="Cambria" w:cstheme="minorHAnsi"/>
        </w:rPr>
        <w:t>Evropský metrologický program pro inovace a výzkum</w:t>
      </w:r>
      <w:r w:rsidR="00BC4A04">
        <w:rPr>
          <w:rFonts w:ascii="Cambria" w:hAnsi="Cambria" w:cstheme="minorHAnsi"/>
        </w:rPr>
        <w:t>)</w:t>
      </w:r>
      <w:r w:rsidR="00F953C1" w:rsidRPr="00F953C1">
        <w:rPr>
          <w:rFonts w:ascii="Cambria" w:hAnsi="Cambria" w:cstheme="minorHAnsi"/>
        </w:rPr>
        <w:t xml:space="preserve"> </w:t>
      </w:r>
      <w:r w:rsidR="00AD5DD4">
        <w:rPr>
          <w:rFonts w:ascii="Cambria" w:hAnsi="Cambria" w:cstheme="minorHAnsi"/>
        </w:rPr>
        <w:t xml:space="preserve">pro </w:t>
      </w:r>
      <w:r w:rsidR="00015CA0">
        <w:rPr>
          <w:rFonts w:ascii="Cambria" w:hAnsi="Cambria" w:cstheme="minorHAnsi"/>
        </w:rPr>
        <w:t>předmětnou oblast</w:t>
      </w:r>
      <w:r w:rsidR="00BC4A04">
        <w:rPr>
          <w:rFonts w:ascii="Cambria" w:hAnsi="Cambria" w:cstheme="minorHAnsi"/>
        </w:rPr>
        <w:t>.</w:t>
      </w:r>
      <w:r w:rsidR="00E65756">
        <w:rPr>
          <w:rFonts w:ascii="Cambria" w:hAnsi="Cambria" w:cstheme="minorHAnsi"/>
        </w:rPr>
        <w:t xml:space="preserve"> Zhotovitel prohlašuje, že má výsledky </w:t>
      </w:r>
      <w:r w:rsidR="00E65756" w:rsidRPr="00F953C1">
        <w:rPr>
          <w:rFonts w:ascii="Cambria" w:hAnsi="Cambria" w:cstheme="minorHAnsi"/>
        </w:rPr>
        <w:t>z výzkumu EMPIR</w:t>
      </w:r>
      <w:r w:rsidR="00E65756">
        <w:rPr>
          <w:rFonts w:ascii="Cambria" w:hAnsi="Cambria" w:cstheme="minorHAnsi"/>
        </w:rPr>
        <w:t xml:space="preserve"> k dispozici.</w:t>
      </w:r>
    </w:p>
    <w:p w14:paraId="017052D1" w14:textId="0A854C2A" w:rsidR="008F3B4F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 xml:space="preserve">Objednatel se zavazuje za Dílo uhradit Zhotoviteli </w:t>
      </w:r>
      <w:r w:rsidR="005D7AD3">
        <w:rPr>
          <w:rFonts w:ascii="Cambria" w:hAnsi="Cambria" w:cstheme="minorHAnsi"/>
        </w:rPr>
        <w:t>Cenu</w:t>
      </w:r>
      <w:r w:rsidRPr="0042756F">
        <w:rPr>
          <w:rFonts w:ascii="Cambria" w:hAnsi="Cambria" w:cstheme="minorHAnsi"/>
        </w:rPr>
        <w:t xml:space="preserve"> ve výši a za podmínek uvedených v této Smlouvě. </w:t>
      </w:r>
    </w:p>
    <w:p w14:paraId="36C78FCB" w14:textId="20E442DA" w:rsidR="003752ED" w:rsidRDefault="003752ED" w:rsidP="003752ED">
      <w:pPr>
        <w:spacing w:after="120" w:line="276" w:lineRule="auto"/>
        <w:ind w:left="716"/>
        <w:jc w:val="both"/>
        <w:rPr>
          <w:rFonts w:ascii="Cambria" w:hAnsi="Cambria" w:cstheme="minorHAnsi"/>
        </w:rPr>
      </w:pPr>
    </w:p>
    <w:p w14:paraId="6FE57272" w14:textId="77777777" w:rsidR="003752ED" w:rsidRPr="0042756F" w:rsidRDefault="003752ED" w:rsidP="003752ED">
      <w:pPr>
        <w:spacing w:after="120" w:line="276" w:lineRule="auto"/>
        <w:ind w:left="716"/>
        <w:jc w:val="both"/>
        <w:rPr>
          <w:rFonts w:ascii="Cambria" w:hAnsi="Cambria" w:cstheme="minorHAnsi"/>
        </w:rPr>
      </w:pPr>
    </w:p>
    <w:p w14:paraId="0261DE3D" w14:textId="0EF47D6B" w:rsidR="00E9379C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Způsob provádění Díla</w:t>
      </w:r>
    </w:p>
    <w:p w14:paraId="7CB9040F" w14:textId="618B8434" w:rsidR="003C5DF4" w:rsidRDefault="004015D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je povinen provádět Dílo samostatně. Jakoukoli součinnost, kterou by vyžadoval ze </w:t>
      </w:r>
      <w:r w:rsidR="00925170">
        <w:rPr>
          <w:rFonts w:ascii="Cambria" w:hAnsi="Cambria" w:cstheme="minorHAnsi"/>
        </w:rPr>
        <w:t xml:space="preserve">strany </w:t>
      </w:r>
      <w:r>
        <w:rPr>
          <w:rFonts w:ascii="Cambria" w:hAnsi="Cambria" w:cstheme="minorHAnsi"/>
        </w:rPr>
        <w:t>Objednatele</w:t>
      </w:r>
      <w:r w:rsidR="006D2EF2">
        <w:rPr>
          <w:rFonts w:ascii="Cambria" w:hAnsi="Cambria" w:cstheme="minorHAnsi"/>
        </w:rPr>
        <w:t xml:space="preserve"> v souvislosti s prováděním Díla</w:t>
      </w:r>
      <w:r>
        <w:rPr>
          <w:rFonts w:ascii="Cambria" w:hAnsi="Cambria" w:cstheme="minorHAnsi"/>
        </w:rPr>
        <w:t xml:space="preserve"> je Zhotovitel povinen </w:t>
      </w:r>
      <w:r w:rsidR="006D2EF2">
        <w:rPr>
          <w:rFonts w:ascii="Cambria" w:hAnsi="Cambria" w:cstheme="minorHAnsi"/>
        </w:rPr>
        <w:t>adresovat Objednateli</w:t>
      </w:r>
      <w:r w:rsidR="00460F07">
        <w:rPr>
          <w:rFonts w:ascii="Cambria" w:hAnsi="Cambria" w:cstheme="minorHAnsi"/>
        </w:rPr>
        <w:t xml:space="preserve"> formou žádosti o poskytnutí součinnosti</w:t>
      </w:r>
      <w:r w:rsidR="006D2EF2">
        <w:rPr>
          <w:rFonts w:ascii="Cambria" w:hAnsi="Cambria" w:cstheme="minorHAnsi"/>
        </w:rPr>
        <w:t xml:space="preserve"> </w:t>
      </w:r>
      <w:r w:rsidR="00460F07">
        <w:rPr>
          <w:rFonts w:ascii="Cambria" w:hAnsi="Cambria" w:cstheme="minorHAnsi"/>
        </w:rPr>
        <w:t xml:space="preserve">některým ze způsobů pro doručování popsaných v této smlouvě s tím, že v žádosti Zhotovitel uvede </w:t>
      </w:r>
      <w:r w:rsidR="008B7F0C">
        <w:rPr>
          <w:rFonts w:ascii="Cambria" w:hAnsi="Cambria" w:cstheme="minorHAnsi"/>
        </w:rPr>
        <w:t xml:space="preserve">popis součinnosti a jejího rozsahu a </w:t>
      </w:r>
      <w:r w:rsidR="00460F07">
        <w:rPr>
          <w:rFonts w:ascii="Cambria" w:hAnsi="Cambria" w:cstheme="minorHAnsi"/>
        </w:rPr>
        <w:t>požadovaný termín poskytnutí součinnosti</w:t>
      </w:r>
      <w:r w:rsidR="008B7F0C">
        <w:rPr>
          <w:rFonts w:ascii="Cambria" w:hAnsi="Cambria" w:cstheme="minorHAnsi"/>
        </w:rPr>
        <w:t>. Zhotovitel je povinen adresovat žádost dle předchozí věty s dostatečným předstihem</w:t>
      </w:r>
      <w:r w:rsidR="00A75BEB">
        <w:rPr>
          <w:rFonts w:ascii="Cambria" w:hAnsi="Cambria" w:cstheme="minorHAnsi"/>
        </w:rPr>
        <w:t>.</w:t>
      </w:r>
      <w:r w:rsidR="00460F07">
        <w:rPr>
          <w:rFonts w:ascii="Cambria" w:hAnsi="Cambria" w:cstheme="minorHAnsi"/>
        </w:rPr>
        <w:t xml:space="preserve"> </w:t>
      </w:r>
    </w:p>
    <w:p w14:paraId="76A4B88B" w14:textId="432E0474" w:rsidR="008E42E7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oprávněn</w:t>
      </w:r>
      <w:r w:rsidR="003C5DF4">
        <w:rPr>
          <w:rFonts w:ascii="Cambria" w:hAnsi="Cambria" w:cstheme="minorHAnsi"/>
        </w:rPr>
        <w:t xml:space="preserve"> pravidelně</w:t>
      </w:r>
      <w:r w:rsidRPr="00311FA2">
        <w:rPr>
          <w:rFonts w:ascii="Cambria" w:hAnsi="Cambria" w:cstheme="minorHAnsi"/>
        </w:rPr>
        <w:t xml:space="preserve"> kontrolovat provádění Díla</w:t>
      </w:r>
      <w:r w:rsidR="00A75BEB">
        <w:rPr>
          <w:rFonts w:ascii="Cambria" w:hAnsi="Cambria" w:cstheme="minorHAnsi"/>
        </w:rPr>
        <w:t xml:space="preserve">, a to </w:t>
      </w:r>
      <w:r w:rsidR="00FB09F3">
        <w:rPr>
          <w:rFonts w:ascii="Cambria" w:hAnsi="Cambria" w:cstheme="minorHAnsi"/>
        </w:rPr>
        <w:t>osobně, případně prostřednictvím vzdáleného přístupu, formou náhledem do částí prováděného Díla</w:t>
      </w:r>
      <w:r w:rsidRPr="00311FA2">
        <w:rPr>
          <w:rFonts w:ascii="Cambria" w:hAnsi="Cambria" w:cstheme="minorHAnsi"/>
        </w:rPr>
        <w:t xml:space="preserve">.  </w:t>
      </w:r>
    </w:p>
    <w:p w14:paraId="576DAE55" w14:textId="6393874A" w:rsidR="008014AA" w:rsidRPr="00A2318F" w:rsidRDefault="008014AA" w:rsidP="00A2318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BE52A9">
        <w:rPr>
          <w:rFonts w:ascii="Cambria" w:hAnsi="Cambria" w:cstheme="minorHAnsi"/>
        </w:rPr>
        <w:t>nejpozději do</w:t>
      </w:r>
      <w:r w:rsidR="00E776FD" w:rsidRPr="00A2318F">
        <w:rPr>
          <w:rFonts w:ascii="Cambria" w:hAnsi="Cambria" w:cstheme="minorHAnsi"/>
        </w:rPr>
        <w:t xml:space="preserve"> 31. 12. 2021 předloží </w:t>
      </w:r>
      <w:r w:rsidR="00BE52A9">
        <w:rPr>
          <w:rFonts w:ascii="Cambria" w:hAnsi="Cambria" w:cstheme="minorHAnsi"/>
        </w:rPr>
        <w:t>Objednateli</w:t>
      </w:r>
      <w:r w:rsidR="00E776FD" w:rsidRPr="00A2318F">
        <w:rPr>
          <w:rFonts w:ascii="Cambria" w:hAnsi="Cambria" w:cstheme="minorHAnsi"/>
        </w:rPr>
        <w:t xml:space="preserve"> návrh struktury Díla</w:t>
      </w:r>
      <w:r w:rsidR="00BE52A9" w:rsidRPr="00A2318F">
        <w:rPr>
          <w:rFonts w:ascii="Cambria" w:hAnsi="Cambria" w:cstheme="minorHAnsi"/>
        </w:rPr>
        <w:t>,</w:t>
      </w:r>
      <w:r w:rsidR="00BE52A9">
        <w:rPr>
          <w:rFonts w:ascii="Cambria" w:hAnsi="Cambria" w:cstheme="minorHAnsi"/>
        </w:rPr>
        <w:t xml:space="preserve"> který si smluvní strany odsouhlasí. Objednatel je oprávněn vznášet připomínky k předloženému návrhu. </w:t>
      </w:r>
      <w:r w:rsidR="00E6270A">
        <w:rPr>
          <w:rFonts w:ascii="Cambria" w:hAnsi="Cambria" w:cstheme="minorHAnsi"/>
        </w:rPr>
        <w:t xml:space="preserve">Na základě potvrzeného návrhu struktury Díla provede Zhotovitel Dílo. </w:t>
      </w:r>
    </w:p>
    <w:p w14:paraId="713A23D0" w14:textId="2498CDCA" w:rsidR="004015DD" w:rsidRDefault="004015DD" w:rsidP="004015D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Na případné překážky v provádění Díla je Zhotovitel povinen Objednatele bez zbytečného odkladu upozornit a navrhnout řešení daných překážet a další postup v provádění Díla.</w:t>
      </w:r>
    </w:p>
    <w:p w14:paraId="151B8E56" w14:textId="481CF209" w:rsidR="00FB09F3" w:rsidRPr="004015DD" w:rsidRDefault="00FB09F3" w:rsidP="004015D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 provádí Dílo v elektronické podobě</w:t>
      </w:r>
      <w:r w:rsidR="00DA1488">
        <w:rPr>
          <w:rFonts w:ascii="Cambria" w:hAnsi="Cambria" w:cstheme="minorHAnsi"/>
        </w:rPr>
        <w:t xml:space="preserve">. Zhotovitel předá </w:t>
      </w:r>
      <w:r w:rsidR="00A31DBF">
        <w:rPr>
          <w:rFonts w:ascii="Cambria" w:hAnsi="Cambria" w:cstheme="minorHAnsi"/>
        </w:rPr>
        <w:t>Objednateli provedené Dílo v elektronické podobě</w:t>
      </w:r>
      <w:r w:rsidR="00C47027">
        <w:rPr>
          <w:rFonts w:ascii="Cambria" w:hAnsi="Cambria" w:cstheme="minorHAnsi"/>
        </w:rPr>
        <w:t>, v editovatelném formátu doc. nebo docx</w:t>
      </w:r>
      <w:r w:rsidR="00621C67">
        <w:rPr>
          <w:rFonts w:ascii="Cambria" w:hAnsi="Cambria" w:cstheme="minorHAnsi"/>
        </w:rPr>
        <w:t xml:space="preserve">. </w:t>
      </w:r>
      <w:r w:rsidR="00130C4A">
        <w:rPr>
          <w:rFonts w:ascii="Cambria" w:hAnsi="Cambria" w:cstheme="minorHAnsi"/>
        </w:rPr>
        <w:t xml:space="preserve">Zhotovitel zašle provedené Dílo Objednateli </w:t>
      </w:r>
      <w:r w:rsidR="008D1CFB">
        <w:rPr>
          <w:rFonts w:ascii="Cambria" w:hAnsi="Cambria" w:cstheme="minorHAnsi"/>
        </w:rPr>
        <w:t xml:space="preserve">některým ze způsobů pro doručování uvedený v této Smlouvě. V případě, že by Zhotovitel předával Dílo na hmotném nosiči, bude se jednat o nepřepisovatelný nosič, na kterém bude Dílo uloženo. </w:t>
      </w:r>
    </w:p>
    <w:p w14:paraId="43FFA4A5" w14:textId="3B71262B" w:rsidR="00FC7715" w:rsidRPr="00FC7715" w:rsidRDefault="00FC7715" w:rsidP="00FC771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 předá Objednateli Dílo na základě předávacího protokolu, jehož součástí bude závěrečná zpráva o provedení Díla.</w:t>
      </w:r>
      <w:r w:rsidR="00130C4A">
        <w:rPr>
          <w:rFonts w:ascii="Cambria" w:hAnsi="Cambria"/>
        </w:rPr>
        <w:t xml:space="preserve"> Před převzetím </w:t>
      </w:r>
      <w:r w:rsidR="00EA060D">
        <w:rPr>
          <w:rFonts w:ascii="Cambria" w:hAnsi="Cambria"/>
        </w:rPr>
        <w:t>provede Objednatel kontrolu Díla, zda je zpracováno v souladu s touto Smlouvou. Pro případ, že by vyšlo najevo, že je Dílo provedeno v rozporu se Smlouvou, je Objednatel oprávněn vytknout vady a odmítnout převzetí Díla. Po odstranění vad</w:t>
      </w:r>
      <w:r w:rsidR="004A06FF">
        <w:rPr>
          <w:rFonts w:ascii="Cambria" w:hAnsi="Cambria"/>
        </w:rPr>
        <w:t xml:space="preserve"> uskuteční smluvní strany náhradní převzetí. </w:t>
      </w:r>
      <w:r w:rsidR="00355FF9">
        <w:rPr>
          <w:rFonts w:ascii="Cambria" w:hAnsi="Cambria"/>
        </w:rPr>
        <w:t xml:space="preserve">Kontrola Díla před jeho převzetím ze strany Objednatele nezbavuje Zhotovitele případné odpovědnosti za vady Díla. </w:t>
      </w:r>
    </w:p>
    <w:p w14:paraId="3648653B" w14:textId="570BEC12" w:rsidR="006E78B3" w:rsidRPr="00806329" w:rsidRDefault="006E78B3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postupovat ve vztahu ke všem osobám podílejícím se na </w:t>
      </w:r>
      <w:r>
        <w:rPr>
          <w:rFonts w:ascii="Cambria" w:hAnsi="Cambria"/>
        </w:rPr>
        <w:t>provádění Díla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 w:rsidR="006C6608"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. </w:t>
      </w:r>
    </w:p>
    <w:p w14:paraId="2EF19A7D" w14:textId="5984CA7B" w:rsidR="006341F6" w:rsidRPr="006341F6" w:rsidRDefault="0083329E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lastRenderedPageBreak/>
        <w:t xml:space="preserve">Zhotovitel se zavazuje po dobu provádění Díla platit svým poddodavatelům, kteří se na něm podílejí. </w:t>
      </w:r>
      <w:r w:rsidR="00984561">
        <w:rPr>
          <w:rFonts w:ascii="Cambria" w:hAnsi="Cambria" w:cs="Arial"/>
        </w:rPr>
        <w:t>V případě, že se na provádění Díla podílí poddodavatel Zhotovitele, Zhotovitel se zavazuje, že</w:t>
      </w:r>
      <w:r w:rsidR="006341F6">
        <w:rPr>
          <w:rFonts w:ascii="Cambria" w:hAnsi="Cambria" w:cs="Arial"/>
        </w:rPr>
        <w:t>:</w:t>
      </w:r>
    </w:p>
    <w:p w14:paraId="0F5F274C" w14:textId="651A1B20" w:rsidR="006341F6" w:rsidRPr="00BE2464" w:rsidRDefault="006C6608" w:rsidP="00BE246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si </w:t>
      </w:r>
      <w:r w:rsidR="00984561">
        <w:rPr>
          <w:rFonts w:ascii="Cambria" w:hAnsi="Cambria" w:cstheme="minorHAnsi"/>
        </w:rPr>
        <w:t>sjedná a bude dodržovat</w:t>
      </w:r>
      <w:r w:rsidR="006341F6" w:rsidRPr="00BE2464">
        <w:rPr>
          <w:rFonts w:ascii="Cambria" w:hAnsi="Cambria" w:cstheme="minorHAnsi"/>
        </w:rPr>
        <w:t xml:space="preserve"> smluvní podmín</w:t>
      </w:r>
      <w:r w:rsidR="00AA6D39">
        <w:rPr>
          <w:rFonts w:ascii="Cambria" w:hAnsi="Cambria" w:cstheme="minorHAnsi"/>
        </w:rPr>
        <w:t>ky</w:t>
      </w:r>
      <w:r w:rsidR="006341F6"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="006341F6" w:rsidRPr="00BE2464">
        <w:rPr>
          <w:rFonts w:ascii="Cambria" w:hAnsi="Cambria" w:cstheme="minorHAnsi"/>
        </w:rPr>
        <w:t xml:space="preserve"> s podmínkami sjednanými ve </w:t>
      </w:r>
      <w:r w:rsidR="00AA6D39">
        <w:rPr>
          <w:rFonts w:ascii="Cambria" w:hAnsi="Cambria" w:cstheme="minorHAnsi"/>
        </w:rPr>
        <w:t>S</w:t>
      </w:r>
      <w:r w:rsidR="006341F6" w:rsidRPr="00BE2464">
        <w:rPr>
          <w:rFonts w:ascii="Cambria" w:hAnsi="Cambria" w:cstheme="minorHAnsi"/>
        </w:rPr>
        <w:t>mlouvě, a to v rozsahu výše smluvních pokut a délky záruční doby</w:t>
      </w:r>
      <w:r w:rsidR="00AA6D39">
        <w:rPr>
          <w:rFonts w:ascii="Cambria" w:hAnsi="Cambria" w:cstheme="minorHAnsi"/>
        </w:rPr>
        <w:t>.</w:t>
      </w:r>
      <w:r w:rsidR="006341F6" w:rsidRPr="00BE2464">
        <w:rPr>
          <w:rFonts w:ascii="Cambria" w:hAnsi="Cambria" w:cstheme="minorHAnsi"/>
        </w:rPr>
        <w:t xml:space="preserve"> </w:t>
      </w:r>
      <w:r w:rsidR="00AA6D39">
        <w:rPr>
          <w:rFonts w:ascii="Cambria" w:hAnsi="Cambria" w:cstheme="minorHAnsi"/>
        </w:rPr>
        <w:t xml:space="preserve">Uvedené </w:t>
      </w:r>
      <w:r w:rsidR="006341F6"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 w:rsidR="00F7249F">
        <w:rPr>
          <w:rFonts w:ascii="Cambria" w:hAnsi="Cambria" w:cstheme="minorHAnsi"/>
        </w:rPr>
        <w:t>S</w:t>
      </w:r>
      <w:r w:rsidR="006341F6" w:rsidRPr="00BE2464">
        <w:rPr>
          <w:rFonts w:ascii="Cambria" w:hAnsi="Cambria" w:cstheme="minorHAnsi"/>
        </w:rPr>
        <w:t>mlouvou</w:t>
      </w:r>
      <w:r w:rsidR="00092BCD">
        <w:rPr>
          <w:rFonts w:ascii="Cambria" w:hAnsi="Cambria" w:cstheme="minorHAnsi"/>
        </w:rPr>
        <w:t>;</w:t>
      </w:r>
      <w:r w:rsidR="00092BCD" w:rsidRPr="00BE2464">
        <w:rPr>
          <w:rFonts w:ascii="Cambria" w:hAnsi="Cambria" w:cstheme="minorHAnsi"/>
        </w:rPr>
        <w:t xml:space="preserve"> </w:t>
      </w:r>
    </w:p>
    <w:p w14:paraId="21BB120E" w14:textId="70068E17" w:rsidR="00E42B85" w:rsidRPr="00FC7715" w:rsidRDefault="00F7249F" w:rsidP="00FC771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="006341F6"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="006341F6"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 w:rsidR="002E052E">
        <w:rPr>
          <w:rFonts w:ascii="Cambria" w:hAnsi="Cambria" w:cstheme="minorHAnsi"/>
        </w:rPr>
        <w:t>za provádění Díla (nebo jeho části)</w:t>
      </w:r>
      <w:r w:rsidR="006341F6" w:rsidRPr="00BE2464">
        <w:rPr>
          <w:rFonts w:ascii="Cambria" w:hAnsi="Cambria" w:cstheme="minorHAnsi"/>
        </w:rPr>
        <w:t xml:space="preserve">, a to vždy do </w:t>
      </w:r>
      <w:r w:rsidR="0058494D">
        <w:rPr>
          <w:rFonts w:ascii="Cambria" w:hAnsi="Cambria" w:cstheme="minorHAnsi"/>
        </w:rPr>
        <w:t xml:space="preserve">pěti (5) </w:t>
      </w:r>
      <w:r w:rsidR="006341F6" w:rsidRPr="00BE2464">
        <w:rPr>
          <w:rFonts w:ascii="Cambria" w:hAnsi="Cambria" w:cstheme="minorHAnsi"/>
        </w:rPr>
        <w:t xml:space="preserve">pracovních dnů od obdržení platby ze strany </w:t>
      </w:r>
      <w:r w:rsidR="0058494D">
        <w:rPr>
          <w:rFonts w:ascii="Cambria" w:hAnsi="Cambria" w:cstheme="minorHAnsi"/>
        </w:rPr>
        <w:t>Objednatele</w:t>
      </w:r>
      <w:r w:rsidR="006341F6" w:rsidRPr="00BE2464">
        <w:rPr>
          <w:rFonts w:ascii="Cambria" w:hAnsi="Cambria" w:cstheme="minorHAnsi"/>
        </w:rPr>
        <w:t xml:space="preserve"> za konkrétní plnění</w:t>
      </w:r>
      <w:r w:rsidR="0083329E" w:rsidRPr="00E85D47">
        <w:rPr>
          <w:rFonts w:ascii="Cambria" w:hAnsi="Cambria" w:cstheme="minorHAnsi"/>
        </w:rPr>
        <w:t>.</w:t>
      </w:r>
    </w:p>
    <w:p w14:paraId="5330AD7B" w14:textId="2116E297" w:rsidR="00EE77F4" w:rsidRPr="00347595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Doba</w:t>
      </w:r>
      <w:r w:rsidR="00957E53" w:rsidRPr="00347595">
        <w:rPr>
          <w:rFonts w:ascii="Cambria" w:hAnsi="Cambria" w:cstheme="minorHAnsi"/>
          <w:b/>
        </w:rPr>
        <w:t xml:space="preserve"> a místo</w:t>
      </w:r>
      <w:r w:rsidRPr="00347595">
        <w:rPr>
          <w:rFonts w:ascii="Cambria" w:hAnsi="Cambria" w:cstheme="minorHAnsi"/>
          <w:b/>
        </w:rPr>
        <w:t xml:space="preserve"> plnění</w:t>
      </w:r>
    </w:p>
    <w:p w14:paraId="11D3B76E" w14:textId="6CF7A86D" w:rsidR="0003487A" w:rsidRPr="005C668A" w:rsidRDefault="00816A09" w:rsidP="00F9346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se zavazuje Dílo provést a předat Objednateli </w:t>
      </w:r>
      <w:r w:rsidR="0044348A">
        <w:rPr>
          <w:rFonts w:ascii="Cambria" w:hAnsi="Cambria" w:cstheme="minorHAnsi"/>
        </w:rPr>
        <w:t xml:space="preserve">nejpozději do </w:t>
      </w:r>
      <w:r w:rsidR="00E6270A">
        <w:rPr>
          <w:rFonts w:ascii="Cambria" w:hAnsi="Cambria" w:cstheme="minorHAnsi"/>
        </w:rPr>
        <w:t xml:space="preserve">dvanácti (12) měsíců ode dne nabytí účinnosti této Smlouvy. </w:t>
      </w:r>
    </w:p>
    <w:p w14:paraId="74DC9210" w14:textId="31D68E9E" w:rsidR="006C6608" w:rsidRPr="00FC7715" w:rsidRDefault="00E420A1" w:rsidP="00FC771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Místem plnění je sídlo </w:t>
      </w:r>
      <w:r w:rsidR="008A28AD">
        <w:rPr>
          <w:rFonts w:ascii="Cambria" w:hAnsi="Cambria" w:cstheme="minorHAnsi"/>
        </w:rPr>
        <w:t>Zhotovitele</w:t>
      </w:r>
      <w:r w:rsidR="00C434F0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v záhlaví Smlouvy, </w:t>
      </w:r>
      <w:r w:rsidR="00C434F0">
        <w:rPr>
          <w:rFonts w:ascii="Cambria" w:hAnsi="Cambria" w:cstheme="minorHAnsi"/>
        </w:rPr>
        <w:t xml:space="preserve">případně pracoviště </w:t>
      </w:r>
      <w:r w:rsidR="0026423F">
        <w:rPr>
          <w:rFonts w:ascii="Cambria" w:hAnsi="Cambria" w:cstheme="minorHAnsi"/>
        </w:rPr>
        <w:t xml:space="preserve">Objednatele na adrese </w:t>
      </w:r>
      <w:r w:rsidR="0026423F" w:rsidRPr="0026423F">
        <w:rPr>
          <w:rFonts w:ascii="Cambria" w:hAnsi="Cambria" w:cstheme="minorHAnsi"/>
        </w:rPr>
        <w:t>Na Žertvách 132/24, Praha 8</w:t>
      </w:r>
      <w:r>
        <w:rPr>
          <w:rFonts w:ascii="Cambria" w:hAnsi="Cambria" w:cstheme="minorHAnsi"/>
        </w:rPr>
        <w:t>.</w:t>
      </w:r>
    </w:p>
    <w:p w14:paraId="02E3CEED" w14:textId="7FD0EC78" w:rsidR="001B7F88" w:rsidRPr="00977026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Cena Díla</w:t>
      </w:r>
    </w:p>
    <w:p w14:paraId="5CE21A11" w14:textId="63B225FF" w:rsidR="004A1744" w:rsidRPr="006C6608" w:rsidRDefault="005D7AD3" w:rsidP="006C660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</w:t>
      </w:r>
      <w:r w:rsidR="004A1744" w:rsidRPr="00977026">
        <w:rPr>
          <w:rFonts w:ascii="Cambria" w:hAnsi="Cambria" w:cstheme="minorHAnsi"/>
        </w:rPr>
        <w:t xml:space="preserve"> za </w:t>
      </w:r>
      <w:r w:rsidR="00FC7D14">
        <w:rPr>
          <w:rFonts w:ascii="Cambria" w:hAnsi="Cambria" w:cstheme="minorHAnsi"/>
        </w:rPr>
        <w:t>Dílo</w:t>
      </w:r>
      <w:r w:rsidR="00977026" w:rsidRPr="00977026">
        <w:rPr>
          <w:rFonts w:ascii="Cambria" w:hAnsi="Cambria" w:cstheme="minorHAnsi"/>
        </w:rPr>
        <w:t xml:space="preserve"> </w:t>
      </w:r>
      <w:r w:rsidR="004A1744" w:rsidRPr="00977026">
        <w:rPr>
          <w:rFonts w:ascii="Cambria" w:hAnsi="Cambria" w:cstheme="minorHAnsi"/>
        </w:rPr>
        <w:t>je sjednána v následující výši</w:t>
      </w:r>
      <w:r w:rsidR="004A1744" w:rsidRPr="006C6608">
        <w:rPr>
          <w:rFonts w:ascii="Cambria" w:hAnsi="Cambria" w:cstheme="minorHAnsi"/>
        </w:rPr>
        <w:t xml:space="preserve"> </w:t>
      </w:r>
      <w:r w:rsidR="0031378D" w:rsidRPr="0031378D">
        <w:rPr>
          <w:rFonts w:ascii="Cambria" w:hAnsi="Cambria" w:cstheme="minorHAnsi"/>
          <w:b/>
          <w:bCs/>
        </w:rPr>
        <w:t xml:space="preserve">1900000,00 </w:t>
      </w:r>
      <w:r w:rsidR="004A1744" w:rsidRPr="0031378D">
        <w:rPr>
          <w:rFonts w:ascii="Cambria" w:hAnsi="Cambria" w:cstheme="minorHAnsi"/>
          <w:b/>
          <w:bCs/>
        </w:rPr>
        <w:t>Kč</w:t>
      </w:r>
      <w:r w:rsidR="006C6608">
        <w:rPr>
          <w:rFonts w:ascii="Cambria" w:hAnsi="Cambria" w:cstheme="minorHAnsi"/>
        </w:rPr>
        <w:t xml:space="preserve"> bez DPH </w:t>
      </w:r>
      <w:r w:rsidR="004A1744" w:rsidRPr="006C6608">
        <w:rPr>
          <w:rFonts w:ascii="Cambria" w:hAnsi="Cambria" w:cstheme="minorHAnsi"/>
        </w:rPr>
        <w:t>(dále jen „</w:t>
      </w:r>
      <w:r w:rsidRPr="006C6608">
        <w:rPr>
          <w:rFonts w:ascii="Cambria" w:hAnsi="Cambria" w:cstheme="minorHAnsi"/>
          <w:b/>
        </w:rPr>
        <w:t>Cena</w:t>
      </w:r>
      <w:r w:rsidR="004A1744" w:rsidRPr="006C6608">
        <w:rPr>
          <w:rFonts w:ascii="Cambria" w:hAnsi="Cambria" w:cstheme="minorHAnsi"/>
        </w:rPr>
        <w:t>“)</w:t>
      </w:r>
      <w:r w:rsidR="00BD6BF3" w:rsidRPr="006C6608">
        <w:rPr>
          <w:rFonts w:ascii="Cambria" w:hAnsi="Cambria" w:cstheme="minorHAnsi"/>
        </w:rPr>
        <w:t>.</w:t>
      </w:r>
      <w:r w:rsidR="006C6608" w:rsidRPr="006C6608">
        <w:rPr>
          <w:rFonts w:ascii="Cambria" w:hAnsi="Cambria" w:cstheme="minorHAnsi"/>
        </w:rPr>
        <w:t xml:space="preserve"> K Ceně bude připočteno DPH dle účinných právních předpisů.</w:t>
      </w:r>
    </w:p>
    <w:p w14:paraId="690EDB02" w14:textId="506DE6B6" w:rsidR="004A1744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0A1">
        <w:rPr>
          <w:rFonts w:ascii="Cambria" w:hAnsi="Cambria" w:cstheme="minorHAnsi"/>
        </w:rPr>
        <w:t>V </w:t>
      </w:r>
      <w:r w:rsidR="005D7AD3">
        <w:rPr>
          <w:rFonts w:ascii="Cambria" w:hAnsi="Cambria" w:cstheme="minorHAnsi"/>
        </w:rPr>
        <w:t>Ceně</w:t>
      </w:r>
      <w:r w:rsidRPr="00E420A1">
        <w:rPr>
          <w:rFonts w:ascii="Cambria" w:hAnsi="Cambria" w:cstheme="minorHAnsi"/>
        </w:rPr>
        <w:t xml:space="preserve"> jsou zahrnuty veškeré náklady </w:t>
      </w:r>
      <w:r w:rsidR="00347595" w:rsidRPr="00E420A1">
        <w:rPr>
          <w:rFonts w:ascii="Cambria" w:hAnsi="Cambria" w:cstheme="minorHAnsi"/>
        </w:rPr>
        <w:t>Zhotovitele</w:t>
      </w:r>
      <w:r w:rsidRPr="00E420A1">
        <w:rPr>
          <w:rFonts w:ascii="Cambria" w:hAnsi="Cambria" w:cstheme="minorHAnsi"/>
        </w:rPr>
        <w:t xml:space="preserve"> za jeho činnost dle této Smlouvy. </w:t>
      </w:r>
    </w:p>
    <w:p w14:paraId="130A742A" w14:textId="77777777" w:rsidR="000D3C6A" w:rsidRDefault="005123BA" w:rsidP="0044348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Právo na </w:t>
      </w:r>
      <w:r w:rsidR="003C2B5E" w:rsidRPr="00311FA2">
        <w:rPr>
          <w:rFonts w:ascii="Cambria" w:hAnsi="Cambria" w:cstheme="minorHAnsi"/>
        </w:rPr>
        <w:t xml:space="preserve">úhradu </w:t>
      </w:r>
      <w:r w:rsidR="005D7AD3">
        <w:rPr>
          <w:rFonts w:ascii="Cambria" w:hAnsi="Cambria" w:cstheme="minorHAnsi"/>
        </w:rPr>
        <w:t>Ceny</w:t>
      </w:r>
      <w:r w:rsidR="003C2B5E" w:rsidRPr="00311FA2">
        <w:rPr>
          <w:rFonts w:ascii="Cambria" w:hAnsi="Cambria" w:cstheme="minorHAnsi"/>
        </w:rPr>
        <w:t xml:space="preserve"> vzniká Zhotovitel</w:t>
      </w:r>
      <w:r w:rsidR="000D3C6A">
        <w:rPr>
          <w:rFonts w:ascii="Cambria" w:hAnsi="Cambria" w:cstheme="minorHAnsi"/>
        </w:rPr>
        <w:t>i následujícím způsobem:</w:t>
      </w:r>
    </w:p>
    <w:p w14:paraId="5EE8340C" w14:textId="0A7C8F5D" w:rsidR="00C36DD1" w:rsidRDefault="00857832" w:rsidP="00A2318F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právo na úhradu části Ceny ve výši </w:t>
      </w:r>
      <w:r w:rsidR="000D3C6A">
        <w:rPr>
          <w:rFonts w:ascii="Cambria" w:hAnsi="Cambria" w:cstheme="minorHAnsi"/>
        </w:rPr>
        <w:t xml:space="preserve">40 % </w:t>
      </w:r>
      <w:r>
        <w:rPr>
          <w:rFonts w:ascii="Cambria" w:hAnsi="Cambria" w:cstheme="minorHAnsi"/>
        </w:rPr>
        <w:t xml:space="preserve">vzniká Zhotoviteli den následující po odsouhlasení </w:t>
      </w:r>
      <w:r w:rsidR="00C36DD1">
        <w:rPr>
          <w:rFonts w:ascii="Cambria" w:hAnsi="Cambria" w:cstheme="minorHAnsi"/>
        </w:rPr>
        <w:t>návrhu struktury Díla dle odst. 3.3. této Smlouvy</w:t>
      </w:r>
    </w:p>
    <w:p w14:paraId="056764CC" w14:textId="6794895F" w:rsidR="00235035" w:rsidRPr="00F145E0" w:rsidRDefault="00C36DD1" w:rsidP="00A2318F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právo na úhradu zbývající části Ceny vzniká Zhotoviteli po předání Díla</w:t>
      </w:r>
      <w:r w:rsidR="00F145E0">
        <w:rPr>
          <w:rFonts w:ascii="Cambria" w:hAnsi="Cambria" w:cstheme="minorHAnsi"/>
        </w:rPr>
        <w:t>.</w:t>
      </w:r>
    </w:p>
    <w:p w14:paraId="3840DEB9" w14:textId="6D266755" w:rsidR="003E02C7" w:rsidRDefault="00DC1785" w:rsidP="003E02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Příslušnou část Ceny </w:t>
      </w:r>
      <w:r w:rsidR="002E1317">
        <w:rPr>
          <w:rFonts w:ascii="Cambria" w:hAnsi="Cambria" w:cstheme="minorHAnsi"/>
        </w:rPr>
        <w:t xml:space="preserve">uhradí Objednatel na základě faktury vystavené Zhotovitelem. </w:t>
      </w:r>
      <w:r w:rsidR="003559C4">
        <w:rPr>
          <w:rFonts w:ascii="Cambria" w:hAnsi="Cambria" w:cstheme="minorHAnsi"/>
        </w:rPr>
        <w:t>Faktura</w:t>
      </w:r>
      <w:r w:rsidR="004A1744" w:rsidRPr="00E420A1">
        <w:rPr>
          <w:rFonts w:ascii="Cambria" w:hAnsi="Cambria" w:cstheme="minorHAnsi"/>
        </w:rPr>
        <w:t xml:space="preserve"> </w:t>
      </w:r>
      <w:r w:rsidR="00E420A1" w:rsidRPr="00E420A1">
        <w:rPr>
          <w:rFonts w:ascii="Cambria" w:hAnsi="Cambria" w:cstheme="minorHAnsi"/>
        </w:rPr>
        <w:t xml:space="preserve">bude </w:t>
      </w:r>
      <w:r w:rsidR="004A1744" w:rsidRPr="00E420A1">
        <w:rPr>
          <w:rFonts w:ascii="Cambria" w:hAnsi="Cambria" w:cstheme="minorHAnsi"/>
        </w:rPr>
        <w:t xml:space="preserve">obsahovat pojmové náležitosti daňového dokladu stanovené zákonem č. 235/2004 Sb., o dani z přidané hodnoty, ve znění pozdějších předpisů, a zákonem č. 563/1991 Sb., o účetnictví, ve znění pozdějších předpisů. V případě, že </w:t>
      </w:r>
      <w:r w:rsidR="008D5AAE">
        <w:rPr>
          <w:rFonts w:ascii="Cambria" w:hAnsi="Cambria" w:cstheme="minorHAnsi"/>
        </w:rPr>
        <w:t>faktura</w:t>
      </w:r>
      <w:r w:rsidR="004A1744" w:rsidRPr="00E420A1">
        <w:rPr>
          <w:rFonts w:ascii="Cambria" w:hAnsi="Cambria" w:cstheme="minorHAnsi"/>
        </w:rPr>
        <w:t xml:space="preserve"> nebude obsahovat správné údaje či bude neúpln</w:t>
      </w:r>
      <w:r w:rsidR="008D5AAE">
        <w:rPr>
          <w:rFonts w:ascii="Cambria" w:hAnsi="Cambria" w:cstheme="minorHAnsi"/>
        </w:rPr>
        <w:t>á</w:t>
      </w:r>
      <w:r w:rsidR="004A1744" w:rsidRPr="00E420A1">
        <w:rPr>
          <w:rFonts w:ascii="Cambria" w:hAnsi="Cambria" w:cstheme="minorHAnsi"/>
        </w:rPr>
        <w:t xml:space="preserve">, je </w:t>
      </w:r>
      <w:r w:rsidR="00E420A1" w:rsidRPr="00E420A1">
        <w:rPr>
          <w:rFonts w:ascii="Cambria" w:hAnsi="Cambria" w:cstheme="minorHAnsi"/>
        </w:rPr>
        <w:t>Objednatel</w:t>
      </w:r>
      <w:r w:rsidR="004A1744" w:rsidRPr="00E420A1">
        <w:rPr>
          <w:rFonts w:ascii="Cambria" w:hAnsi="Cambria" w:cstheme="minorHAnsi"/>
        </w:rPr>
        <w:t xml:space="preserve"> oprávněn </w:t>
      </w:r>
      <w:r w:rsidR="008D5AAE">
        <w:rPr>
          <w:rFonts w:ascii="Cambria" w:hAnsi="Cambria" w:cstheme="minorHAnsi"/>
        </w:rPr>
        <w:t>fakturu</w:t>
      </w:r>
      <w:r w:rsidR="004A1744" w:rsidRPr="00E420A1">
        <w:rPr>
          <w:rFonts w:ascii="Cambria" w:hAnsi="Cambria" w:cstheme="minorHAnsi"/>
        </w:rPr>
        <w:t xml:space="preserve"> vrátit ve lhůtě do data jeho splatnosti </w:t>
      </w:r>
      <w:r w:rsidR="00E420A1" w:rsidRPr="00E420A1">
        <w:rPr>
          <w:rFonts w:ascii="Cambria" w:hAnsi="Cambria" w:cstheme="minorHAnsi"/>
        </w:rPr>
        <w:t>Zhotoviteli</w:t>
      </w:r>
      <w:r w:rsidR="004A1744" w:rsidRPr="00E420A1">
        <w:rPr>
          <w:rFonts w:ascii="Cambria" w:hAnsi="Cambria" w:cstheme="minorHAnsi"/>
        </w:rPr>
        <w:t xml:space="preserve">, aniž se tak dostane do prodlení. </w:t>
      </w:r>
      <w:r w:rsidR="00E420A1" w:rsidRPr="00E420A1">
        <w:rPr>
          <w:rFonts w:ascii="Cambria" w:hAnsi="Cambria" w:cstheme="minorHAnsi"/>
        </w:rPr>
        <w:t>Zhotovitel</w:t>
      </w:r>
      <w:r w:rsidR="004A1744" w:rsidRPr="00E420A1">
        <w:rPr>
          <w:rFonts w:ascii="Cambria" w:hAnsi="Cambria" w:cstheme="minorHAnsi"/>
        </w:rPr>
        <w:t xml:space="preserve"> je povinen takový </w:t>
      </w:r>
      <w:r w:rsidR="00F9224B">
        <w:rPr>
          <w:rFonts w:ascii="Cambria" w:hAnsi="Cambria" w:cstheme="minorHAnsi"/>
        </w:rPr>
        <w:t>fakturu</w:t>
      </w:r>
      <w:r w:rsidR="004A1744" w:rsidRPr="00E420A1">
        <w:rPr>
          <w:rFonts w:ascii="Cambria" w:hAnsi="Cambria" w:cstheme="minorHAnsi"/>
        </w:rPr>
        <w:t xml:space="preserve"> opravit, event. vystavit </w:t>
      </w:r>
      <w:r w:rsidR="00F9224B">
        <w:rPr>
          <w:rFonts w:ascii="Cambria" w:hAnsi="Cambria" w:cstheme="minorHAnsi"/>
        </w:rPr>
        <w:t>novou fakturu</w:t>
      </w:r>
      <w:r w:rsidR="004A1744" w:rsidRPr="00E420A1">
        <w:rPr>
          <w:rFonts w:ascii="Cambria" w:hAnsi="Cambria" w:cstheme="minorHAnsi"/>
        </w:rPr>
        <w:t xml:space="preserve"> – lhůta splatnosti počíná v takovém případě běžet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ode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dne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doručení</w:t>
      </w:r>
      <w:r w:rsidR="00E420A1" w:rsidRPr="00E420A1">
        <w:rPr>
          <w:rFonts w:ascii="Cambria" w:hAnsi="Cambria" w:cstheme="minorHAnsi"/>
        </w:rPr>
        <w:t xml:space="preserve"> </w:t>
      </w:r>
      <w:r w:rsidR="004A1744" w:rsidRPr="00E420A1">
        <w:rPr>
          <w:rFonts w:ascii="Cambria" w:hAnsi="Cambria" w:cstheme="minorHAnsi"/>
        </w:rPr>
        <w:t>opravené či nově vystavené</w:t>
      </w:r>
      <w:r w:rsidR="00F9224B">
        <w:rPr>
          <w:rFonts w:ascii="Cambria" w:hAnsi="Cambria" w:cstheme="minorHAnsi"/>
        </w:rPr>
        <w:t xml:space="preserve"> faktury </w:t>
      </w:r>
      <w:r w:rsidR="00E420A1" w:rsidRPr="00E420A1">
        <w:rPr>
          <w:rFonts w:ascii="Cambria" w:hAnsi="Cambria" w:cstheme="minorHAnsi"/>
        </w:rPr>
        <w:t>Objednateli</w:t>
      </w:r>
      <w:r w:rsidR="004A1744" w:rsidRPr="00E420A1">
        <w:rPr>
          <w:rFonts w:ascii="Cambria" w:hAnsi="Cambria" w:cstheme="minorHAnsi"/>
        </w:rPr>
        <w:t>.</w:t>
      </w:r>
    </w:p>
    <w:p w14:paraId="3E3F17D8" w14:textId="74A3A5D8" w:rsidR="008F3B4F" w:rsidRPr="00311FA2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S</w:t>
      </w:r>
      <w:r w:rsidR="003E02C7" w:rsidRPr="003E02C7">
        <w:rPr>
          <w:rFonts w:ascii="Cambria" w:hAnsi="Cambria" w:cstheme="minorHAnsi"/>
        </w:rPr>
        <w:t xml:space="preserve">platnost </w:t>
      </w:r>
      <w:r w:rsidR="00F9224B">
        <w:rPr>
          <w:rFonts w:ascii="Cambria" w:hAnsi="Cambria" w:cstheme="minorHAnsi"/>
        </w:rPr>
        <w:t>faktury byla</w:t>
      </w:r>
      <w:r w:rsidR="003E02C7" w:rsidRPr="003E02C7">
        <w:rPr>
          <w:rFonts w:ascii="Cambria" w:hAnsi="Cambria" w:cstheme="minorHAnsi"/>
        </w:rPr>
        <w:t xml:space="preserve"> smluvními stranami dohodnuta na </w:t>
      </w:r>
      <w:r w:rsidR="00BB022A">
        <w:rPr>
          <w:rFonts w:ascii="Cambria" w:hAnsi="Cambria" w:cstheme="minorHAnsi"/>
        </w:rPr>
        <w:t>dvacet jedna</w:t>
      </w:r>
      <w:r w:rsidR="00BB022A" w:rsidRPr="003E02C7">
        <w:rPr>
          <w:rFonts w:ascii="Cambria" w:hAnsi="Cambria" w:cstheme="minorHAnsi"/>
        </w:rPr>
        <w:t xml:space="preserve"> </w:t>
      </w:r>
      <w:r w:rsidR="003E02C7" w:rsidRPr="003E02C7">
        <w:rPr>
          <w:rFonts w:ascii="Cambria" w:hAnsi="Cambria" w:cstheme="minorHAnsi"/>
        </w:rPr>
        <w:t>(</w:t>
      </w:r>
      <w:r w:rsidR="00BB022A">
        <w:rPr>
          <w:rFonts w:ascii="Cambria" w:hAnsi="Cambria" w:cstheme="minorHAnsi"/>
        </w:rPr>
        <w:t>21</w:t>
      </w:r>
      <w:r w:rsidR="003E02C7" w:rsidRPr="003E02C7">
        <w:rPr>
          <w:rFonts w:ascii="Cambria" w:hAnsi="Cambria" w:cstheme="minorHAnsi"/>
        </w:rPr>
        <w:t xml:space="preserve">) kalendářních dnů </w:t>
      </w:r>
      <w:r w:rsidR="00F9224B">
        <w:rPr>
          <w:rFonts w:ascii="Cambria" w:hAnsi="Cambria" w:cstheme="minorHAnsi"/>
        </w:rPr>
        <w:t>od data vystavení</w:t>
      </w:r>
      <w:r w:rsidR="003E02C7" w:rsidRPr="003E02C7">
        <w:rPr>
          <w:rFonts w:ascii="Cambria" w:hAnsi="Cambria" w:cstheme="minorHAnsi"/>
        </w:rPr>
        <w:t xml:space="preserve">. </w:t>
      </w:r>
      <w:r w:rsidR="00F9224B">
        <w:rPr>
          <w:rFonts w:ascii="Cambria" w:hAnsi="Cambria" w:cstheme="minorHAnsi"/>
        </w:rPr>
        <w:t>Faktura</w:t>
      </w:r>
      <w:r w:rsidR="003E02C7" w:rsidRPr="003E02C7">
        <w:rPr>
          <w:rFonts w:ascii="Cambria" w:hAnsi="Cambria" w:cstheme="minorHAnsi"/>
        </w:rPr>
        <w:t xml:space="preserve"> se považuje za řádně a včas zaplacen</w:t>
      </w:r>
      <w:r w:rsidR="00F9224B">
        <w:rPr>
          <w:rFonts w:ascii="Cambria" w:hAnsi="Cambria" w:cstheme="minorHAnsi"/>
        </w:rPr>
        <w:t>ou</w:t>
      </w:r>
      <w:r w:rsidR="003E02C7" w:rsidRPr="003E02C7">
        <w:rPr>
          <w:rFonts w:ascii="Cambria" w:hAnsi="Cambria" w:cstheme="minorHAnsi"/>
        </w:rPr>
        <w:t xml:space="preserve">, bude-li poslední den této lhůty účtovaná částka odepsána z účtu ve prospěch účtu </w:t>
      </w:r>
      <w:r w:rsidR="003E02C7">
        <w:rPr>
          <w:rFonts w:ascii="Cambria" w:hAnsi="Cambria" w:cstheme="minorHAnsi"/>
        </w:rPr>
        <w:t>Zhotovitele</w:t>
      </w:r>
      <w:r w:rsidR="003E02C7" w:rsidRPr="003E02C7">
        <w:rPr>
          <w:rFonts w:ascii="Cambria" w:hAnsi="Cambria" w:cstheme="minorHAnsi"/>
        </w:rPr>
        <w:t xml:space="preserve"> uvedeného v záhlaví této Smlouvy.</w:t>
      </w:r>
    </w:p>
    <w:p w14:paraId="0B74F9D1" w14:textId="2F397616" w:rsidR="00E420A1" w:rsidRPr="005C668A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Díla</w:t>
      </w:r>
    </w:p>
    <w:p w14:paraId="61D3C745" w14:textId="64C62DF5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s plněním Smlouvy přechází na Objednatele dnem jejich protokolárního předání Objednateli. </w:t>
      </w:r>
      <w:bookmarkStart w:id="4" w:name="_Ref303870662"/>
      <w:bookmarkStart w:id="5" w:name="_Ref414451082"/>
    </w:p>
    <w:bookmarkEnd w:id="4"/>
    <w:bookmarkEnd w:id="5"/>
    <w:p w14:paraId="14907FCE" w14:textId="36BA5CA2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</w:p>
    <w:p w14:paraId="0683BE3B" w14:textId="77777777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6" w:name="_Ref414451184"/>
      <w:r w:rsidRPr="00311FA2">
        <w:rPr>
          <w:rFonts w:ascii="Cambria" w:hAnsi="Cambria" w:cstheme="minorHAnsi"/>
        </w:rPr>
        <w:t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498531AD" w14:textId="48539691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 případě, že by z jakéhokoli důvodu vyšlo najevo, že autorské dílo není zaměstnaneckým dílem poskytuje Zhotovitel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6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6DF164E9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 xml:space="preserve">Licence je dále udělena na dobu určitou, a to po celou dobu trvání majetkových práv autorských k autorskému dílu; </w:t>
      </w:r>
    </w:p>
    <w:p w14:paraId="7B360F6F" w14:textId="7A9A61CD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63FB1ED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Licenci není Objednatel povinen využít, a to ani zčásti;</w:t>
      </w:r>
    </w:p>
    <w:p w14:paraId="51B4492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0C686246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02719EBC" w14:textId="68B8C771" w:rsidR="00EA4B5A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 w:rsidR="005D7AD3">
        <w:rPr>
          <w:rFonts w:ascii="Cambria" w:hAnsi="Cambria" w:cstheme="minorHAnsi"/>
        </w:rPr>
        <w:t>Ceně</w:t>
      </w:r>
      <w:r w:rsidR="00B50CB4">
        <w:rPr>
          <w:rFonts w:ascii="Cambria" w:hAnsi="Cambria" w:cstheme="minorHAnsi"/>
        </w:rPr>
        <w:t xml:space="preserve">. </w:t>
      </w:r>
    </w:p>
    <w:p w14:paraId="1A5A58F5" w14:textId="2C4E09FF" w:rsidR="007C412A" w:rsidRPr="00C71369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C71369">
        <w:rPr>
          <w:rFonts w:ascii="Cambria" w:hAnsi="Cambria" w:cstheme="minorHAnsi"/>
          <w:b/>
        </w:rPr>
        <w:t xml:space="preserve">Povinnosti </w:t>
      </w:r>
      <w:r w:rsidR="00A41299">
        <w:rPr>
          <w:rFonts w:ascii="Cambria" w:hAnsi="Cambria" w:cstheme="minorHAnsi"/>
          <w:b/>
        </w:rPr>
        <w:t>smluvních stran</w:t>
      </w:r>
    </w:p>
    <w:p w14:paraId="71CFD940" w14:textId="3D64A58C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7" w:name="_Ref317258366"/>
      <w:r w:rsidRPr="00311FA2">
        <w:rPr>
          <w:rFonts w:ascii="Cambria" w:hAnsi="Cambria" w:cstheme="minorHAnsi"/>
        </w:rPr>
        <w:t>Zhotovitel se dále zavazuje:</w:t>
      </w:r>
      <w:bookmarkEnd w:id="7"/>
    </w:p>
    <w:p w14:paraId="4DCE6D80" w14:textId="7374D47B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8" w:name="_Toc401946272"/>
      <w:bookmarkStart w:id="9" w:name="_Toc414378797"/>
      <w:r w:rsidRPr="00311FA2">
        <w:rPr>
          <w:rFonts w:ascii="Cambria" w:hAnsi="Cambria" w:cstheme="minorHAnsi"/>
        </w:rPr>
        <w:t>poskytovat řádně a včas plnění bez faktických a právních vad</w:t>
      </w:r>
      <w:bookmarkEnd w:id="8"/>
      <w:bookmarkEnd w:id="9"/>
      <w:r w:rsidRPr="00311FA2">
        <w:rPr>
          <w:rFonts w:ascii="Cambria" w:hAnsi="Cambria" w:cstheme="minorHAnsi"/>
        </w:rPr>
        <w:t>;</w:t>
      </w:r>
    </w:p>
    <w:p w14:paraId="034BAE15" w14:textId="2E3C14FF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0" w:name="_Toc401946273"/>
      <w:bookmarkStart w:id="11" w:name="_Toc414378798"/>
      <w:r w:rsidRPr="00311FA2">
        <w:rPr>
          <w:rFonts w:ascii="Cambria" w:hAnsi="Cambria" w:cstheme="minorHAnsi"/>
        </w:rPr>
        <w:t>postupovat při plnění Smlouvy s odbornou péčí, podle nejlepších znalostí a schopností a sledovat a chránit oprávněné zájmy Objednatele;</w:t>
      </w:r>
      <w:bookmarkEnd w:id="10"/>
      <w:bookmarkEnd w:id="11"/>
    </w:p>
    <w:p w14:paraId="0962024C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2" w:name="_Toc414378799"/>
      <w:bookmarkStart w:id="13" w:name="_Toc401946274"/>
      <w:r w:rsidRPr="00311FA2">
        <w:rPr>
          <w:rFonts w:ascii="Cambria" w:hAnsi="Cambria" w:cstheme="minorHAnsi"/>
        </w:rPr>
        <w:t>upozorňovat Objednatele včas na všechny hrozící vady či výpadky svého plnění, jakož i poskytovat Objednateli veškeré informace, které jsou pro provedení Díla nezbytné;</w:t>
      </w:r>
      <w:bookmarkEnd w:id="12"/>
    </w:p>
    <w:p w14:paraId="0FFEC69A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4" w:name="_Toc414378800"/>
      <w:r w:rsidRPr="00311FA2">
        <w:rPr>
          <w:rFonts w:ascii="Cambria" w:hAnsi="Cambria" w:cstheme="minorHAnsi"/>
        </w:rPr>
        <w:t>neprodleně oznámit písemnou formou Objednateli překážky, které mu brání v plnění Smlouvy a výkonu dalších činností souvisejících s plněním Smlouvy;</w:t>
      </w:r>
      <w:bookmarkEnd w:id="14"/>
    </w:p>
    <w:p w14:paraId="3C15B3C4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5" w:name="_Toc414378801"/>
      <w:r w:rsidRPr="00311FA2">
        <w:rPr>
          <w:rFonts w:ascii="Cambria" w:hAnsi="Cambria" w:cstheme="minorHAnsi"/>
        </w:rPr>
        <w:t>upozornit Objednatele na potenciální rizika vzniku škod a včas a řádně dle svých možností provést taková opatření, která riziko vzniku škod zcela vyloučí nebo sníží;</w:t>
      </w:r>
      <w:bookmarkEnd w:id="15"/>
    </w:p>
    <w:p w14:paraId="279E28C7" w14:textId="25E8B5F3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6" w:name="_Toc401946278"/>
      <w:bookmarkStart w:id="17" w:name="_Toc414378804"/>
      <w:bookmarkEnd w:id="13"/>
      <w:r w:rsidRPr="00311FA2">
        <w:rPr>
          <w:rFonts w:ascii="Cambria" w:hAnsi="Cambria" w:cstheme="minorHAnsi"/>
        </w:rPr>
        <w:t>během provádění Díla umožnit Objednateli potřebnou kontrolu dokončeného Díla, pokud tato kontrola je objektivně možná a nemůže způsobit žádné překážky plnění Zhotovitele nebo nemůže mít vliv na dodržení termínu dodání Díla.</w:t>
      </w:r>
      <w:bookmarkEnd w:id="16"/>
      <w:bookmarkEnd w:id="17"/>
    </w:p>
    <w:p w14:paraId="798F2FDC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dále zavazuje:</w:t>
      </w:r>
    </w:p>
    <w:p w14:paraId="052BF566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poskytovat Zhotoviteli úplné, pravdivé a včasné informace potřebné k řádnému plnění povinností Zhotovitele dle Smlouvy;</w:t>
      </w:r>
    </w:p>
    <w:p w14:paraId="027201E1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připravit a technicky zabezpečit prostory pro poskytování plnění Zhotovitelem a vytvořit potřebné podmínky pro práci konzultantů Zhotovitele;</w:t>
      </w:r>
    </w:p>
    <w:p w14:paraId="11C8B44C" w14:textId="32431748" w:rsidR="00EC6047" w:rsidRPr="00966365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3A3BDB3D" w14:textId="503E4F52" w:rsidR="007C412A" w:rsidRPr="003568F8" w:rsidRDefault="002F4730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Záruky </w:t>
      </w:r>
    </w:p>
    <w:p w14:paraId="4B2421EC" w14:textId="52E0E31F" w:rsidR="003233FE" w:rsidRDefault="002F4730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8" w:name="_Hlk43826451"/>
      <w:r>
        <w:rPr>
          <w:rFonts w:ascii="Cambria" w:hAnsi="Cambria" w:cstheme="minorHAnsi"/>
        </w:rPr>
        <w:t xml:space="preserve">Zhotovitel </w:t>
      </w:r>
      <w:r w:rsidR="00F632BB">
        <w:rPr>
          <w:rFonts w:ascii="Cambria" w:hAnsi="Cambria" w:cstheme="minorHAnsi"/>
        </w:rPr>
        <w:t>je povinen provést Dílo</w:t>
      </w:r>
      <w:r w:rsidR="003233FE">
        <w:rPr>
          <w:rFonts w:ascii="Cambria" w:hAnsi="Cambria" w:cstheme="minorHAnsi"/>
        </w:rPr>
        <w:t xml:space="preserve"> v dohodnutém rozsahu a kvalitě</w:t>
      </w:r>
      <w:r w:rsidR="005D5B51">
        <w:rPr>
          <w:rFonts w:ascii="Cambria" w:hAnsi="Cambria" w:cstheme="minorHAnsi"/>
        </w:rPr>
        <w:t>, za podmínek uvedených v této Smlouvě</w:t>
      </w:r>
      <w:r w:rsidR="003233FE">
        <w:rPr>
          <w:rFonts w:ascii="Cambria" w:hAnsi="Cambria" w:cstheme="minorHAnsi"/>
        </w:rPr>
        <w:t xml:space="preserve">. </w:t>
      </w:r>
    </w:p>
    <w:p w14:paraId="281ECE65" w14:textId="405BAC83" w:rsidR="00BD3307" w:rsidRPr="007E5A2A" w:rsidRDefault="003233FE" w:rsidP="007E5A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2F4730">
        <w:rPr>
          <w:rFonts w:ascii="Cambria" w:hAnsi="Cambria" w:cstheme="minorHAnsi"/>
        </w:rPr>
        <w:t xml:space="preserve">se zavazuje poskytnout Objednateli na </w:t>
      </w:r>
      <w:r w:rsidR="00060963">
        <w:rPr>
          <w:rFonts w:ascii="Cambria" w:hAnsi="Cambria" w:cstheme="minorHAnsi"/>
        </w:rPr>
        <w:t xml:space="preserve">Dílo záruku za </w:t>
      </w:r>
      <w:r w:rsidR="00060963" w:rsidRPr="00C44CE1">
        <w:rPr>
          <w:rFonts w:ascii="Cambria" w:hAnsi="Cambria" w:cstheme="minorHAnsi"/>
        </w:rPr>
        <w:t xml:space="preserve">jakost v délce </w:t>
      </w:r>
      <w:r w:rsidR="009B7CCB">
        <w:rPr>
          <w:rFonts w:ascii="Cambria" w:hAnsi="Cambria" w:cstheme="minorHAnsi"/>
        </w:rPr>
        <w:t>dvaceti čtyř (24)</w:t>
      </w:r>
      <w:r w:rsidR="009B7CCB" w:rsidRPr="00C44CE1">
        <w:rPr>
          <w:rFonts w:ascii="Cambria" w:hAnsi="Cambria" w:cstheme="minorHAnsi"/>
        </w:rPr>
        <w:t xml:space="preserve"> </w:t>
      </w:r>
      <w:r w:rsidR="00060963" w:rsidRPr="00C44CE1">
        <w:rPr>
          <w:rFonts w:ascii="Cambria" w:hAnsi="Cambria" w:cstheme="minorHAnsi"/>
        </w:rPr>
        <w:t>měsíců, a to počínaje převzetím Díla, resp. podpisem předávacího</w:t>
      </w:r>
      <w:r w:rsidR="00060963">
        <w:rPr>
          <w:rFonts w:ascii="Cambria" w:hAnsi="Cambria" w:cstheme="minorHAnsi"/>
        </w:rPr>
        <w:t xml:space="preserve"> protokolu. </w:t>
      </w:r>
    </w:p>
    <w:p w14:paraId="64721BD4" w14:textId="1CB4B4F0" w:rsidR="00823387" w:rsidRPr="00B3123A" w:rsidRDefault="005C5C6E" w:rsidP="00B312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Objeví-li se u Díla nebo jeho části vada po předání a převz</w:t>
      </w:r>
      <w:r w:rsidR="00A46794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tí Objednatelem, zavazuje se Zhotovitel vadu opravit nejpozději do</w:t>
      </w:r>
      <w:r w:rsidR="009B7CCB">
        <w:rPr>
          <w:rFonts w:ascii="Cambria" w:hAnsi="Cambria" w:cstheme="minorHAnsi"/>
        </w:rPr>
        <w:t xml:space="preserve"> sedmi</w:t>
      </w:r>
      <w:r>
        <w:rPr>
          <w:rFonts w:ascii="Cambria" w:hAnsi="Cambria" w:cstheme="minorHAnsi"/>
        </w:rPr>
        <w:t xml:space="preserve"> </w:t>
      </w:r>
      <w:r w:rsidR="009B7CCB">
        <w:rPr>
          <w:rFonts w:ascii="Cambria" w:hAnsi="Cambria" w:cstheme="minorHAnsi"/>
        </w:rPr>
        <w:t>(</w:t>
      </w:r>
      <w:r>
        <w:rPr>
          <w:rFonts w:ascii="Cambria" w:hAnsi="Cambria" w:cstheme="minorHAnsi"/>
        </w:rPr>
        <w:t>7</w:t>
      </w:r>
      <w:r w:rsidR="009B7CCB">
        <w:rPr>
          <w:rFonts w:ascii="Cambria" w:hAnsi="Cambria" w:cstheme="minorHAnsi"/>
        </w:rPr>
        <w:t>)</w:t>
      </w:r>
      <w:r w:rsidRPr="00B3123A">
        <w:rPr>
          <w:rFonts w:ascii="Cambria" w:hAnsi="Cambria" w:cstheme="minorHAnsi"/>
        </w:rPr>
        <w:t xml:space="preserve"> dnů od oznámení vady Objednatelem. </w:t>
      </w:r>
    </w:p>
    <w:p w14:paraId="6B81F047" w14:textId="2114C430" w:rsidR="005C5C6E" w:rsidRDefault="005C5C6E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5C6E">
        <w:rPr>
          <w:rFonts w:ascii="Cambria" w:hAnsi="Cambria" w:cstheme="minorHAnsi"/>
        </w:rPr>
        <w:t>Je-li vadné plnění podstatným porušením této Smlouvy, má Objednatel právo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 xml:space="preserve">na odstranění vady opravou nebo úpravou </w:t>
      </w:r>
      <w:r w:rsidR="00B14063">
        <w:rPr>
          <w:rFonts w:ascii="Cambria" w:hAnsi="Cambria" w:cstheme="minorHAnsi"/>
        </w:rPr>
        <w:t>Díla</w:t>
      </w:r>
      <w:r w:rsidRPr="005C5C6E">
        <w:rPr>
          <w:rFonts w:ascii="Cambria" w:hAnsi="Cambria" w:cstheme="minorHAnsi"/>
        </w:rPr>
        <w:t>, na přiměřenou slevu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>nebo odstoupení od této Smlouvy.</w:t>
      </w:r>
      <w:r w:rsidR="0061783C">
        <w:rPr>
          <w:rFonts w:ascii="Cambria" w:hAnsi="Cambria" w:cstheme="minorHAnsi"/>
        </w:rPr>
        <w:t xml:space="preserve"> </w:t>
      </w:r>
    </w:p>
    <w:p w14:paraId="23F40B8A" w14:textId="1E2AA6F4" w:rsidR="007E5A2A" w:rsidRDefault="007E5A2A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činností Zhotovitele dojde ke způsobení škody Objednateli nebo třetím osobám důsledkem opomenutí, nedbalosti nebo neplnění podmínek vyplývajících ze zákona, technických nebo jiných norem nebo podmínek vyplývajících z této Smlouvy</w:t>
      </w:r>
      <w:r w:rsidR="0050232B">
        <w:rPr>
          <w:rFonts w:ascii="Cambria" w:hAnsi="Cambria" w:cstheme="minorHAnsi"/>
        </w:rPr>
        <w:t>, je Zhotovitel povinen bez zbytečného odkladu škodu napravit a není-li to možné, nahradit finančně. Veškeré náklady spojené se vznikem škodu nese Zhotovitel.</w:t>
      </w:r>
    </w:p>
    <w:p w14:paraId="6CAD5261" w14:textId="77777777" w:rsidR="00661289" w:rsidRPr="005C5C6E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4886AE66" w14:textId="46A074A1" w:rsidR="00661289" w:rsidRPr="00661289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661289">
        <w:rPr>
          <w:rFonts w:ascii="Cambria" w:hAnsi="Cambria" w:cstheme="minorHAnsi"/>
          <w:b/>
          <w:bCs/>
        </w:rPr>
        <w:t>Sankční opatření</w:t>
      </w:r>
    </w:p>
    <w:p w14:paraId="79061545" w14:textId="5221FD38" w:rsidR="003568F8" w:rsidRPr="009B3D51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568F8">
        <w:rPr>
          <w:rFonts w:ascii="Cambria" w:hAnsi="Cambria" w:cstheme="minorHAnsi"/>
        </w:rPr>
        <w:t xml:space="preserve">V případě prodlení </w:t>
      </w:r>
      <w:r w:rsidR="0056563A">
        <w:rPr>
          <w:rFonts w:ascii="Cambria" w:hAnsi="Cambria" w:cstheme="minorHAnsi"/>
        </w:rPr>
        <w:t>Zhotovitele s provedením</w:t>
      </w:r>
      <w:r w:rsidRPr="003568F8">
        <w:rPr>
          <w:rFonts w:ascii="Cambria" w:hAnsi="Cambria" w:cstheme="minorHAnsi"/>
        </w:rPr>
        <w:t xml:space="preserve"> Díla, je Zhotovitel povinen zaplatit </w:t>
      </w:r>
      <w:r w:rsidR="002055BF">
        <w:rPr>
          <w:rFonts w:ascii="Cambria" w:hAnsi="Cambria" w:cstheme="minorHAnsi"/>
        </w:rPr>
        <w:t>Objednateli</w:t>
      </w:r>
      <w:r w:rsidR="00AE59DF">
        <w:rPr>
          <w:rFonts w:ascii="Cambria" w:hAnsi="Cambria" w:cstheme="minorHAnsi"/>
        </w:rPr>
        <w:t xml:space="preserve"> smluvní pokutu</w:t>
      </w:r>
      <w:r w:rsidRPr="003568F8">
        <w:rPr>
          <w:rFonts w:ascii="Cambria" w:hAnsi="Cambria" w:cstheme="minorHAnsi"/>
        </w:rPr>
        <w:t xml:space="preserve"> ve výši </w:t>
      </w:r>
      <w:r w:rsidR="00C44CE1">
        <w:rPr>
          <w:rFonts w:ascii="Cambria" w:hAnsi="Cambria" w:cstheme="minorHAnsi"/>
        </w:rPr>
        <w:t>0,1 % z</w:t>
      </w:r>
      <w:r w:rsidR="005D7AD3">
        <w:rPr>
          <w:rFonts w:ascii="Cambria" w:hAnsi="Cambria" w:cstheme="minorHAnsi"/>
        </w:rPr>
        <w:t xml:space="preserve"> Ceny (bez DPH) </w:t>
      </w:r>
      <w:r w:rsidRPr="009B3D51">
        <w:rPr>
          <w:rFonts w:ascii="Cambria" w:hAnsi="Cambria" w:cstheme="minorHAnsi"/>
        </w:rPr>
        <w:t>za každý, byť započatý den trvajícího prodlení</w:t>
      </w:r>
      <w:r w:rsidR="00CF2856">
        <w:rPr>
          <w:rFonts w:ascii="Cambria" w:hAnsi="Cambria" w:cstheme="minorHAnsi"/>
        </w:rPr>
        <w:t>.</w:t>
      </w:r>
      <w:r w:rsidR="00AE59DF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2A25559A" w:rsidR="0083329E" w:rsidRDefault="00E42B85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lastRenderedPageBreak/>
        <w:t>Zhotovitel je povinen uhradit Objednateli smluvní pokutu ve výši 10.000, - Kč za každý jednotlivý případ porušení povinností uvedených odst. 3.</w:t>
      </w:r>
      <w:r w:rsidR="00B027D2">
        <w:rPr>
          <w:rFonts w:ascii="Cambria" w:hAnsi="Cambria" w:cs="Arial"/>
        </w:rPr>
        <w:t xml:space="preserve">7 </w:t>
      </w:r>
      <w:r>
        <w:rPr>
          <w:rFonts w:ascii="Cambria" w:hAnsi="Cambria" w:cs="Arial"/>
        </w:rPr>
        <w:t>a odst. 3.</w:t>
      </w:r>
      <w:r w:rsidR="00B027D2">
        <w:rPr>
          <w:rFonts w:ascii="Cambria" w:hAnsi="Cambria" w:cs="Arial"/>
        </w:rPr>
        <w:t xml:space="preserve">8 </w:t>
      </w:r>
      <w:r>
        <w:rPr>
          <w:rFonts w:ascii="Cambria" w:hAnsi="Cambria" w:cs="Arial"/>
        </w:rPr>
        <w:t>této Smlouvy.</w:t>
      </w:r>
    </w:p>
    <w:p w14:paraId="498B9501" w14:textId="4C94E3CA" w:rsidR="00D5272C" w:rsidRPr="009B3D51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Smluvní pokuta a náhrada škody je splatná do </w:t>
      </w:r>
      <w:r w:rsidR="005D7AD3">
        <w:rPr>
          <w:rFonts w:ascii="Cambria" w:hAnsi="Cambria" w:cstheme="minorHAnsi"/>
        </w:rPr>
        <w:t>21</w:t>
      </w:r>
      <w:r w:rsidRPr="009B3D51">
        <w:rPr>
          <w:rFonts w:ascii="Cambria" w:hAnsi="Cambria" w:cstheme="minorHAnsi"/>
        </w:rPr>
        <w:t xml:space="preserve"> dnů ode dne, kdy </w:t>
      </w:r>
      <w:r w:rsidR="00322899">
        <w:rPr>
          <w:rFonts w:ascii="Cambria" w:hAnsi="Cambria" w:cstheme="minorHAnsi"/>
        </w:rPr>
        <w:t xml:space="preserve">Zhotovitel obdrží od Objednatele výzvu </w:t>
      </w:r>
      <w:r w:rsidRPr="009B3D51">
        <w:rPr>
          <w:rFonts w:ascii="Cambria" w:hAnsi="Cambria" w:cstheme="minorHAnsi"/>
        </w:rPr>
        <w:t>k jejímu zaplacení.</w:t>
      </w:r>
    </w:p>
    <w:p w14:paraId="64EFAF41" w14:textId="11B47602" w:rsidR="009B3D51" w:rsidRPr="009B3D51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Uhrazením smluvní pokuty není dotčen ani </w:t>
      </w:r>
      <w:r w:rsidR="00322899">
        <w:rPr>
          <w:rFonts w:ascii="Cambria" w:hAnsi="Cambria" w:cstheme="minorHAnsi"/>
        </w:rPr>
        <w:t>dotčen</w:t>
      </w:r>
      <w:r w:rsidR="00322899" w:rsidRPr="009B3D51">
        <w:rPr>
          <w:rFonts w:ascii="Cambria" w:hAnsi="Cambria" w:cstheme="minorHAnsi"/>
        </w:rPr>
        <w:t xml:space="preserve"> </w:t>
      </w:r>
      <w:r w:rsidRPr="009B3D51">
        <w:rPr>
          <w:rFonts w:ascii="Cambria" w:hAnsi="Cambria" w:cstheme="minorHAnsi"/>
        </w:rPr>
        <w:t>nárok Objednatele na náhradu vzniklé škody</w:t>
      </w:r>
      <w:r w:rsidR="00322899">
        <w:rPr>
          <w:rFonts w:ascii="Cambria" w:hAnsi="Cambria" w:cstheme="minorHAnsi"/>
        </w:rPr>
        <w:t xml:space="preserve"> v celém rozsahu</w:t>
      </w:r>
      <w:r w:rsidRPr="009B3D51">
        <w:rPr>
          <w:rFonts w:ascii="Cambria" w:hAnsi="Cambria" w:cstheme="minorHAnsi"/>
        </w:rPr>
        <w:t xml:space="preserve">. </w:t>
      </w:r>
    </w:p>
    <w:bookmarkEnd w:id="18"/>
    <w:p w14:paraId="1659D7C0" w14:textId="06D93690" w:rsidR="007C412A" w:rsidRPr="00EB318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EB3188">
        <w:rPr>
          <w:rFonts w:ascii="Cambria" w:hAnsi="Cambria" w:cstheme="minorHAnsi"/>
          <w:b/>
        </w:rPr>
        <w:t>Ukončení Smlouvy</w:t>
      </w:r>
      <w:r w:rsidR="008F280C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EB318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EB318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odstoupením od Smlouvy</w:t>
      </w:r>
      <w:r w:rsidR="00342F31">
        <w:rPr>
          <w:rFonts w:ascii="Cambria" w:hAnsi="Cambria" w:cstheme="minorHAnsi"/>
        </w:rPr>
        <w:t>.</w:t>
      </w:r>
    </w:p>
    <w:p w14:paraId="3CD5E810" w14:textId="77777777" w:rsidR="00DB3805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42F31">
        <w:rPr>
          <w:rFonts w:ascii="Cambria" w:hAnsi="Cambria" w:cstheme="minorHAnsi"/>
        </w:rPr>
        <w:t xml:space="preserve">Odstoupit lze od Smlouvy </w:t>
      </w:r>
      <w:r w:rsidR="00093D1B" w:rsidRPr="00342F31">
        <w:rPr>
          <w:rFonts w:ascii="Cambria" w:hAnsi="Cambria" w:cstheme="minorHAnsi"/>
        </w:rPr>
        <w:t>bez zbytečného odkladu poté, co smluvní strana poruší Smlouvu podstatným způsobem</w:t>
      </w:r>
      <w:r w:rsidR="00342F31" w:rsidRPr="00342F31">
        <w:rPr>
          <w:rFonts w:ascii="Cambria" w:hAnsi="Cambria" w:cstheme="minorHAnsi"/>
        </w:rPr>
        <w:t xml:space="preserve"> </w:t>
      </w:r>
      <w:r w:rsidR="00342F31">
        <w:rPr>
          <w:rFonts w:ascii="Cambria" w:hAnsi="Cambria" w:cstheme="minorHAnsi"/>
        </w:rPr>
        <w:t xml:space="preserve">nebo </w:t>
      </w:r>
      <w:r w:rsidR="00342F31" w:rsidRPr="00342F31">
        <w:rPr>
          <w:rFonts w:ascii="Cambria" w:hAnsi="Cambria" w:cstheme="minorHAnsi"/>
        </w:rPr>
        <w:t xml:space="preserve">poté, co z chování druhé strany nepochybně vyplyne, že poruší </w:t>
      </w:r>
      <w:r w:rsidR="00342F31">
        <w:rPr>
          <w:rFonts w:ascii="Cambria" w:hAnsi="Cambria" w:cstheme="minorHAnsi"/>
        </w:rPr>
        <w:t>S</w:t>
      </w:r>
      <w:r w:rsidR="00342F31" w:rsidRPr="00342F31">
        <w:rPr>
          <w:rFonts w:ascii="Cambria" w:hAnsi="Cambria" w:cstheme="minorHAnsi"/>
        </w:rPr>
        <w:t>mlouvu podstatným způsobem, a nedá-li na výzvu oprávněné strany přiměřenou jistotu.</w:t>
      </w:r>
      <w:r w:rsidR="00342F31">
        <w:rPr>
          <w:rFonts w:ascii="Cambria" w:hAnsi="Cambria" w:cstheme="minorHAnsi"/>
        </w:rPr>
        <w:t xml:space="preserve"> </w:t>
      </w:r>
      <w:r w:rsidR="00D53483" w:rsidRPr="00342F31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>
        <w:rPr>
          <w:rFonts w:ascii="Cambria" w:hAnsi="Cambria" w:cstheme="minorHAnsi"/>
        </w:rPr>
        <w:t>, a to zejména:</w:t>
      </w:r>
    </w:p>
    <w:p w14:paraId="45F1E34F" w14:textId="1A7B3982" w:rsidR="00DB3805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provádění Díla je bezdůvodně pozastaveno po dobu více než </w:t>
      </w:r>
      <w:r w:rsidR="00E71880">
        <w:rPr>
          <w:rFonts w:ascii="Cambria" w:hAnsi="Cambria" w:cstheme="minorHAnsi"/>
        </w:rPr>
        <w:t>deset (10)</w:t>
      </w:r>
      <w:r w:rsidRPr="00DB3805">
        <w:rPr>
          <w:rFonts w:ascii="Cambria" w:hAnsi="Cambria" w:cstheme="minorHAnsi"/>
        </w:rPr>
        <w:t xml:space="preserve"> kalendářních dnů, </w:t>
      </w:r>
    </w:p>
    <w:p w14:paraId="4BE715F2" w14:textId="7B638B49" w:rsidR="00DB3805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neplnění, neúplné či jinak vadné plnění, včetně vadného plnění spočívajícího ve vadách právních, které Zhotovitel nedokázal ani </w:t>
      </w:r>
      <w:r w:rsidR="00E71880">
        <w:rPr>
          <w:rFonts w:ascii="Cambria" w:hAnsi="Cambria" w:cstheme="minorHAnsi"/>
        </w:rPr>
        <w:t>pět (5)</w:t>
      </w:r>
      <w:r w:rsidR="00285F3C" w:rsidRPr="00DB3805">
        <w:rPr>
          <w:rFonts w:ascii="Cambria" w:hAnsi="Cambria" w:cstheme="minorHAnsi"/>
        </w:rPr>
        <w:t xml:space="preserve"> </w:t>
      </w:r>
      <w:r w:rsidRPr="00DB3805">
        <w:rPr>
          <w:rFonts w:ascii="Cambria" w:hAnsi="Cambria" w:cstheme="minorHAnsi"/>
        </w:rPr>
        <w:t>kalendářních dnů po obdržení písemného oznámení Objednatele napravit apod.)</w:t>
      </w:r>
      <w:r w:rsidR="00DB3805">
        <w:rPr>
          <w:rFonts w:ascii="Cambria" w:hAnsi="Cambria" w:cstheme="minorHAnsi"/>
        </w:rPr>
        <w:t xml:space="preserve"> a</w:t>
      </w:r>
    </w:p>
    <w:p w14:paraId="72CE76F3" w14:textId="5FFEC561" w:rsidR="00DB3805" w:rsidRPr="00DB3805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56F9B">
        <w:rPr>
          <w:rFonts w:ascii="Cambria" w:hAnsi="Cambria" w:cstheme="minorHAnsi"/>
        </w:rPr>
        <w:t xml:space="preserve">V případě předčasného ukončení této Smlouvy je </w:t>
      </w:r>
      <w:r w:rsidR="00EB3188" w:rsidRPr="00956F9B">
        <w:rPr>
          <w:rFonts w:ascii="Cambria" w:hAnsi="Cambria" w:cstheme="minorHAnsi"/>
        </w:rPr>
        <w:t>Zhotovitel</w:t>
      </w:r>
      <w:r w:rsidRPr="00956F9B">
        <w:rPr>
          <w:rFonts w:ascii="Cambria" w:hAnsi="Cambria" w:cstheme="minorHAnsi"/>
        </w:rPr>
        <w:t xml:space="preserve"> povinen bezodkladně protokolárně předat </w:t>
      </w:r>
      <w:r w:rsidR="00EB3188" w:rsidRPr="00956F9B">
        <w:rPr>
          <w:rFonts w:ascii="Cambria" w:hAnsi="Cambria" w:cstheme="minorHAnsi"/>
        </w:rPr>
        <w:t>Objednateli</w:t>
      </w:r>
      <w:r w:rsidRPr="00956F9B">
        <w:rPr>
          <w:rFonts w:ascii="Cambria" w:hAnsi="Cambria" w:cstheme="minorHAnsi"/>
        </w:rPr>
        <w:t xml:space="preserve"> </w:t>
      </w:r>
      <w:r w:rsidR="00EB3188" w:rsidRPr="00956F9B">
        <w:rPr>
          <w:rFonts w:ascii="Cambria" w:hAnsi="Cambria" w:cstheme="minorHAnsi"/>
        </w:rPr>
        <w:t>vše, co od něj</w:t>
      </w:r>
      <w:r w:rsidRPr="00956F9B">
        <w:rPr>
          <w:rFonts w:ascii="Cambria" w:hAnsi="Cambria" w:cstheme="minorHAnsi"/>
        </w:rPr>
        <w:t xml:space="preserve"> převzal při začátku </w:t>
      </w:r>
      <w:r w:rsidRPr="00956F9B">
        <w:rPr>
          <w:rFonts w:ascii="Cambria" w:hAnsi="Cambria" w:cstheme="minorHAnsi"/>
        </w:rPr>
        <w:br/>
        <w:t xml:space="preserve">a během plnění této Smlouvy, </w:t>
      </w:r>
      <w:r w:rsidR="00EB3188" w:rsidRPr="00956F9B">
        <w:rPr>
          <w:rFonts w:ascii="Cambria" w:hAnsi="Cambria" w:cstheme="minorHAnsi"/>
        </w:rPr>
        <w:t xml:space="preserve">včetně </w:t>
      </w:r>
      <w:r w:rsidRPr="00956F9B">
        <w:rPr>
          <w:rFonts w:ascii="Cambria" w:hAnsi="Cambria" w:cstheme="minorHAnsi"/>
        </w:rPr>
        <w:t>podkladů, které opatřil nebo obdržel v souvislosti s plněním této Smlouvy</w:t>
      </w:r>
      <w:r w:rsidR="000514D0">
        <w:rPr>
          <w:rFonts w:ascii="Cambria" w:hAnsi="Cambria" w:cstheme="minorHAnsi"/>
        </w:rPr>
        <w:t>.</w:t>
      </w:r>
    </w:p>
    <w:p w14:paraId="4D0CB79B" w14:textId="026CEC8A" w:rsidR="000514D0" w:rsidRPr="003F73BB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514D0">
        <w:rPr>
          <w:rFonts w:ascii="Cambria" w:hAnsi="Cambria" w:cstheme="minorHAnsi"/>
        </w:rPr>
        <w:t xml:space="preserve">Odstoupení od </w:t>
      </w:r>
      <w:r>
        <w:rPr>
          <w:rFonts w:ascii="Cambria" w:hAnsi="Cambria" w:cstheme="minorHAnsi"/>
        </w:rPr>
        <w:t>S</w:t>
      </w:r>
      <w:r w:rsidRPr="000514D0">
        <w:rPr>
          <w:rFonts w:ascii="Cambria" w:hAnsi="Cambria" w:cstheme="minorHAnsi"/>
        </w:rPr>
        <w:t>mlouvy se nedotýká práva na zaplacení smluvní pokuty nebo práva na náhradu škody vzniklé z porušení smluvní povinnosti</w:t>
      </w:r>
      <w:r w:rsidR="003F73BB">
        <w:rPr>
          <w:rFonts w:ascii="Cambria" w:hAnsi="Cambria" w:cstheme="minorHAnsi"/>
        </w:rPr>
        <w:t>.</w:t>
      </w:r>
    </w:p>
    <w:p w14:paraId="40D7620D" w14:textId="77777777" w:rsidR="00311FA2" w:rsidRPr="00993DA4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33E06093" w:rsidR="00311FA2" w:rsidRPr="00B24591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lastRenderedPageBreak/>
        <w:t xml:space="preserve">Identifikátor datové schránky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31378D" w:rsidRPr="0031378D">
        <w:rPr>
          <w:rFonts w:ascii="Cambria" w:hAnsi="Cambria" w:cstheme="minorHAnsi"/>
          <w:b/>
          <w:bCs/>
        </w:rPr>
        <w:t>65msw6w</w:t>
      </w:r>
    </w:p>
    <w:p w14:paraId="18ABA9CE" w14:textId="5F80842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0C9E13DD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následující </w:t>
      </w:r>
      <w:r w:rsidRPr="00993DA4">
        <w:rPr>
          <w:rFonts w:ascii="Cambria" w:hAnsi="Cambria" w:cstheme="minorHAnsi"/>
        </w:rPr>
        <w:br/>
        <w:t xml:space="preserve">e-mailové adresy stran: </w:t>
      </w:r>
    </w:p>
    <w:p w14:paraId="276CB877" w14:textId="766D8806" w:rsidR="00311FA2" w:rsidRPr="0031378D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hyperlink r:id="rId7" w:history="1">
        <w:r w:rsidR="0031378D" w:rsidRPr="008754CA">
          <w:rPr>
            <w:rStyle w:val="Hypertextovodkaz"/>
            <w:rFonts w:ascii="Cambria" w:hAnsi="Cambria" w:cstheme="minorHAnsi"/>
            <w:szCs w:val="22"/>
          </w:rPr>
          <w:t>info@cmi.cz</w:t>
        </w:r>
      </w:hyperlink>
      <w:r w:rsidR="0031378D">
        <w:rPr>
          <w:rFonts w:ascii="Cambria" w:hAnsi="Cambria" w:cstheme="minorHAnsi"/>
          <w:szCs w:val="22"/>
        </w:rPr>
        <w:t xml:space="preserve"> / </w:t>
      </w:r>
      <w:hyperlink r:id="rId8" w:history="1">
        <w:r w:rsidR="0031378D" w:rsidRPr="008754CA">
          <w:rPr>
            <w:rStyle w:val="Hypertextovodkaz"/>
            <w:rFonts w:ascii="Cambria" w:hAnsi="Cambria" w:cstheme="minorHAnsi"/>
            <w:szCs w:val="22"/>
          </w:rPr>
          <w:t>marketing@cmi.cz</w:t>
        </w:r>
      </w:hyperlink>
    </w:p>
    <w:p w14:paraId="10ED6308" w14:textId="2FA9F316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31378D">
        <w:rPr>
          <w:rFonts w:ascii="Cambria" w:hAnsi="Cambria" w:cstheme="minorHAnsi"/>
        </w:rPr>
        <w:t xml:space="preserve"> </w:t>
      </w:r>
      <w:hyperlink r:id="rId9" w:history="1">
        <w:r w:rsidR="0031378D" w:rsidRPr="008754CA">
          <w:rPr>
            <w:rStyle w:val="Hypertextovodkaz"/>
            <w:rFonts w:ascii="Cambria" w:hAnsi="Cambria" w:cstheme="minorHAnsi"/>
          </w:rPr>
          <w:t>vesely@agentura-cas.cz</w:t>
        </w:r>
      </w:hyperlink>
    </w:p>
    <w:p w14:paraId="7DFCED6A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6B2CEE98" w14:textId="4BF73289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31378D">
        <w:rPr>
          <w:rFonts w:ascii="Cambria" w:hAnsi="Cambria" w:cstheme="minorHAnsi"/>
          <w:szCs w:val="22"/>
        </w:rPr>
        <w:t>Český metrologický institut, Okružní 31, 638 00 Brno</w:t>
      </w:r>
    </w:p>
    <w:p w14:paraId="35CA3D6C" w14:textId="0CE5A926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9F2068" w:rsidRPr="00C434F0">
        <w:rPr>
          <w:rFonts w:ascii="Cambria" w:hAnsi="Cambria" w:cstheme="minorHAnsi"/>
        </w:rPr>
        <w:t>Na Žertvách 132/24, Praha 8</w:t>
      </w:r>
    </w:p>
    <w:p w14:paraId="2AA329F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Osoby oprávněné zastupovat smluvní stranu při rámci plnění této Smlouvy:</w:t>
      </w:r>
    </w:p>
    <w:p w14:paraId="508E628A" w14:textId="11B7C0C1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31378D">
        <w:rPr>
          <w:rFonts w:ascii="Cambria" w:hAnsi="Cambria" w:cstheme="minorHAnsi"/>
          <w:szCs w:val="22"/>
        </w:rPr>
        <w:t>doc. RNDr. Jiří Tesař, Ph.D.</w:t>
      </w:r>
    </w:p>
    <w:p w14:paraId="0167389B" w14:textId="6EC175A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5F16B8">
        <w:rPr>
          <w:rFonts w:ascii="Cambria" w:hAnsi="Cambria" w:cstheme="minorHAnsi"/>
        </w:rPr>
        <w:t>Mgr. Zdeněk Veselý</w:t>
      </w:r>
    </w:p>
    <w:p w14:paraId="6FF33812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prostřednictvím datové schránky jedné smluvní strany do datové schránky druhé smluvní strany, okamžikem, kdy se do 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> případě odesláním sdělení prostřednictvím poštovního doručovatele, se považuje sdělení doručené třetím (3) dnem po odeslání prostřednictvím služeb poštovního doručovatele;</w:t>
      </w:r>
    </w:p>
    <w:p w14:paraId="5E8BE7A3" w14:textId="77777777" w:rsidR="00311FA2" w:rsidRPr="00993DA4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3D85517D" w14:textId="4A98DF23" w:rsidR="00943F82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65B510B0" w14:textId="77777777" w:rsidR="0031378D" w:rsidRPr="009F2068" w:rsidRDefault="0031378D" w:rsidP="0031378D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67D4F57D" w14:textId="115907F4" w:rsidR="007C412A" w:rsidRPr="005C668A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Veřejnoprávní povinnosti Objednatele</w:t>
      </w:r>
    </w:p>
    <w:p w14:paraId="68F5CA16" w14:textId="2D051156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07C84CC" w14:textId="29E0AD6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 xml:space="preserve"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</w:t>
      </w:r>
      <w:r w:rsidR="00F64BA0" w:rsidRPr="00CF3C4A">
        <w:rPr>
          <w:rFonts w:ascii="Cambria" w:hAnsi="Cambria"/>
        </w:rPr>
        <w:t>občansk</w:t>
      </w:r>
      <w:r w:rsidR="00F64BA0">
        <w:rPr>
          <w:rFonts w:ascii="Cambria" w:hAnsi="Cambria"/>
        </w:rPr>
        <w:t>ý</w:t>
      </w:r>
      <w:r w:rsidR="00F64BA0" w:rsidRPr="00CF3C4A">
        <w:rPr>
          <w:rFonts w:ascii="Cambria" w:hAnsi="Cambria"/>
        </w:rPr>
        <w:t xml:space="preserve"> </w:t>
      </w:r>
      <w:r w:rsidRPr="00CF3C4A">
        <w:rPr>
          <w:rFonts w:ascii="Cambria" w:hAnsi="Cambria"/>
        </w:rPr>
        <w:t>zákoník,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19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19"/>
    </w:p>
    <w:p w14:paraId="2D8E3446" w14:textId="01ADBC5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r w:rsidR="00F44050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 xml:space="preserve">odst. </w:t>
      </w:r>
      <w:r w:rsidR="00F44050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 w:rsidR="00F44050">
        <w:rPr>
          <w:rFonts w:ascii="Cambria" w:hAnsi="Cambria"/>
        </w:rPr>
        <w:t>12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43783E6A" w14:textId="1A4BEBB5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</w:t>
      </w:r>
      <w:r w:rsidRPr="00CF3C4A">
        <w:rPr>
          <w:rFonts w:ascii="Cambria" w:hAnsi="Cambria" w:cstheme="minorHAnsi"/>
        </w:rPr>
        <w:lastRenderedPageBreak/>
        <w:t>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996B5D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t>Závěrečná ustanovení</w:t>
      </w:r>
    </w:p>
    <w:p w14:paraId="3C056675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3C24E3D8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dvou (2) stejnopisech. Každá smluvní strana obdrží jeden (1).</w:t>
      </w:r>
    </w:p>
    <w:p w14:paraId="6441CA82" w14:textId="0AA055D1" w:rsidR="001B7F88" w:rsidRPr="00E60CA9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Pr="00EE0775">
        <w:rPr>
          <w:rFonts w:ascii="Cambria" w:hAnsi="Cambria" w:cstheme="minorHAnsi"/>
        </w:rPr>
        <w:t>.</w:t>
      </w:r>
    </w:p>
    <w:p w14:paraId="26126360" w14:textId="19F2ADCB" w:rsidR="000F78BD" w:rsidRDefault="000F78BD" w:rsidP="00020BC8">
      <w:pPr>
        <w:spacing w:line="276" w:lineRule="auto"/>
        <w:rPr>
          <w:rFonts w:ascii="Cambria" w:hAnsi="Cambria" w:cstheme="minorHAnsi"/>
        </w:rPr>
      </w:pPr>
    </w:p>
    <w:p w14:paraId="0E0204F7" w14:textId="77777777" w:rsidR="00BB3E34" w:rsidRDefault="00BB3E34" w:rsidP="00020BC8">
      <w:pPr>
        <w:spacing w:line="276" w:lineRule="auto"/>
        <w:rPr>
          <w:rFonts w:ascii="Cambria" w:hAnsi="Cambria" w:cstheme="minorHAnsi"/>
        </w:rPr>
      </w:pPr>
    </w:p>
    <w:p w14:paraId="509067D7" w14:textId="36507276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 xml:space="preserve">V </w:t>
      </w:r>
      <w:r w:rsidR="00E21139" w:rsidRPr="005C668A">
        <w:rPr>
          <w:rFonts w:ascii="Cambria" w:hAnsi="Cambria" w:cstheme="minorHAnsi"/>
        </w:rPr>
        <w:t>_________</w:t>
      </w:r>
      <w:r w:rsidRPr="005C668A">
        <w:rPr>
          <w:rFonts w:ascii="Cambria" w:hAnsi="Cambria" w:cstheme="minorHAnsi"/>
        </w:rPr>
        <w:t xml:space="preserve"> dne   ___________</w:t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  <w:t xml:space="preserve">V </w:t>
      </w:r>
      <w:r w:rsidR="0031378D">
        <w:rPr>
          <w:rFonts w:ascii="Cambria" w:hAnsi="Cambria" w:cstheme="minorHAnsi"/>
        </w:rPr>
        <w:t>Praze</w:t>
      </w:r>
      <w:r w:rsidR="007D5C4D" w:rsidRPr="005C668A">
        <w:rPr>
          <w:rFonts w:ascii="Cambria" w:hAnsi="Cambria" w:cstheme="minorHAnsi"/>
        </w:rPr>
        <w:t xml:space="preserve"> dne  </w:t>
      </w:r>
      <w:r w:rsidR="0031378D">
        <w:rPr>
          <w:rFonts w:ascii="Cambria" w:hAnsi="Cambria" w:cstheme="minorHAnsi"/>
        </w:rPr>
        <w:t xml:space="preserve"> 2</w:t>
      </w:r>
      <w:r w:rsidR="003752ED">
        <w:rPr>
          <w:rFonts w:ascii="Cambria" w:hAnsi="Cambria" w:cstheme="minorHAnsi"/>
        </w:rPr>
        <w:t>9</w:t>
      </w:r>
      <w:r w:rsidR="0031378D">
        <w:rPr>
          <w:rFonts w:ascii="Cambria" w:hAnsi="Cambria" w:cstheme="minorHAnsi"/>
        </w:rPr>
        <w:t>.9.2021</w:t>
      </w:r>
    </w:p>
    <w:p w14:paraId="53EBD80A" w14:textId="77777777" w:rsidR="00BB3E34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</w:p>
    <w:p w14:paraId="3D40C8D5" w14:textId="77777777" w:rsidR="00BB3E34" w:rsidRDefault="00BB3E34" w:rsidP="00020BC8">
      <w:pPr>
        <w:spacing w:line="276" w:lineRule="auto"/>
        <w:rPr>
          <w:rFonts w:ascii="Cambria" w:hAnsi="Cambria" w:cstheme="minorHAnsi"/>
        </w:rPr>
      </w:pPr>
    </w:p>
    <w:p w14:paraId="43C4EB57" w14:textId="19CBDF43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521689" w14:paraId="5B1E6FDE" w14:textId="77777777" w:rsidTr="00096E6A">
        <w:tc>
          <w:tcPr>
            <w:tcW w:w="4606" w:type="dxa"/>
          </w:tcPr>
          <w:p w14:paraId="7485303C" w14:textId="038A60E1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54BB5F06" w14:textId="7DF95201" w:rsidR="00020BC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3726932" w14:textId="77777777" w:rsidR="006E2512" w:rsidRPr="005C668A" w:rsidRDefault="006E2512" w:rsidP="006E251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68753D45" w14:textId="673A7402" w:rsidR="00020BC8" w:rsidRPr="005C668A" w:rsidRDefault="006E2512" w:rsidP="006E2512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4BC75A0" w14:textId="5448BAE2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499A0ECF" w14:textId="77777777" w:rsidR="002C46E2" w:rsidRPr="005C668A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784AE10" w14:textId="027EC814" w:rsidR="00020BC8" w:rsidRPr="0031378D" w:rsidRDefault="0031378D" w:rsidP="0031378D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  <w:szCs w:val="22"/>
              </w:rPr>
              <w:t xml:space="preserve">         </w:t>
            </w:r>
            <w:r w:rsidRPr="0031378D">
              <w:rPr>
                <w:rFonts w:ascii="Cambria" w:hAnsi="Cambria" w:cstheme="minorHAnsi"/>
                <w:b/>
                <w:bCs/>
                <w:szCs w:val="22"/>
              </w:rPr>
              <w:t>Český metrologický institut</w:t>
            </w:r>
          </w:p>
          <w:p w14:paraId="18167042" w14:textId="14ED0918" w:rsidR="00020BC8" w:rsidRPr="00521689" w:rsidRDefault="0031378D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      státní příspěvková organizace</w:t>
            </w:r>
          </w:p>
          <w:p w14:paraId="5F17D466" w14:textId="52F61FC1" w:rsidR="00020BC8" w:rsidRPr="0031378D" w:rsidRDefault="0031378D" w:rsidP="00096E6A">
            <w:pPr>
              <w:spacing w:line="27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           </w:t>
            </w:r>
            <w:r w:rsidRPr="0031378D">
              <w:rPr>
                <w:rFonts w:ascii="Cambria" w:hAnsi="Cambria" w:cstheme="minorHAnsi"/>
                <w:bCs/>
              </w:rPr>
              <w:t>Doc. RNDr. Jiří Tesař, Ph.D.</w:t>
            </w:r>
          </w:p>
          <w:p w14:paraId="2FDD62A7" w14:textId="10ED79FA" w:rsidR="0031378D" w:rsidRPr="0031378D" w:rsidRDefault="0031378D" w:rsidP="00096E6A">
            <w:pPr>
              <w:spacing w:line="27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                     </w:t>
            </w:r>
            <w:r w:rsidRPr="0031378D">
              <w:rPr>
                <w:rFonts w:ascii="Cambria" w:hAnsi="Cambria" w:cstheme="minorHAnsi"/>
                <w:bCs/>
              </w:rPr>
              <w:t>generální ředitel</w:t>
            </w:r>
          </w:p>
        </w:tc>
      </w:tr>
    </w:tbl>
    <w:p w14:paraId="2723FA79" w14:textId="77777777" w:rsidR="00B07736" w:rsidRPr="00521689" w:rsidRDefault="00B07736">
      <w:pPr>
        <w:rPr>
          <w:rFonts w:ascii="Cambria" w:hAnsi="Cambria"/>
        </w:rPr>
      </w:pPr>
    </w:p>
    <w:sectPr w:rsidR="00B07736" w:rsidRPr="00521689" w:rsidSect="00096E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17D08" w14:textId="77777777" w:rsidR="009F3BFC" w:rsidRDefault="009F3BFC" w:rsidP="00E25414">
      <w:r>
        <w:separator/>
      </w:r>
    </w:p>
  </w:endnote>
  <w:endnote w:type="continuationSeparator" w:id="0">
    <w:p w14:paraId="08C64924" w14:textId="77777777" w:rsidR="009F3BFC" w:rsidRDefault="009F3BFC" w:rsidP="00E25414">
      <w:r>
        <w:continuationSeparator/>
      </w:r>
    </w:p>
  </w:endnote>
  <w:endnote w:type="continuationNotice" w:id="1">
    <w:p w14:paraId="5C695E52" w14:textId="77777777" w:rsidR="009F3BFC" w:rsidRDefault="009F3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477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4B1967">
              <w:rPr>
                <w:rFonts w:ascii="Cambria" w:hAnsi="Cambria"/>
                <w:noProof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4B1967">
              <w:rPr>
                <w:rFonts w:ascii="Cambria" w:hAnsi="Cambria"/>
                <w:noProof/>
                <w:sz w:val="20"/>
                <w:szCs w:val="20"/>
              </w:rPr>
              <w:t>11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D94" w14:textId="77777777" w:rsidR="009F3BFC" w:rsidRDefault="009F3BFC" w:rsidP="00E25414">
      <w:r>
        <w:separator/>
      </w:r>
    </w:p>
  </w:footnote>
  <w:footnote w:type="continuationSeparator" w:id="0">
    <w:p w14:paraId="24CE688D" w14:textId="77777777" w:rsidR="009F3BFC" w:rsidRDefault="009F3BFC" w:rsidP="00E25414">
      <w:r>
        <w:continuationSeparator/>
      </w:r>
    </w:p>
  </w:footnote>
  <w:footnote w:type="continuationNotice" w:id="1">
    <w:p w14:paraId="5D4E2A5C" w14:textId="77777777" w:rsidR="009F3BFC" w:rsidRDefault="009F3B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</w:r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>
    <w:abstractNumId w:val="6"/>
  </w:num>
  <w:num w:numId="8">
    <w:abstractNumId w:val="7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8"/>
    <w:rsid w:val="00001209"/>
    <w:rsid w:val="000043B4"/>
    <w:rsid w:val="00013287"/>
    <w:rsid w:val="00015CA0"/>
    <w:rsid w:val="00016EB4"/>
    <w:rsid w:val="00017244"/>
    <w:rsid w:val="000173C0"/>
    <w:rsid w:val="00020BC8"/>
    <w:rsid w:val="00024C05"/>
    <w:rsid w:val="00030A3D"/>
    <w:rsid w:val="00030E04"/>
    <w:rsid w:val="0003487A"/>
    <w:rsid w:val="0004187C"/>
    <w:rsid w:val="00042F93"/>
    <w:rsid w:val="000445E9"/>
    <w:rsid w:val="00046AD7"/>
    <w:rsid w:val="000511EF"/>
    <w:rsid w:val="000514D0"/>
    <w:rsid w:val="00051AEA"/>
    <w:rsid w:val="00053687"/>
    <w:rsid w:val="000565F5"/>
    <w:rsid w:val="0005727E"/>
    <w:rsid w:val="00060963"/>
    <w:rsid w:val="000738BF"/>
    <w:rsid w:val="0007672C"/>
    <w:rsid w:val="0008489D"/>
    <w:rsid w:val="0008500F"/>
    <w:rsid w:val="000873D2"/>
    <w:rsid w:val="00092BCD"/>
    <w:rsid w:val="0009308A"/>
    <w:rsid w:val="00093D1B"/>
    <w:rsid w:val="00096E6A"/>
    <w:rsid w:val="0009768E"/>
    <w:rsid w:val="000A18CE"/>
    <w:rsid w:val="000A2116"/>
    <w:rsid w:val="000A2FCB"/>
    <w:rsid w:val="000A46B8"/>
    <w:rsid w:val="000A59C6"/>
    <w:rsid w:val="000B1235"/>
    <w:rsid w:val="000B126D"/>
    <w:rsid w:val="000B443D"/>
    <w:rsid w:val="000B730C"/>
    <w:rsid w:val="000B73D5"/>
    <w:rsid w:val="000C0031"/>
    <w:rsid w:val="000C5A06"/>
    <w:rsid w:val="000D226D"/>
    <w:rsid w:val="000D3C6A"/>
    <w:rsid w:val="000D6194"/>
    <w:rsid w:val="000D619C"/>
    <w:rsid w:val="000D7B52"/>
    <w:rsid w:val="000E0725"/>
    <w:rsid w:val="000E30A5"/>
    <w:rsid w:val="000E3AA8"/>
    <w:rsid w:val="000E4DA0"/>
    <w:rsid w:val="000F2986"/>
    <w:rsid w:val="000F5038"/>
    <w:rsid w:val="000F5B66"/>
    <w:rsid w:val="000F7133"/>
    <w:rsid w:val="000F78BD"/>
    <w:rsid w:val="001121EC"/>
    <w:rsid w:val="0011220B"/>
    <w:rsid w:val="00116C46"/>
    <w:rsid w:val="00130C4A"/>
    <w:rsid w:val="00131B57"/>
    <w:rsid w:val="001349FE"/>
    <w:rsid w:val="00135B5A"/>
    <w:rsid w:val="00142888"/>
    <w:rsid w:val="00144665"/>
    <w:rsid w:val="00144B21"/>
    <w:rsid w:val="001556FC"/>
    <w:rsid w:val="00155F73"/>
    <w:rsid w:val="001561B5"/>
    <w:rsid w:val="001564C0"/>
    <w:rsid w:val="00157614"/>
    <w:rsid w:val="00157E62"/>
    <w:rsid w:val="00165822"/>
    <w:rsid w:val="00166D0C"/>
    <w:rsid w:val="00170DF0"/>
    <w:rsid w:val="001826B4"/>
    <w:rsid w:val="001846EA"/>
    <w:rsid w:val="0018645F"/>
    <w:rsid w:val="00195950"/>
    <w:rsid w:val="00197504"/>
    <w:rsid w:val="001A07BE"/>
    <w:rsid w:val="001B007D"/>
    <w:rsid w:val="001B0269"/>
    <w:rsid w:val="001B292F"/>
    <w:rsid w:val="001B40B2"/>
    <w:rsid w:val="001B5717"/>
    <w:rsid w:val="001B58BB"/>
    <w:rsid w:val="001B7F88"/>
    <w:rsid w:val="001C1073"/>
    <w:rsid w:val="001C6B87"/>
    <w:rsid w:val="001D071B"/>
    <w:rsid w:val="001D671A"/>
    <w:rsid w:val="001D7D11"/>
    <w:rsid w:val="001E0999"/>
    <w:rsid w:val="001E5E4D"/>
    <w:rsid w:val="001F1E18"/>
    <w:rsid w:val="001F29BE"/>
    <w:rsid w:val="001F4988"/>
    <w:rsid w:val="001F76AC"/>
    <w:rsid w:val="00201B19"/>
    <w:rsid w:val="00202352"/>
    <w:rsid w:val="002055BF"/>
    <w:rsid w:val="0020613E"/>
    <w:rsid w:val="00212119"/>
    <w:rsid w:val="00215448"/>
    <w:rsid w:val="00215D37"/>
    <w:rsid w:val="0021723F"/>
    <w:rsid w:val="002207C6"/>
    <w:rsid w:val="0022250C"/>
    <w:rsid w:val="00222F19"/>
    <w:rsid w:val="00227F51"/>
    <w:rsid w:val="00231DFB"/>
    <w:rsid w:val="002337C3"/>
    <w:rsid w:val="00235035"/>
    <w:rsid w:val="00240C7A"/>
    <w:rsid w:val="0024694D"/>
    <w:rsid w:val="0025162D"/>
    <w:rsid w:val="002522CD"/>
    <w:rsid w:val="002527A8"/>
    <w:rsid w:val="00254F08"/>
    <w:rsid w:val="0026423F"/>
    <w:rsid w:val="00264746"/>
    <w:rsid w:val="00267447"/>
    <w:rsid w:val="00272770"/>
    <w:rsid w:val="00274626"/>
    <w:rsid w:val="00275776"/>
    <w:rsid w:val="0028160F"/>
    <w:rsid w:val="002823EF"/>
    <w:rsid w:val="0028588B"/>
    <w:rsid w:val="00285F3C"/>
    <w:rsid w:val="00291568"/>
    <w:rsid w:val="00297443"/>
    <w:rsid w:val="002A0116"/>
    <w:rsid w:val="002B12DB"/>
    <w:rsid w:val="002B3F8C"/>
    <w:rsid w:val="002B4F27"/>
    <w:rsid w:val="002C46E2"/>
    <w:rsid w:val="002D0FC4"/>
    <w:rsid w:val="002D7BD5"/>
    <w:rsid w:val="002E052E"/>
    <w:rsid w:val="002E1317"/>
    <w:rsid w:val="002E2EEB"/>
    <w:rsid w:val="002E3632"/>
    <w:rsid w:val="002E4737"/>
    <w:rsid w:val="002E5153"/>
    <w:rsid w:val="002E6AB6"/>
    <w:rsid w:val="002E77CE"/>
    <w:rsid w:val="002F4434"/>
    <w:rsid w:val="002F4730"/>
    <w:rsid w:val="00300340"/>
    <w:rsid w:val="00302C71"/>
    <w:rsid w:val="00302DCB"/>
    <w:rsid w:val="00303D6E"/>
    <w:rsid w:val="00305455"/>
    <w:rsid w:val="00311FA2"/>
    <w:rsid w:val="00313409"/>
    <w:rsid w:val="0031378D"/>
    <w:rsid w:val="003153AE"/>
    <w:rsid w:val="00320782"/>
    <w:rsid w:val="00321D09"/>
    <w:rsid w:val="00322899"/>
    <w:rsid w:val="003229FD"/>
    <w:rsid w:val="00322BFA"/>
    <w:rsid w:val="003233FE"/>
    <w:rsid w:val="00331DF4"/>
    <w:rsid w:val="0033248B"/>
    <w:rsid w:val="00342F31"/>
    <w:rsid w:val="00347496"/>
    <w:rsid w:val="00347595"/>
    <w:rsid w:val="003559C4"/>
    <w:rsid w:val="00355FF9"/>
    <w:rsid w:val="003568F8"/>
    <w:rsid w:val="00356DE6"/>
    <w:rsid w:val="0036064F"/>
    <w:rsid w:val="0036092B"/>
    <w:rsid w:val="00365793"/>
    <w:rsid w:val="00371612"/>
    <w:rsid w:val="00371E73"/>
    <w:rsid w:val="00374D84"/>
    <w:rsid w:val="003752ED"/>
    <w:rsid w:val="00391A61"/>
    <w:rsid w:val="003A79C0"/>
    <w:rsid w:val="003B0E1D"/>
    <w:rsid w:val="003B2D3B"/>
    <w:rsid w:val="003B3A04"/>
    <w:rsid w:val="003C2B5E"/>
    <w:rsid w:val="003C4564"/>
    <w:rsid w:val="003C4EB1"/>
    <w:rsid w:val="003C5DF4"/>
    <w:rsid w:val="003D0B9F"/>
    <w:rsid w:val="003D1DA0"/>
    <w:rsid w:val="003D3153"/>
    <w:rsid w:val="003D37C9"/>
    <w:rsid w:val="003D75B5"/>
    <w:rsid w:val="003E02C7"/>
    <w:rsid w:val="003E1EA2"/>
    <w:rsid w:val="003E28D9"/>
    <w:rsid w:val="003E2F68"/>
    <w:rsid w:val="003E5494"/>
    <w:rsid w:val="003F220F"/>
    <w:rsid w:val="003F73BB"/>
    <w:rsid w:val="004005A7"/>
    <w:rsid w:val="004015DD"/>
    <w:rsid w:val="00403561"/>
    <w:rsid w:val="004046F4"/>
    <w:rsid w:val="004060B1"/>
    <w:rsid w:val="00413AF4"/>
    <w:rsid w:val="0041404D"/>
    <w:rsid w:val="00416AC1"/>
    <w:rsid w:val="004200F6"/>
    <w:rsid w:val="00420D55"/>
    <w:rsid w:val="00422410"/>
    <w:rsid w:val="00422769"/>
    <w:rsid w:val="00422E1F"/>
    <w:rsid w:val="0042756F"/>
    <w:rsid w:val="0043119C"/>
    <w:rsid w:val="00431A8C"/>
    <w:rsid w:val="00437423"/>
    <w:rsid w:val="0043779F"/>
    <w:rsid w:val="004420C4"/>
    <w:rsid w:val="0044348A"/>
    <w:rsid w:val="00445A85"/>
    <w:rsid w:val="00447FEF"/>
    <w:rsid w:val="00460F07"/>
    <w:rsid w:val="00461595"/>
    <w:rsid w:val="00462E12"/>
    <w:rsid w:val="004664B5"/>
    <w:rsid w:val="004665B6"/>
    <w:rsid w:val="00476F64"/>
    <w:rsid w:val="0049001F"/>
    <w:rsid w:val="004A06FF"/>
    <w:rsid w:val="004A13CE"/>
    <w:rsid w:val="004A1744"/>
    <w:rsid w:val="004A3EA8"/>
    <w:rsid w:val="004A4B15"/>
    <w:rsid w:val="004A557C"/>
    <w:rsid w:val="004B1967"/>
    <w:rsid w:val="004C0F90"/>
    <w:rsid w:val="004C1899"/>
    <w:rsid w:val="004C231C"/>
    <w:rsid w:val="004C4E85"/>
    <w:rsid w:val="004D04E6"/>
    <w:rsid w:val="004D1C5B"/>
    <w:rsid w:val="004D5011"/>
    <w:rsid w:val="004D68B6"/>
    <w:rsid w:val="004E0598"/>
    <w:rsid w:val="004E44B2"/>
    <w:rsid w:val="004E529B"/>
    <w:rsid w:val="004E5A28"/>
    <w:rsid w:val="004F4EEA"/>
    <w:rsid w:val="004F56D8"/>
    <w:rsid w:val="004F5BB0"/>
    <w:rsid w:val="005003F1"/>
    <w:rsid w:val="00501419"/>
    <w:rsid w:val="0050232B"/>
    <w:rsid w:val="005035C5"/>
    <w:rsid w:val="005049AB"/>
    <w:rsid w:val="005079FA"/>
    <w:rsid w:val="005121BF"/>
    <w:rsid w:val="005123BA"/>
    <w:rsid w:val="00521689"/>
    <w:rsid w:val="005321BB"/>
    <w:rsid w:val="0053248D"/>
    <w:rsid w:val="00532BB4"/>
    <w:rsid w:val="00535B7D"/>
    <w:rsid w:val="00540186"/>
    <w:rsid w:val="00542EDC"/>
    <w:rsid w:val="0054360F"/>
    <w:rsid w:val="00546E6E"/>
    <w:rsid w:val="00550281"/>
    <w:rsid w:val="00552748"/>
    <w:rsid w:val="005602BC"/>
    <w:rsid w:val="0056173D"/>
    <w:rsid w:val="00563D52"/>
    <w:rsid w:val="0056563A"/>
    <w:rsid w:val="00567C7C"/>
    <w:rsid w:val="0057020C"/>
    <w:rsid w:val="005707FB"/>
    <w:rsid w:val="00575EEE"/>
    <w:rsid w:val="005776CB"/>
    <w:rsid w:val="00581D48"/>
    <w:rsid w:val="00583922"/>
    <w:rsid w:val="0058494D"/>
    <w:rsid w:val="00590B26"/>
    <w:rsid w:val="005A1010"/>
    <w:rsid w:val="005A71BE"/>
    <w:rsid w:val="005B4605"/>
    <w:rsid w:val="005B70F0"/>
    <w:rsid w:val="005B70F4"/>
    <w:rsid w:val="005B749E"/>
    <w:rsid w:val="005B7C4A"/>
    <w:rsid w:val="005C31E6"/>
    <w:rsid w:val="005C565F"/>
    <w:rsid w:val="005C5C6E"/>
    <w:rsid w:val="005C668A"/>
    <w:rsid w:val="005C79F8"/>
    <w:rsid w:val="005C7E76"/>
    <w:rsid w:val="005D18EF"/>
    <w:rsid w:val="005D4637"/>
    <w:rsid w:val="005D478C"/>
    <w:rsid w:val="005D5B51"/>
    <w:rsid w:val="005D63FE"/>
    <w:rsid w:val="005D7AD3"/>
    <w:rsid w:val="005E3593"/>
    <w:rsid w:val="005E405E"/>
    <w:rsid w:val="005F16B8"/>
    <w:rsid w:val="005F7FCE"/>
    <w:rsid w:val="00601B2C"/>
    <w:rsid w:val="00603B07"/>
    <w:rsid w:val="00604FC0"/>
    <w:rsid w:val="00615846"/>
    <w:rsid w:val="0061783C"/>
    <w:rsid w:val="00621C67"/>
    <w:rsid w:val="006270AA"/>
    <w:rsid w:val="00630321"/>
    <w:rsid w:val="0063177D"/>
    <w:rsid w:val="006341F6"/>
    <w:rsid w:val="0063444F"/>
    <w:rsid w:val="00637254"/>
    <w:rsid w:val="00640484"/>
    <w:rsid w:val="006414BC"/>
    <w:rsid w:val="00647111"/>
    <w:rsid w:val="006505A3"/>
    <w:rsid w:val="006529D2"/>
    <w:rsid w:val="00652DAD"/>
    <w:rsid w:val="00654227"/>
    <w:rsid w:val="00655594"/>
    <w:rsid w:val="00661289"/>
    <w:rsid w:val="006737AD"/>
    <w:rsid w:val="0068184C"/>
    <w:rsid w:val="00685938"/>
    <w:rsid w:val="006867F2"/>
    <w:rsid w:val="006A2948"/>
    <w:rsid w:val="006A3D3D"/>
    <w:rsid w:val="006A45D4"/>
    <w:rsid w:val="006A63FD"/>
    <w:rsid w:val="006B0A8F"/>
    <w:rsid w:val="006B5A6A"/>
    <w:rsid w:val="006B7FB1"/>
    <w:rsid w:val="006C00D8"/>
    <w:rsid w:val="006C2B4E"/>
    <w:rsid w:val="006C5A04"/>
    <w:rsid w:val="006C6608"/>
    <w:rsid w:val="006D0B55"/>
    <w:rsid w:val="006D11B1"/>
    <w:rsid w:val="006D2EF2"/>
    <w:rsid w:val="006D35A3"/>
    <w:rsid w:val="006D7F05"/>
    <w:rsid w:val="006E039B"/>
    <w:rsid w:val="006E0567"/>
    <w:rsid w:val="006E21F3"/>
    <w:rsid w:val="006E2512"/>
    <w:rsid w:val="006E3A12"/>
    <w:rsid w:val="006E5B10"/>
    <w:rsid w:val="006E78B3"/>
    <w:rsid w:val="0071010D"/>
    <w:rsid w:val="00710698"/>
    <w:rsid w:val="00710EED"/>
    <w:rsid w:val="00712675"/>
    <w:rsid w:val="0071583C"/>
    <w:rsid w:val="007309F3"/>
    <w:rsid w:val="007332D3"/>
    <w:rsid w:val="007336BA"/>
    <w:rsid w:val="00740C75"/>
    <w:rsid w:val="00743FCF"/>
    <w:rsid w:val="00751B33"/>
    <w:rsid w:val="00755A3A"/>
    <w:rsid w:val="00770EB6"/>
    <w:rsid w:val="0077171A"/>
    <w:rsid w:val="007829C6"/>
    <w:rsid w:val="00783B17"/>
    <w:rsid w:val="00783E91"/>
    <w:rsid w:val="00791F5F"/>
    <w:rsid w:val="00792A30"/>
    <w:rsid w:val="00792F9A"/>
    <w:rsid w:val="00796058"/>
    <w:rsid w:val="007A1C94"/>
    <w:rsid w:val="007A1CF6"/>
    <w:rsid w:val="007A2FD1"/>
    <w:rsid w:val="007B3BD2"/>
    <w:rsid w:val="007B47A6"/>
    <w:rsid w:val="007B6449"/>
    <w:rsid w:val="007B6FA3"/>
    <w:rsid w:val="007B7C01"/>
    <w:rsid w:val="007C412A"/>
    <w:rsid w:val="007C4581"/>
    <w:rsid w:val="007C5AF7"/>
    <w:rsid w:val="007C6602"/>
    <w:rsid w:val="007D0DDB"/>
    <w:rsid w:val="007D3BD5"/>
    <w:rsid w:val="007D5C4D"/>
    <w:rsid w:val="007E2B4A"/>
    <w:rsid w:val="007E3192"/>
    <w:rsid w:val="007E58D9"/>
    <w:rsid w:val="007E5A2A"/>
    <w:rsid w:val="007E7EA3"/>
    <w:rsid w:val="007F011F"/>
    <w:rsid w:val="007F2A23"/>
    <w:rsid w:val="008014AA"/>
    <w:rsid w:val="008060E2"/>
    <w:rsid w:val="00806329"/>
    <w:rsid w:val="00811CEC"/>
    <w:rsid w:val="00814135"/>
    <w:rsid w:val="00816A09"/>
    <w:rsid w:val="008217EA"/>
    <w:rsid w:val="00823387"/>
    <w:rsid w:val="0083329E"/>
    <w:rsid w:val="00836EF5"/>
    <w:rsid w:val="00842DAA"/>
    <w:rsid w:val="008440CC"/>
    <w:rsid w:val="0085292F"/>
    <w:rsid w:val="00855723"/>
    <w:rsid w:val="008576A9"/>
    <w:rsid w:val="00857832"/>
    <w:rsid w:val="00857E82"/>
    <w:rsid w:val="00863355"/>
    <w:rsid w:val="008723D8"/>
    <w:rsid w:val="008767F1"/>
    <w:rsid w:val="00882043"/>
    <w:rsid w:val="008832C3"/>
    <w:rsid w:val="008859B8"/>
    <w:rsid w:val="008903A3"/>
    <w:rsid w:val="00893AF7"/>
    <w:rsid w:val="008A0712"/>
    <w:rsid w:val="008A1CF5"/>
    <w:rsid w:val="008A28AD"/>
    <w:rsid w:val="008A5B94"/>
    <w:rsid w:val="008A6C64"/>
    <w:rsid w:val="008B207F"/>
    <w:rsid w:val="008B49B6"/>
    <w:rsid w:val="008B7F0C"/>
    <w:rsid w:val="008C2C3E"/>
    <w:rsid w:val="008C3445"/>
    <w:rsid w:val="008C4650"/>
    <w:rsid w:val="008C5769"/>
    <w:rsid w:val="008D05E0"/>
    <w:rsid w:val="008D1CFB"/>
    <w:rsid w:val="008D2D06"/>
    <w:rsid w:val="008D399D"/>
    <w:rsid w:val="008D5AAE"/>
    <w:rsid w:val="008D6897"/>
    <w:rsid w:val="008D7910"/>
    <w:rsid w:val="008E42E7"/>
    <w:rsid w:val="008E4FA6"/>
    <w:rsid w:val="008E56FC"/>
    <w:rsid w:val="008E6B15"/>
    <w:rsid w:val="008F280C"/>
    <w:rsid w:val="008F3335"/>
    <w:rsid w:val="008F3B4F"/>
    <w:rsid w:val="008F448E"/>
    <w:rsid w:val="008F7284"/>
    <w:rsid w:val="008F7F5A"/>
    <w:rsid w:val="009033D1"/>
    <w:rsid w:val="009046B1"/>
    <w:rsid w:val="00904A2F"/>
    <w:rsid w:val="00906ACE"/>
    <w:rsid w:val="009107EA"/>
    <w:rsid w:val="009139C9"/>
    <w:rsid w:val="00921A7D"/>
    <w:rsid w:val="0092207B"/>
    <w:rsid w:val="009223A1"/>
    <w:rsid w:val="00925170"/>
    <w:rsid w:val="0092600C"/>
    <w:rsid w:val="00930CEE"/>
    <w:rsid w:val="009314B7"/>
    <w:rsid w:val="009337FC"/>
    <w:rsid w:val="00937B58"/>
    <w:rsid w:val="00941425"/>
    <w:rsid w:val="00943010"/>
    <w:rsid w:val="009430BB"/>
    <w:rsid w:val="00943F82"/>
    <w:rsid w:val="00951C08"/>
    <w:rsid w:val="00956F9B"/>
    <w:rsid w:val="00957E53"/>
    <w:rsid w:val="00960463"/>
    <w:rsid w:val="00966365"/>
    <w:rsid w:val="009711C6"/>
    <w:rsid w:val="00971A1D"/>
    <w:rsid w:val="00972065"/>
    <w:rsid w:val="00973458"/>
    <w:rsid w:val="00977026"/>
    <w:rsid w:val="009820FB"/>
    <w:rsid w:val="00984561"/>
    <w:rsid w:val="0098464B"/>
    <w:rsid w:val="009851BC"/>
    <w:rsid w:val="009851D9"/>
    <w:rsid w:val="00985897"/>
    <w:rsid w:val="00990FF7"/>
    <w:rsid w:val="00993B97"/>
    <w:rsid w:val="00994901"/>
    <w:rsid w:val="009949B1"/>
    <w:rsid w:val="009A247D"/>
    <w:rsid w:val="009A2863"/>
    <w:rsid w:val="009B3D51"/>
    <w:rsid w:val="009B7CCB"/>
    <w:rsid w:val="009B7EF7"/>
    <w:rsid w:val="009C43D4"/>
    <w:rsid w:val="009C4826"/>
    <w:rsid w:val="009C68BA"/>
    <w:rsid w:val="009C7146"/>
    <w:rsid w:val="009D4C05"/>
    <w:rsid w:val="009D7F7F"/>
    <w:rsid w:val="009E0CFB"/>
    <w:rsid w:val="009E4081"/>
    <w:rsid w:val="009E7491"/>
    <w:rsid w:val="009F2068"/>
    <w:rsid w:val="009F21DA"/>
    <w:rsid w:val="009F3BFC"/>
    <w:rsid w:val="009F69AE"/>
    <w:rsid w:val="009F70F1"/>
    <w:rsid w:val="009F7DFA"/>
    <w:rsid w:val="00A144B9"/>
    <w:rsid w:val="00A219E8"/>
    <w:rsid w:val="00A22776"/>
    <w:rsid w:val="00A2318F"/>
    <w:rsid w:val="00A235FB"/>
    <w:rsid w:val="00A31DBF"/>
    <w:rsid w:val="00A37989"/>
    <w:rsid w:val="00A37B8E"/>
    <w:rsid w:val="00A41299"/>
    <w:rsid w:val="00A419EC"/>
    <w:rsid w:val="00A42B89"/>
    <w:rsid w:val="00A46794"/>
    <w:rsid w:val="00A51D75"/>
    <w:rsid w:val="00A5236E"/>
    <w:rsid w:val="00A52E14"/>
    <w:rsid w:val="00A6034F"/>
    <w:rsid w:val="00A61AF7"/>
    <w:rsid w:val="00A62733"/>
    <w:rsid w:val="00A7444E"/>
    <w:rsid w:val="00A74643"/>
    <w:rsid w:val="00A75BEB"/>
    <w:rsid w:val="00A778B7"/>
    <w:rsid w:val="00A81608"/>
    <w:rsid w:val="00A8581D"/>
    <w:rsid w:val="00A87E51"/>
    <w:rsid w:val="00A93F1A"/>
    <w:rsid w:val="00A940DC"/>
    <w:rsid w:val="00A9767E"/>
    <w:rsid w:val="00AA114A"/>
    <w:rsid w:val="00AA1DB3"/>
    <w:rsid w:val="00AA3D3A"/>
    <w:rsid w:val="00AA6360"/>
    <w:rsid w:val="00AA6D39"/>
    <w:rsid w:val="00AB1092"/>
    <w:rsid w:val="00AB2B7A"/>
    <w:rsid w:val="00AB7014"/>
    <w:rsid w:val="00AC1EB8"/>
    <w:rsid w:val="00AC3368"/>
    <w:rsid w:val="00AC3E8F"/>
    <w:rsid w:val="00AC4948"/>
    <w:rsid w:val="00AC614C"/>
    <w:rsid w:val="00AC6CA9"/>
    <w:rsid w:val="00AD13F4"/>
    <w:rsid w:val="00AD2A5D"/>
    <w:rsid w:val="00AD4933"/>
    <w:rsid w:val="00AD5DD4"/>
    <w:rsid w:val="00AD6EB2"/>
    <w:rsid w:val="00AE17B5"/>
    <w:rsid w:val="00AE3BE5"/>
    <w:rsid w:val="00AE3CF1"/>
    <w:rsid w:val="00AE43C5"/>
    <w:rsid w:val="00AE59DF"/>
    <w:rsid w:val="00AF2CB1"/>
    <w:rsid w:val="00AF465F"/>
    <w:rsid w:val="00B00567"/>
    <w:rsid w:val="00B0186E"/>
    <w:rsid w:val="00B01BB8"/>
    <w:rsid w:val="00B027D2"/>
    <w:rsid w:val="00B0688B"/>
    <w:rsid w:val="00B07736"/>
    <w:rsid w:val="00B117C1"/>
    <w:rsid w:val="00B1252B"/>
    <w:rsid w:val="00B14063"/>
    <w:rsid w:val="00B262ED"/>
    <w:rsid w:val="00B30201"/>
    <w:rsid w:val="00B3123A"/>
    <w:rsid w:val="00B32FAB"/>
    <w:rsid w:val="00B33AE7"/>
    <w:rsid w:val="00B37C75"/>
    <w:rsid w:val="00B4539B"/>
    <w:rsid w:val="00B5041F"/>
    <w:rsid w:val="00B50CB4"/>
    <w:rsid w:val="00B514D2"/>
    <w:rsid w:val="00B5257E"/>
    <w:rsid w:val="00B5566E"/>
    <w:rsid w:val="00B57476"/>
    <w:rsid w:val="00B57C4F"/>
    <w:rsid w:val="00B639EE"/>
    <w:rsid w:val="00B659C2"/>
    <w:rsid w:val="00B742B0"/>
    <w:rsid w:val="00B77822"/>
    <w:rsid w:val="00B926A2"/>
    <w:rsid w:val="00BA25D4"/>
    <w:rsid w:val="00BA7BBD"/>
    <w:rsid w:val="00BB022A"/>
    <w:rsid w:val="00BB094F"/>
    <w:rsid w:val="00BB3E34"/>
    <w:rsid w:val="00BB74B3"/>
    <w:rsid w:val="00BC0EDB"/>
    <w:rsid w:val="00BC4A04"/>
    <w:rsid w:val="00BD251D"/>
    <w:rsid w:val="00BD3307"/>
    <w:rsid w:val="00BD53ED"/>
    <w:rsid w:val="00BD5582"/>
    <w:rsid w:val="00BD637E"/>
    <w:rsid w:val="00BD6BF3"/>
    <w:rsid w:val="00BD6D6E"/>
    <w:rsid w:val="00BE2464"/>
    <w:rsid w:val="00BE52A9"/>
    <w:rsid w:val="00BE695F"/>
    <w:rsid w:val="00BF577C"/>
    <w:rsid w:val="00C01CF1"/>
    <w:rsid w:val="00C041C6"/>
    <w:rsid w:val="00C04D4A"/>
    <w:rsid w:val="00C07193"/>
    <w:rsid w:val="00C153FD"/>
    <w:rsid w:val="00C23F29"/>
    <w:rsid w:val="00C3527E"/>
    <w:rsid w:val="00C35C50"/>
    <w:rsid w:val="00C36DD1"/>
    <w:rsid w:val="00C37196"/>
    <w:rsid w:val="00C4007E"/>
    <w:rsid w:val="00C434F0"/>
    <w:rsid w:val="00C44CE1"/>
    <w:rsid w:val="00C46648"/>
    <w:rsid w:val="00C47027"/>
    <w:rsid w:val="00C47D58"/>
    <w:rsid w:val="00C504F8"/>
    <w:rsid w:val="00C614ED"/>
    <w:rsid w:val="00C6405A"/>
    <w:rsid w:val="00C70858"/>
    <w:rsid w:val="00C71369"/>
    <w:rsid w:val="00C81694"/>
    <w:rsid w:val="00C847BD"/>
    <w:rsid w:val="00C865B4"/>
    <w:rsid w:val="00C87395"/>
    <w:rsid w:val="00C90225"/>
    <w:rsid w:val="00C913C1"/>
    <w:rsid w:val="00C9503F"/>
    <w:rsid w:val="00C95D43"/>
    <w:rsid w:val="00CA17FC"/>
    <w:rsid w:val="00CA2646"/>
    <w:rsid w:val="00CA4A62"/>
    <w:rsid w:val="00CA5AD7"/>
    <w:rsid w:val="00CA7085"/>
    <w:rsid w:val="00CB03DC"/>
    <w:rsid w:val="00CB1BF6"/>
    <w:rsid w:val="00CB38DA"/>
    <w:rsid w:val="00CB5F2C"/>
    <w:rsid w:val="00CC093F"/>
    <w:rsid w:val="00CC4108"/>
    <w:rsid w:val="00CC68E9"/>
    <w:rsid w:val="00CC6D92"/>
    <w:rsid w:val="00CD7EDF"/>
    <w:rsid w:val="00CE1203"/>
    <w:rsid w:val="00CF2539"/>
    <w:rsid w:val="00CF2856"/>
    <w:rsid w:val="00CF350C"/>
    <w:rsid w:val="00D054D1"/>
    <w:rsid w:val="00D06371"/>
    <w:rsid w:val="00D100D1"/>
    <w:rsid w:val="00D17DE1"/>
    <w:rsid w:val="00D22B5E"/>
    <w:rsid w:val="00D33076"/>
    <w:rsid w:val="00D40E3A"/>
    <w:rsid w:val="00D41813"/>
    <w:rsid w:val="00D422B3"/>
    <w:rsid w:val="00D4316C"/>
    <w:rsid w:val="00D4378B"/>
    <w:rsid w:val="00D43B01"/>
    <w:rsid w:val="00D47C9B"/>
    <w:rsid w:val="00D507DA"/>
    <w:rsid w:val="00D51BD6"/>
    <w:rsid w:val="00D5272C"/>
    <w:rsid w:val="00D53483"/>
    <w:rsid w:val="00D55BF2"/>
    <w:rsid w:val="00D56C59"/>
    <w:rsid w:val="00D57EAE"/>
    <w:rsid w:val="00D61D1B"/>
    <w:rsid w:val="00D628E7"/>
    <w:rsid w:val="00D72177"/>
    <w:rsid w:val="00D73B6C"/>
    <w:rsid w:val="00D73EDF"/>
    <w:rsid w:val="00D752CE"/>
    <w:rsid w:val="00D76F68"/>
    <w:rsid w:val="00D76F72"/>
    <w:rsid w:val="00D836ED"/>
    <w:rsid w:val="00D83B8D"/>
    <w:rsid w:val="00D85B58"/>
    <w:rsid w:val="00D875B3"/>
    <w:rsid w:val="00D9011F"/>
    <w:rsid w:val="00D91312"/>
    <w:rsid w:val="00DA1488"/>
    <w:rsid w:val="00DA4963"/>
    <w:rsid w:val="00DA5FFC"/>
    <w:rsid w:val="00DB3805"/>
    <w:rsid w:val="00DB3EFE"/>
    <w:rsid w:val="00DB7C13"/>
    <w:rsid w:val="00DC1785"/>
    <w:rsid w:val="00DC3A26"/>
    <w:rsid w:val="00DC4ECC"/>
    <w:rsid w:val="00DC6FBC"/>
    <w:rsid w:val="00DD19A9"/>
    <w:rsid w:val="00DD7E3B"/>
    <w:rsid w:val="00DE00AC"/>
    <w:rsid w:val="00DF0549"/>
    <w:rsid w:val="00DF47E6"/>
    <w:rsid w:val="00E04351"/>
    <w:rsid w:val="00E05B17"/>
    <w:rsid w:val="00E12C91"/>
    <w:rsid w:val="00E13745"/>
    <w:rsid w:val="00E141D3"/>
    <w:rsid w:val="00E17684"/>
    <w:rsid w:val="00E20549"/>
    <w:rsid w:val="00E2107B"/>
    <w:rsid w:val="00E21139"/>
    <w:rsid w:val="00E23D66"/>
    <w:rsid w:val="00E25414"/>
    <w:rsid w:val="00E264C9"/>
    <w:rsid w:val="00E3563B"/>
    <w:rsid w:val="00E37C6D"/>
    <w:rsid w:val="00E420A1"/>
    <w:rsid w:val="00E4213F"/>
    <w:rsid w:val="00E42B85"/>
    <w:rsid w:val="00E4340A"/>
    <w:rsid w:val="00E43E13"/>
    <w:rsid w:val="00E44B61"/>
    <w:rsid w:val="00E46901"/>
    <w:rsid w:val="00E501AD"/>
    <w:rsid w:val="00E51BA5"/>
    <w:rsid w:val="00E60CA9"/>
    <w:rsid w:val="00E6270A"/>
    <w:rsid w:val="00E62E11"/>
    <w:rsid w:val="00E65756"/>
    <w:rsid w:val="00E71880"/>
    <w:rsid w:val="00E75264"/>
    <w:rsid w:val="00E7641F"/>
    <w:rsid w:val="00E776FD"/>
    <w:rsid w:val="00E81E87"/>
    <w:rsid w:val="00E838DF"/>
    <w:rsid w:val="00E8573B"/>
    <w:rsid w:val="00E85D47"/>
    <w:rsid w:val="00E905F5"/>
    <w:rsid w:val="00E9379C"/>
    <w:rsid w:val="00E945E7"/>
    <w:rsid w:val="00E95EA7"/>
    <w:rsid w:val="00EA02CE"/>
    <w:rsid w:val="00EA060D"/>
    <w:rsid w:val="00EA1558"/>
    <w:rsid w:val="00EA168F"/>
    <w:rsid w:val="00EA4B5A"/>
    <w:rsid w:val="00EB3188"/>
    <w:rsid w:val="00EB3317"/>
    <w:rsid w:val="00EC032B"/>
    <w:rsid w:val="00EC34C3"/>
    <w:rsid w:val="00EC3E56"/>
    <w:rsid w:val="00EC6047"/>
    <w:rsid w:val="00EC6C9F"/>
    <w:rsid w:val="00EC747C"/>
    <w:rsid w:val="00ED0767"/>
    <w:rsid w:val="00ED1ACE"/>
    <w:rsid w:val="00ED2B52"/>
    <w:rsid w:val="00EE1548"/>
    <w:rsid w:val="00EE2623"/>
    <w:rsid w:val="00EE2C44"/>
    <w:rsid w:val="00EE2DEB"/>
    <w:rsid w:val="00EE4688"/>
    <w:rsid w:val="00EE77F4"/>
    <w:rsid w:val="00EF5DC9"/>
    <w:rsid w:val="00F07900"/>
    <w:rsid w:val="00F145E0"/>
    <w:rsid w:val="00F170F2"/>
    <w:rsid w:val="00F17935"/>
    <w:rsid w:val="00F227FE"/>
    <w:rsid w:val="00F25B83"/>
    <w:rsid w:val="00F3055E"/>
    <w:rsid w:val="00F30A2A"/>
    <w:rsid w:val="00F31436"/>
    <w:rsid w:val="00F320A2"/>
    <w:rsid w:val="00F377A0"/>
    <w:rsid w:val="00F3799B"/>
    <w:rsid w:val="00F44050"/>
    <w:rsid w:val="00F47031"/>
    <w:rsid w:val="00F476A0"/>
    <w:rsid w:val="00F5642B"/>
    <w:rsid w:val="00F632BB"/>
    <w:rsid w:val="00F6442D"/>
    <w:rsid w:val="00F64BA0"/>
    <w:rsid w:val="00F65759"/>
    <w:rsid w:val="00F66F63"/>
    <w:rsid w:val="00F7249F"/>
    <w:rsid w:val="00F76DD8"/>
    <w:rsid w:val="00F83D7B"/>
    <w:rsid w:val="00F8649F"/>
    <w:rsid w:val="00F86CF9"/>
    <w:rsid w:val="00F91E57"/>
    <w:rsid w:val="00F9224B"/>
    <w:rsid w:val="00F9346C"/>
    <w:rsid w:val="00F953C1"/>
    <w:rsid w:val="00FA2456"/>
    <w:rsid w:val="00FA64FD"/>
    <w:rsid w:val="00FA7BC2"/>
    <w:rsid w:val="00FB09F3"/>
    <w:rsid w:val="00FB4088"/>
    <w:rsid w:val="00FC2664"/>
    <w:rsid w:val="00FC3A8E"/>
    <w:rsid w:val="00FC5ACF"/>
    <w:rsid w:val="00FC7715"/>
    <w:rsid w:val="00FC7D14"/>
    <w:rsid w:val="00FD0F35"/>
    <w:rsid w:val="00FD21D4"/>
    <w:rsid w:val="00FD25BE"/>
    <w:rsid w:val="00FD5EE4"/>
    <w:rsid w:val="00FD62DF"/>
    <w:rsid w:val="00FD7A6B"/>
    <w:rsid w:val="00FE04F0"/>
    <w:rsid w:val="00FE1CC4"/>
    <w:rsid w:val="00FE2CD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8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378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m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sely@agentura-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3383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2021-10-26T08:13:00Z</dcterms:created>
  <dcterms:modified xsi:type="dcterms:W3CDTF">2021-10-26T08:13:00Z</dcterms:modified>
</cp:coreProperties>
</file>