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Q sfdi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STATNI FOND DORA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0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INFRASTRUKTURY</w:t>
      </w:r>
    </w:p>
    <w:p>
      <w:pPr>
        <w:pStyle w:val="Style10"/>
        <w:keepNext/>
        <w:keepLines/>
        <w:widowControl w:val="0"/>
        <w:shd w:val="clear" w:color="auto" w:fill="auto"/>
        <w:tabs>
          <w:tab w:pos="5346" w:val="left"/>
          <w:tab w:pos="6589" w:val="left"/>
        </w:tabs>
        <w:bidi w:val="0"/>
        <w:spacing w:before="0" w:after="0" w:line="240" w:lineRule="auto"/>
        <w:ind w:left="488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_</w:t>
        <w:tab/>
        <w:t>vr</w:t>
      </w:r>
      <w:bookmarkEnd w:id="2"/>
      <w:bookmarkEnd w:id="3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 SMLOUVĚ</w:t>
      </w:r>
      <w:bookmarkEnd w:id="4"/>
      <w:bookmarkEnd w:id="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zajištění výkonu technického dozoru stavebníka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9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staveništi „ III/34711 Skuhrov, opěrná zeď v km 11,570 - 11,585“, ze dne 6. 5. 2021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066/2021 - KSÚSV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7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left"/>
        <w:tblLayout w:type="fixed"/>
      </w:tblPr>
      <w:tblGrid>
        <w:gridCol w:w="1694"/>
        <w:gridCol w:w="6773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tbl>
      <w:tblPr>
        <w:tblOverlap w:val="never"/>
        <w:jc w:val="left"/>
        <w:tblLayout w:type="fixed"/>
      </w:tblPr>
      <w:tblGrid>
        <w:gridCol w:w="1694"/>
        <w:gridCol w:w="6768"/>
      </w:tblGrid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Necid, ředitel organizace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tbl>
      <w:tblPr>
        <w:tblOverlap w:val="never"/>
        <w:jc w:val="left"/>
        <w:tblLayout w:type="fixed"/>
      </w:tblPr>
      <w:tblGrid>
        <w:gridCol w:w="1694"/>
        <w:gridCol w:w="6768"/>
      </w:tblGrid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tbl>
      <w:tblPr>
        <w:tblOverlap w:val="never"/>
        <w:jc w:val="left"/>
        <w:tblLayout w:type="fixed"/>
      </w:tblPr>
      <w:tblGrid>
        <w:gridCol w:w="1694"/>
        <w:gridCol w:w="6768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99" w:line="1" w:lineRule="exact"/>
      </w:pPr>
    </w:p>
    <w:tbl>
      <w:tblPr>
        <w:tblOverlap w:val="never"/>
        <w:jc w:val="left"/>
        <w:tblLayout w:type="fixed"/>
      </w:tblPr>
      <w:tblGrid>
        <w:gridCol w:w="2035"/>
        <w:gridCol w:w="5064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Ladislav Bacil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Baštou 40, 391 43 Mladá Vožice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Ladislavem Bacilem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--</w:t>
        <w:softHyphen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</w:t>
      </w:r>
    </w:p>
    <w:tbl>
      <w:tblPr>
        <w:tblOverlap w:val="never"/>
        <w:jc w:val="left"/>
        <w:tblLayout w:type="fixed"/>
      </w:tblPr>
      <w:tblGrid>
        <w:gridCol w:w="2035"/>
        <w:gridCol w:w="5064"/>
      </w:tblGrid>
      <w:tr>
        <w:trPr>
          <w:trHeight w:val="5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47616253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TDS“)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31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  <w:br/>
        <w:t>Změna smluvních podmínek</w:t>
      </w:r>
      <w:bookmarkEnd w:id="6"/>
      <w:bookmarkEnd w:id="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2240" w:h="15840"/>
          <w:pgMar w:top="470" w:left="1147" w:right="1608" w:bottom="91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z důvodu nutnosti menšího počtu návštěv TDS na</w:t>
      </w:r>
    </w:p>
    <w:p>
      <w:pPr>
        <w:pStyle w:val="Style12"/>
        <w:keepNext w:val="0"/>
        <w:keepLines w:val="0"/>
        <w:framePr w:w="10382" w:h="1454" w:wrap="none" w:hAnchor="page" w:x="1148" w:y="10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staveništi a naopak většího počtu hodin strávených při kontrole dokumentace v kanceláři oproti předpokládanému rozsahu hodin dle Kalkulace odměny TDS uvedené v Příloze č. 1 Smlouvy o zajištění výkonu technického dozoru stavebníka na staveništi č. objednatele 066/2021-KSÚSV ze dne 6. 5. 2021.</w:t>
      </w:r>
    </w:p>
    <w:p>
      <w:pPr>
        <w:pStyle w:val="Style12"/>
        <w:keepNext w:val="0"/>
        <w:keepLines w:val="0"/>
        <w:framePr w:w="10382" w:h="1454" w:wrap="none" w:hAnchor="page" w:x="1148" w:y="10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této souvislosti se navyšuje a snižuje počet hodin TDS takto:</w:t>
      </w:r>
    </w:p>
    <w:p>
      <w:pPr>
        <w:pStyle w:val="Style12"/>
        <w:keepNext w:val="0"/>
        <w:keepLines w:val="0"/>
        <w:framePr w:w="6998" w:h="336" w:wrap="none" w:hAnchor="page" w:x="1859" w:y="26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 Práce spojené s výkonem TDS v kanceláři (bez nároku na cestovné)</w:t>
      </w:r>
    </w:p>
    <w:p>
      <w:pPr>
        <w:pStyle w:val="Style12"/>
        <w:keepNext w:val="0"/>
        <w:keepLines w:val="0"/>
        <w:framePr w:w="1114" w:h="336" w:wrap="none" w:hAnchor="page" w:x="9649" w:y="26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+ 34 hodin</w:t>
      </w:r>
    </w:p>
    <w:p>
      <w:pPr>
        <w:pStyle w:val="Style12"/>
        <w:keepNext w:val="0"/>
        <w:keepLines w:val="0"/>
        <w:framePr w:w="6715" w:h="336" w:wrap="none" w:hAnchor="page" w:x="1859" w:y="30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b) Práce spojené s výkonem TDS na staveništi (včetně cestovného)</w:t>
      </w:r>
    </w:p>
    <w:p>
      <w:pPr>
        <w:pStyle w:val="Style12"/>
        <w:keepNext w:val="0"/>
        <w:keepLines w:val="0"/>
        <w:framePr w:w="816" w:h="336" w:wrap="none" w:hAnchor="page" w:x="9942" w:y="30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 hodin</w:t>
      </w:r>
    </w:p>
    <w:p>
      <w:pPr>
        <w:pStyle w:val="Style12"/>
        <w:keepNext w:val="0"/>
        <w:keepLines w:val="0"/>
        <w:framePr w:w="10382" w:h="629" w:wrap="none" w:hAnchor="page" w:x="1148" w:y="3558"/>
        <w:widowControl w:val="0"/>
        <w:shd w:val="clear" w:color="auto" w:fill="auto"/>
        <w:tabs>
          <w:tab w:pos="6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2.3.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navýšením a snížením počtu hodin výkonu TDS dochází k navýšení celkové ceny díla</w:t>
      </w:r>
    </w:p>
    <w:p>
      <w:pPr>
        <w:pStyle w:val="Style12"/>
        <w:keepNext w:val="0"/>
        <w:keepLines w:val="0"/>
        <w:framePr w:w="10382" w:h="629" w:wrap="none" w:hAnchor="page" w:x="1148" w:y="3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cen uvedených v odst. 5.1. b) Výkon TDS - práce spojené s prováděním stavby, takto:</w:t>
      </w:r>
    </w:p>
    <w:p>
      <w:pPr>
        <w:pStyle w:val="Style24"/>
        <w:keepNext/>
        <w:keepLines/>
        <w:framePr w:w="2717" w:h="336" w:wrap="none" w:hAnchor="page" w:x="1863" w:y="4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bez DPH</w:t>
      </w:r>
      <w:bookmarkEnd w:id="8"/>
      <w:bookmarkEnd w:id="9"/>
    </w:p>
    <w:p>
      <w:pPr>
        <w:pStyle w:val="Style24"/>
        <w:keepNext/>
        <w:keepLines/>
        <w:framePr w:w="1339" w:h="336" w:wrap="none" w:hAnchor="page" w:x="8449" w:y="43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61 980,00 Kč</w:t>
      </w:r>
      <w:bookmarkEnd w:id="10"/>
      <w:bookmarkEnd w:id="11"/>
    </w:p>
    <w:p>
      <w:pPr>
        <w:pStyle w:val="Style12"/>
        <w:keepNext w:val="0"/>
        <w:keepLines w:val="0"/>
        <w:framePr w:w="5386" w:h="336" w:wrap="none" w:hAnchor="page" w:x="1863" w:y="4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Vícepráce: a) práce spojené s výkonem TDS v kanceláři</w:t>
      </w:r>
    </w:p>
    <w:p>
      <w:pPr>
        <w:pStyle w:val="Style12"/>
        <w:keepNext w:val="0"/>
        <w:keepLines w:val="0"/>
        <w:framePr w:w="1330" w:h="336" w:wrap="none" w:hAnchor="page" w:x="8449" w:y="4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23 460,00 Kč</w:t>
      </w:r>
    </w:p>
    <w:p>
      <w:pPr>
        <w:pStyle w:val="Style12"/>
        <w:keepNext w:val="0"/>
        <w:keepLines w:val="0"/>
        <w:framePr w:w="5688" w:h="336" w:wrap="none" w:hAnchor="page" w:x="1887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Méněpráce: b) práce spojené s výkonem TDS na staveništi</w:t>
      </w:r>
    </w:p>
    <w:p>
      <w:pPr>
        <w:pStyle w:val="Style12"/>
        <w:keepNext w:val="0"/>
        <w:keepLines w:val="0"/>
        <w:framePr w:w="1339" w:h="336" w:wrap="none" w:hAnchor="page" w:x="8502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- 5 530,00 Kč</w:t>
      </w:r>
    </w:p>
    <w:p>
      <w:pPr>
        <w:pStyle w:val="Style12"/>
        <w:keepNext w:val="0"/>
        <w:keepLines w:val="0"/>
        <w:framePr w:w="4637" w:h="336" w:wrap="none" w:hAnchor="page" w:x="1859" w:y="5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</w:r>
    </w:p>
    <w:p>
      <w:pPr>
        <w:pStyle w:val="Style24"/>
        <w:keepNext/>
        <w:keepLines/>
        <w:framePr w:w="1339" w:h="336" w:wrap="none" w:hAnchor="page" w:x="8502" w:y="5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79 910,00 Kč</w:t>
      </w:r>
      <w:bookmarkEnd w:id="12"/>
      <w:bookmarkEnd w:id="13"/>
    </w:p>
    <w:p>
      <w:pPr>
        <w:pStyle w:val="Style12"/>
        <w:keepNext w:val="0"/>
        <w:keepLines w:val="0"/>
        <w:framePr w:w="965" w:h="336" w:wrap="none" w:hAnchor="page" w:x="1863" w:y="60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21%</w:t>
      </w:r>
    </w:p>
    <w:p>
      <w:pPr>
        <w:pStyle w:val="Style12"/>
        <w:keepNext w:val="0"/>
        <w:keepLines w:val="0"/>
        <w:framePr w:w="1315" w:h="336" w:wrap="none" w:hAnchor="page" w:x="8521" w:y="60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16 781,10 Kč</w:t>
      </w:r>
    </w:p>
    <w:p>
      <w:pPr>
        <w:pStyle w:val="Style24"/>
        <w:keepNext/>
        <w:keepLines/>
        <w:framePr w:w="3288" w:h="336" w:wrap="none" w:hAnchor="page" w:x="1859" w:y="6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včetně DPH</w:t>
      </w:r>
      <w:bookmarkEnd w:id="14"/>
      <w:bookmarkEnd w:id="15"/>
    </w:p>
    <w:p>
      <w:pPr>
        <w:pStyle w:val="Style24"/>
        <w:keepNext/>
        <w:keepLines/>
        <w:framePr w:w="1339" w:h="336" w:wrap="none" w:hAnchor="page" w:x="8502" w:y="6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96 691,10 Kč</w:t>
      </w:r>
      <w:bookmarkEnd w:id="16"/>
      <w:bookmarkEnd w:id="17"/>
    </w:p>
    <w:p>
      <w:pPr>
        <w:pStyle w:val="Style12"/>
        <w:keepNext w:val="0"/>
        <w:keepLines w:val="0"/>
        <w:framePr w:w="9701" w:h="336" w:wrap="none" w:hAnchor="page" w:x="1148" w:y="6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znění.</w:t>
      </w:r>
    </w:p>
    <w:p>
      <w:pPr>
        <w:pStyle w:val="Style12"/>
        <w:keepNext w:val="0"/>
        <w:keepLines w:val="0"/>
        <w:framePr w:w="1747" w:h="629" w:wrap="none" w:hAnchor="page" w:x="5463" w:y="7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2"/>
        <w:keepNext w:val="0"/>
        <w:keepLines w:val="0"/>
        <w:framePr w:w="1747" w:h="629" w:wrap="none" w:hAnchor="page" w:x="5463" w:y="7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stávající smlouvy.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její elektronický originál.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jejího uveřejnění v registru smluv.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3447415</wp:posOffset>
            </wp:positionH>
            <wp:positionV relativeFrom="margin">
              <wp:posOffset>0</wp:posOffset>
            </wp:positionV>
            <wp:extent cx="1146175" cy="44513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46175" cy="445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605" w:left="1147" w:right="710" w:bottom="8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Q sfdi</w:t>
      </w:r>
      <w:bookmarkEnd w:id="18"/>
      <w:bookmarkEnd w:id="1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STATNI FOND DORA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INFRASTRUKTURY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3.6.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60" w:line="240" w:lineRule="auto"/>
        <w:ind w:left="0" w:right="0" w:firstLine="86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12700</wp:posOffset>
                </wp:positionV>
                <wp:extent cx="1588135" cy="2133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813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Jihlavě, dne: viz 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8.39999999999998pt;margin-top:1.pt;width:125.05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Jihlavě,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Mladé Vožici, dne: viz podpis</w:t>
      </w:r>
    </w:p>
    <w:tbl>
      <w:tblPr>
        <w:tblOverlap w:val="never"/>
        <w:jc w:val="center"/>
        <w:tblLayout w:type="fixed"/>
      </w:tblPr>
      <w:tblGrid>
        <w:gridCol w:w="2568"/>
        <w:gridCol w:w="4651"/>
      </w:tblGrid>
      <w:tr>
        <w:trPr>
          <w:trHeight w:val="7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Ladislav Bacil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Ing. Radovan Necid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, ředitel organizace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470" w:left="1147" w:right="720" w:bottom="91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9479280</wp:posOffset>
              </wp:positionV>
              <wp:extent cx="3020695" cy="2590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20695" cy="259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Dodatek č. 1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k Smlouvě o zajištění výkonu TDS č. 066/2021 - KSÚSV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5pt;margin-top:746.39999999999998pt;width:237.84999999999999pt;height:20.3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Dodatek č. 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Smlouvě o zajištění výkonu TDS č. 066/2021 - 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6602095</wp:posOffset>
              </wp:positionH>
              <wp:positionV relativeFrom="page">
                <wp:posOffset>9479280</wp:posOffset>
              </wp:positionV>
              <wp:extent cx="667385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73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19.85000000000002pt;margin-top:746.39999999999998pt;width:52.549999999999997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9431655</wp:posOffset>
              </wp:positionV>
              <wp:extent cx="657733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2.64999999999998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9479280</wp:posOffset>
              </wp:positionV>
              <wp:extent cx="6513830" cy="25908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3830" cy="259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Dodatek č. 1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k Smlouvě o zajištění výkonu TDS č. 066/2021 - KSÚSV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59.5pt;margin-top:746.39999999999998pt;width:512.89999999999998pt;height:20.3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Dodatek č. 1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Smlouvě o zajištění výkonu TDS č. 066/2021 - 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9431655</wp:posOffset>
              </wp:positionV>
              <wp:extent cx="6577330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2.64999999999998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1D3864"/>
      <w:sz w:val="56"/>
      <w:szCs w:val="5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838A91"/>
      <w:sz w:val="8"/>
      <w:szCs w:val="8"/>
      <w:u w:val="none"/>
    </w:rPr>
  </w:style>
  <w:style w:type="character" w:customStyle="1" w:styleId="CharStyle11">
    <w:name w:val="Nadpis #2_"/>
    <w:basedOn w:val="DefaultParagraphFont"/>
    <w:link w:val="Style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1">
    <w:name w:val="Jiné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5">
    <w:name w:val="Nadpis #3_"/>
    <w:basedOn w:val="DefaultParagraphFont"/>
    <w:link w:val="Style2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ind w:left="250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D3864"/>
      <w:sz w:val="56"/>
      <w:szCs w:val="5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after="160"/>
      <w:ind w:left="2500"/>
    </w:pPr>
    <w:rPr>
      <w:rFonts w:ascii="Arial" w:eastAsia="Arial" w:hAnsi="Arial" w:cs="Arial"/>
      <w:b/>
      <w:bCs/>
      <w:i w:val="0"/>
      <w:iCs w:val="0"/>
      <w:smallCaps w:val="0"/>
      <w:strike w:val="0"/>
      <w:color w:val="838A91"/>
      <w:sz w:val="8"/>
      <w:szCs w:val="8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50" w:line="209" w:lineRule="auto"/>
      <w:ind w:left="2440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spacing w:after="200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FFFFFF"/>
      <w:spacing w:after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4">
    <w:name w:val="Nadpis #3"/>
    <w:basedOn w:val="Normal"/>
    <w:link w:val="CharStyle25"/>
    <w:pPr>
      <w:widowControl w:val="0"/>
      <w:shd w:val="clear" w:color="auto" w:fill="FFFFFF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