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EF" w:rsidRDefault="00E37EEF" w:rsidP="00E37EEF">
      <w:pPr>
        <w:pStyle w:val="Normlnweb"/>
      </w:pPr>
      <w:r>
        <w:rPr>
          <w:rStyle w:val="Siln"/>
        </w:rPr>
        <w:t xml:space="preserve">Kupní smlouva č.  5700/17           </w:t>
      </w:r>
      <w:r>
        <w:rPr>
          <w:rStyle w:val="Zvraznn"/>
          <w:sz w:val="16"/>
          <w:szCs w:val="16"/>
        </w:rPr>
        <w:t xml:space="preserve">§ 2079 a </w:t>
      </w:r>
      <w:proofErr w:type="spellStart"/>
      <w:r>
        <w:rPr>
          <w:rStyle w:val="Zvraznn"/>
          <w:sz w:val="16"/>
          <w:szCs w:val="16"/>
        </w:rPr>
        <w:t>násl</w:t>
      </w:r>
      <w:proofErr w:type="spellEnd"/>
      <w:r>
        <w:rPr>
          <w:rStyle w:val="Zvraznn"/>
          <w:sz w:val="16"/>
          <w:szCs w:val="16"/>
        </w:rPr>
        <w:t>. zákona č. 89/2012 Sb. občanského zákoníku,</w:t>
      </w:r>
      <w:r>
        <w:rPr>
          <w:sz w:val="16"/>
          <w:szCs w:val="16"/>
        </w:rPr>
        <w:t xml:space="preserve"> </w:t>
      </w:r>
      <w:r>
        <w:rPr>
          <w:rStyle w:val="Zvraznn"/>
          <w:sz w:val="16"/>
          <w:szCs w:val="16"/>
        </w:rPr>
        <w:t>v účinném znění</w:t>
      </w:r>
    </w:p>
    <w:tbl>
      <w:tblPr>
        <w:tblW w:w="5000" w:type="pct"/>
        <w:jc w:val="center"/>
        <w:tblCellSpacing w:w="0" w:type="dxa"/>
        <w:tblCellMar>
          <w:left w:w="0" w:type="dxa"/>
          <w:right w:w="0" w:type="dxa"/>
        </w:tblCellMar>
        <w:tblLook w:val="04A0"/>
      </w:tblPr>
      <w:tblGrid>
        <w:gridCol w:w="1313"/>
        <w:gridCol w:w="3789"/>
        <w:gridCol w:w="1419"/>
        <w:gridCol w:w="3683"/>
      </w:tblGrid>
      <w:tr w:rsidR="00E37EEF" w:rsidTr="00E37EEF">
        <w:trPr>
          <w:trHeight w:val="204"/>
          <w:tblCellSpacing w:w="0" w:type="dxa"/>
          <w:jc w:val="center"/>
        </w:trPr>
        <w:tc>
          <w:tcPr>
            <w:tcW w:w="1313" w:type="dxa"/>
            <w:vAlign w:val="center"/>
            <w:hideMark/>
          </w:tcPr>
          <w:p w:rsidR="00E37EEF" w:rsidRDefault="00E37EEF">
            <w:pPr>
              <w:pStyle w:val="Normlnweb"/>
              <w:spacing w:line="204" w:lineRule="atLeast"/>
            </w:pPr>
            <w:r>
              <w:rPr>
                <w:rStyle w:val="Siln"/>
                <w:sz w:val="16"/>
                <w:szCs w:val="16"/>
                <w:u w:val="single"/>
              </w:rPr>
              <w:t>Kupující</w:t>
            </w:r>
            <w:r>
              <w:rPr>
                <w:sz w:val="16"/>
                <w:szCs w:val="16"/>
              </w:rPr>
              <w:t>:</w:t>
            </w:r>
          </w:p>
        </w:tc>
        <w:tc>
          <w:tcPr>
            <w:tcW w:w="3789" w:type="dxa"/>
            <w:vAlign w:val="center"/>
            <w:hideMark/>
          </w:tcPr>
          <w:p w:rsidR="00E37EEF" w:rsidRDefault="00E37EEF">
            <w:pPr>
              <w:pStyle w:val="Normlnweb"/>
              <w:spacing w:line="204" w:lineRule="atLeast"/>
            </w:pPr>
            <w:r>
              <w:rPr>
                <w:rStyle w:val="Siln"/>
                <w:sz w:val="16"/>
                <w:szCs w:val="16"/>
              </w:rPr>
              <w:t>XXXXXXXXXXX</w:t>
            </w:r>
          </w:p>
        </w:tc>
        <w:tc>
          <w:tcPr>
            <w:tcW w:w="1419" w:type="dxa"/>
            <w:vAlign w:val="center"/>
            <w:hideMark/>
          </w:tcPr>
          <w:p w:rsidR="00E37EEF" w:rsidRDefault="00E37EEF">
            <w:pPr>
              <w:pStyle w:val="Normlnweb"/>
              <w:spacing w:line="204" w:lineRule="atLeast"/>
            </w:pPr>
            <w:r>
              <w:rPr>
                <w:rStyle w:val="Siln"/>
                <w:sz w:val="16"/>
                <w:szCs w:val="16"/>
                <w:u w:val="single"/>
              </w:rPr>
              <w:t>Prodávající</w:t>
            </w:r>
            <w:r>
              <w:rPr>
                <w:sz w:val="16"/>
                <w:szCs w:val="16"/>
              </w:rPr>
              <w:t>:</w:t>
            </w:r>
          </w:p>
        </w:tc>
        <w:tc>
          <w:tcPr>
            <w:tcW w:w="3683" w:type="dxa"/>
            <w:vAlign w:val="center"/>
            <w:hideMark/>
          </w:tcPr>
          <w:p w:rsidR="00E37EEF" w:rsidRDefault="00E37EEF">
            <w:pPr>
              <w:pStyle w:val="Normlnweb"/>
              <w:spacing w:line="204" w:lineRule="atLeast"/>
            </w:pPr>
            <w:r>
              <w:rPr>
                <w:rStyle w:val="Siln"/>
                <w:sz w:val="16"/>
                <w:szCs w:val="16"/>
              </w:rPr>
              <w:t>XXXXXXXXXXXXX</w:t>
            </w:r>
          </w:p>
        </w:tc>
      </w:tr>
      <w:tr w:rsidR="00E37EEF" w:rsidTr="00E37EEF">
        <w:trPr>
          <w:trHeight w:val="204"/>
          <w:tblCellSpacing w:w="0" w:type="dxa"/>
          <w:jc w:val="center"/>
        </w:trPr>
        <w:tc>
          <w:tcPr>
            <w:tcW w:w="1313" w:type="dxa"/>
            <w:vAlign w:val="center"/>
            <w:hideMark/>
          </w:tcPr>
          <w:p w:rsidR="00E37EEF" w:rsidRDefault="00E37EEF">
            <w:pPr>
              <w:pStyle w:val="Normlnweb"/>
              <w:spacing w:line="204" w:lineRule="atLeast"/>
            </w:pPr>
            <w:r>
              <w:rPr>
                <w:rStyle w:val="Siln"/>
                <w:sz w:val="16"/>
                <w:szCs w:val="16"/>
              </w:rPr>
              <w:t>Zastoupený:</w:t>
            </w:r>
          </w:p>
        </w:tc>
        <w:tc>
          <w:tcPr>
            <w:tcW w:w="3789" w:type="dxa"/>
            <w:vAlign w:val="center"/>
            <w:hideMark/>
          </w:tcPr>
          <w:p w:rsidR="00E37EEF" w:rsidRDefault="00E37EEF">
            <w:pPr>
              <w:pStyle w:val="Normlnweb"/>
              <w:spacing w:line="204" w:lineRule="atLeast"/>
            </w:pPr>
            <w:r>
              <w:rPr>
                <w:sz w:val="16"/>
                <w:szCs w:val="16"/>
              </w:rPr>
              <w:t>XXXXXXXXXXX</w:t>
            </w:r>
          </w:p>
        </w:tc>
        <w:tc>
          <w:tcPr>
            <w:tcW w:w="1419" w:type="dxa"/>
            <w:vAlign w:val="center"/>
            <w:hideMark/>
          </w:tcPr>
          <w:p w:rsidR="00E37EEF" w:rsidRDefault="00E37EEF">
            <w:pPr>
              <w:pStyle w:val="Normlnweb"/>
              <w:spacing w:line="204" w:lineRule="atLeast"/>
            </w:pPr>
            <w:r>
              <w:rPr>
                <w:rStyle w:val="Siln"/>
                <w:sz w:val="16"/>
                <w:szCs w:val="16"/>
              </w:rPr>
              <w:t>Zastoupený:</w:t>
            </w:r>
          </w:p>
        </w:tc>
        <w:tc>
          <w:tcPr>
            <w:tcW w:w="3683" w:type="dxa"/>
            <w:vAlign w:val="center"/>
            <w:hideMark/>
          </w:tcPr>
          <w:p w:rsidR="00E37EEF" w:rsidRDefault="00E37EEF">
            <w:pPr>
              <w:pStyle w:val="Normlnweb"/>
              <w:spacing w:line="204" w:lineRule="atLeast"/>
            </w:pPr>
            <w:r>
              <w:rPr>
                <w:sz w:val="16"/>
                <w:szCs w:val="16"/>
              </w:rPr>
              <w:t>XXXXXXXXXXXXX</w:t>
            </w:r>
          </w:p>
        </w:tc>
      </w:tr>
      <w:tr w:rsidR="00E37EEF" w:rsidTr="00E37EEF">
        <w:trPr>
          <w:trHeight w:val="204"/>
          <w:tblCellSpacing w:w="0" w:type="dxa"/>
          <w:jc w:val="center"/>
        </w:trPr>
        <w:tc>
          <w:tcPr>
            <w:tcW w:w="1313" w:type="dxa"/>
            <w:vAlign w:val="center"/>
            <w:hideMark/>
          </w:tcPr>
          <w:p w:rsidR="00E37EEF" w:rsidRDefault="00E37EEF">
            <w:pPr>
              <w:pStyle w:val="Normlnweb"/>
              <w:spacing w:line="204" w:lineRule="atLeast"/>
            </w:pPr>
            <w:r>
              <w:rPr>
                <w:rStyle w:val="Siln"/>
                <w:sz w:val="16"/>
                <w:szCs w:val="16"/>
              </w:rPr>
              <w:t xml:space="preserve">Bank. </w:t>
            </w:r>
            <w:proofErr w:type="gramStart"/>
            <w:r>
              <w:rPr>
                <w:rStyle w:val="Siln"/>
                <w:sz w:val="16"/>
                <w:szCs w:val="16"/>
              </w:rPr>
              <w:t>spojení</w:t>
            </w:r>
            <w:proofErr w:type="gramEnd"/>
            <w:r>
              <w:rPr>
                <w:rStyle w:val="Siln"/>
                <w:sz w:val="16"/>
                <w:szCs w:val="16"/>
              </w:rPr>
              <w:t>:</w:t>
            </w:r>
          </w:p>
        </w:tc>
        <w:tc>
          <w:tcPr>
            <w:tcW w:w="3789" w:type="dxa"/>
            <w:vAlign w:val="center"/>
            <w:hideMark/>
          </w:tcPr>
          <w:p w:rsidR="00E37EEF" w:rsidRDefault="00E37EEF">
            <w:pPr>
              <w:pStyle w:val="Normlnweb"/>
              <w:spacing w:line="204" w:lineRule="atLeast"/>
            </w:pPr>
            <w:r>
              <w:rPr>
                <w:sz w:val="16"/>
                <w:szCs w:val="16"/>
              </w:rPr>
              <w:t>XXXXXXXXXXXXXXXXXX</w:t>
            </w:r>
          </w:p>
        </w:tc>
        <w:tc>
          <w:tcPr>
            <w:tcW w:w="1419" w:type="dxa"/>
            <w:vAlign w:val="center"/>
            <w:hideMark/>
          </w:tcPr>
          <w:p w:rsidR="00E37EEF" w:rsidRDefault="00E37EEF">
            <w:pPr>
              <w:pStyle w:val="Normlnweb"/>
              <w:spacing w:line="204" w:lineRule="atLeast"/>
            </w:pPr>
            <w:r>
              <w:rPr>
                <w:rStyle w:val="Siln"/>
                <w:sz w:val="16"/>
                <w:szCs w:val="16"/>
              </w:rPr>
              <w:t xml:space="preserve">Bank. </w:t>
            </w:r>
            <w:proofErr w:type="gramStart"/>
            <w:r>
              <w:rPr>
                <w:rStyle w:val="Siln"/>
                <w:sz w:val="16"/>
                <w:szCs w:val="16"/>
              </w:rPr>
              <w:t>spojení</w:t>
            </w:r>
            <w:proofErr w:type="gramEnd"/>
            <w:r>
              <w:rPr>
                <w:rStyle w:val="Siln"/>
                <w:sz w:val="16"/>
                <w:szCs w:val="16"/>
              </w:rPr>
              <w:t>:</w:t>
            </w:r>
          </w:p>
        </w:tc>
        <w:tc>
          <w:tcPr>
            <w:tcW w:w="3683" w:type="dxa"/>
            <w:vAlign w:val="center"/>
            <w:hideMark/>
          </w:tcPr>
          <w:p w:rsidR="00E37EEF" w:rsidRDefault="00E37EEF">
            <w:pPr>
              <w:pStyle w:val="Normlnweb"/>
              <w:spacing w:line="204" w:lineRule="atLeast"/>
            </w:pPr>
            <w:r>
              <w:rPr>
                <w:sz w:val="16"/>
                <w:szCs w:val="16"/>
              </w:rPr>
              <w:t>XXXXXXXXXXXXXXXXX</w:t>
            </w:r>
          </w:p>
        </w:tc>
      </w:tr>
      <w:tr w:rsidR="00E37EEF" w:rsidTr="00E37EEF">
        <w:trPr>
          <w:trHeight w:val="245"/>
          <w:tblCellSpacing w:w="0" w:type="dxa"/>
          <w:jc w:val="center"/>
        </w:trPr>
        <w:tc>
          <w:tcPr>
            <w:tcW w:w="1313" w:type="dxa"/>
            <w:vAlign w:val="center"/>
            <w:hideMark/>
          </w:tcPr>
          <w:p w:rsidR="00E37EEF" w:rsidRDefault="00E37EEF">
            <w:pPr>
              <w:pStyle w:val="Normlnweb"/>
              <w:spacing w:line="204" w:lineRule="atLeast"/>
            </w:pPr>
            <w:r>
              <w:rPr>
                <w:rStyle w:val="Siln"/>
                <w:sz w:val="16"/>
                <w:szCs w:val="16"/>
              </w:rPr>
              <w:t>IČO/DIČ:</w:t>
            </w:r>
          </w:p>
        </w:tc>
        <w:tc>
          <w:tcPr>
            <w:tcW w:w="3789" w:type="dxa"/>
            <w:vAlign w:val="center"/>
            <w:hideMark/>
          </w:tcPr>
          <w:p w:rsidR="00E37EEF" w:rsidRDefault="00E37EEF">
            <w:pPr>
              <w:pStyle w:val="Normlnweb"/>
              <w:spacing w:line="204" w:lineRule="atLeast"/>
            </w:pPr>
            <w:r>
              <w:rPr>
                <w:sz w:val="16"/>
                <w:szCs w:val="16"/>
              </w:rPr>
              <w:t>XXXXXXXXXXXXXXXXXX</w:t>
            </w:r>
          </w:p>
        </w:tc>
        <w:tc>
          <w:tcPr>
            <w:tcW w:w="1419" w:type="dxa"/>
            <w:vAlign w:val="center"/>
            <w:hideMark/>
          </w:tcPr>
          <w:p w:rsidR="00E37EEF" w:rsidRDefault="00E37EEF">
            <w:pPr>
              <w:pStyle w:val="Normlnweb"/>
              <w:spacing w:line="204" w:lineRule="atLeast"/>
            </w:pPr>
            <w:r>
              <w:rPr>
                <w:rStyle w:val="Siln"/>
                <w:sz w:val="16"/>
                <w:szCs w:val="16"/>
              </w:rPr>
              <w:t>IČO/DIČ:</w:t>
            </w:r>
          </w:p>
        </w:tc>
        <w:tc>
          <w:tcPr>
            <w:tcW w:w="3683" w:type="dxa"/>
            <w:vAlign w:val="center"/>
            <w:hideMark/>
          </w:tcPr>
          <w:p w:rsidR="00E37EEF" w:rsidRDefault="00E37EEF">
            <w:pPr>
              <w:pStyle w:val="Normlnweb"/>
              <w:spacing w:line="204" w:lineRule="atLeast"/>
            </w:pPr>
            <w:r>
              <w:rPr>
                <w:sz w:val="16"/>
                <w:szCs w:val="16"/>
              </w:rPr>
              <w:t>XXXXXXXXXXXXXXXXX</w:t>
            </w:r>
          </w:p>
        </w:tc>
      </w:tr>
      <w:tr w:rsidR="00E37EEF" w:rsidTr="00E37EEF">
        <w:trPr>
          <w:trHeight w:val="204"/>
          <w:tblCellSpacing w:w="0" w:type="dxa"/>
          <w:jc w:val="center"/>
        </w:trPr>
        <w:tc>
          <w:tcPr>
            <w:tcW w:w="1313" w:type="dxa"/>
            <w:vAlign w:val="center"/>
            <w:hideMark/>
          </w:tcPr>
          <w:p w:rsidR="00E37EEF" w:rsidRDefault="00E37EEF">
            <w:pPr>
              <w:pStyle w:val="Normlnweb"/>
              <w:spacing w:line="204" w:lineRule="atLeast"/>
            </w:pPr>
            <w:r>
              <w:rPr>
                <w:rStyle w:val="Siln"/>
                <w:sz w:val="16"/>
                <w:szCs w:val="16"/>
              </w:rPr>
              <w:t>Zápis v OR:</w:t>
            </w:r>
          </w:p>
        </w:tc>
        <w:tc>
          <w:tcPr>
            <w:tcW w:w="3789" w:type="dxa"/>
            <w:vAlign w:val="center"/>
            <w:hideMark/>
          </w:tcPr>
          <w:p w:rsidR="00E37EEF" w:rsidRDefault="00E37EEF">
            <w:pPr>
              <w:pStyle w:val="Normlnweb"/>
              <w:spacing w:line="204" w:lineRule="atLeast"/>
            </w:pPr>
            <w:r>
              <w:rPr>
                <w:sz w:val="16"/>
                <w:szCs w:val="16"/>
              </w:rPr>
              <w:t>XXXXXXXXXXXXXXXXXX</w:t>
            </w:r>
          </w:p>
        </w:tc>
        <w:tc>
          <w:tcPr>
            <w:tcW w:w="1419" w:type="dxa"/>
            <w:vAlign w:val="center"/>
            <w:hideMark/>
          </w:tcPr>
          <w:p w:rsidR="00E37EEF" w:rsidRDefault="00E37EEF">
            <w:pPr>
              <w:pStyle w:val="Normlnweb"/>
              <w:spacing w:line="204" w:lineRule="atLeast"/>
            </w:pPr>
            <w:r>
              <w:rPr>
                <w:rStyle w:val="Siln"/>
                <w:sz w:val="16"/>
                <w:szCs w:val="16"/>
              </w:rPr>
              <w:t>Zápis v OR:</w:t>
            </w:r>
          </w:p>
        </w:tc>
        <w:tc>
          <w:tcPr>
            <w:tcW w:w="3683" w:type="dxa"/>
            <w:vAlign w:val="center"/>
            <w:hideMark/>
          </w:tcPr>
          <w:p w:rsidR="00E37EEF" w:rsidRDefault="00E37EEF">
            <w:pPr>
              <w:pStyle w:val="Normlnweb"/>
              <w:spacing w:line="204" w:lineRule="atLeast"/>
            </w:pPr>
            <w:r>
              <w:rPr>
                <w:sz w:val="16"/>
                <w:szCs w:val="16"/>
              </w:rPr>
              <w:t>XXXXXXXXXXXXXXXXX</w:t>
            </w:r>
          </w:p>
        </w:tc>
      </w:tr>
      <w:tr w:rsidR="00E37EEF" w:rsidTr="00E37EEF">
        <w:trPr>
          <w:trHeight w:val="204"/>
          <w:tblCellSpacing w:w="0" w:type="dxa"/>
          <w:jc w:val="center"/>
        </w:trPr>
        <w:tc>
          <w:tcPr>
            <w:tcW w:w="1313" w:type="dxa"/>
            <w:vAlign w:val="center"/>
            <w:hideMark/>
          </w:tcPr>
          <w:p w:rsidR="00E37EEF" w:rsidRDefault="00E37EEF">
            <w:pPr>
              <w:pStyle w:val="Normlnweb"/>
              <w:spacing w:line="204" w:lineRule="atLeast"/>
            </w:pPr>
            <w:r>
              <w:rPr>
                <w:rStyle w:val="Siln"/>
                <w:sz w:val="16"/>
                <w:szCs w:val="16"/>
              </w:rPr>
              <w:t>Telefon/Fax</w:t>
            </w:r>
            <w:r>
              <w:rPr>
                <w:sz w:val="16"/>
                <w:szCs w:val="16"/>
              </w:rPr>
              <w:t>:</w:t>
            </w:r>
          </w:p>
        </w:tc>
        <w:tc>
          <w:tcPr>
            <w:tcW w:w="3789" w:type="dxa"/>
            <w:vAlign w:val="center"/>
            <w:hideMark/>
          </w:tcPr>
          <w:p w:rsidR="00E37EEF" w:rsidRDefault="00E37EEF">
            <w:pPr>
              <w:pStyle w:val="Normlnweb"/>
              <w:spacing w:line="204" w:lineRule="atLeast"/>
            </w:pPr>
            <w:r>
              <w:rPr>
                <w:sz w:val="16"/>
                <w:szCs w:val="16"/>
              </w:rPr>
              <w:t>XXXXXXXXXXXXXXXXXX</w:t>
            </w:r>
          </w:p>
        </w:tc>
        <w:tc>
          <w:tcPr>
            <w:tcW w:w="1419" w:type="dxa"/>
            <w:vAlign w:val="center"/>
            <w:hideMark/>
          </w:tcPr>
          <w:p w:rsidR="00E37EEF" w:rsidRPr="00E37EEF" w:rsidRDefault="00E37EEF">
            <w:pPr>
              <w:pStyle w:val="Normlnweb"/>
              <w:spacing w:line="204" w:lineRule="atLeast"/>
              <w:rPr>
                <w:sz w:val="16"/>
                <w:szCs w:val="16"/>
              </w:rPr>
            </w:pPr>
            <w:r w:rsidRPr="00E37EEF">
              <w:rPr>
                <w:rStyle w:val="Siln"/>
                <w:sz w:val="16"/>
                <w:szCs w:val="16"/>
              </w:rPr>
              <w:t>Telefon/Fax</w:t>
            </w:r>
            <w:r w:rsidRPr="00E37EEF">
              <w:rPr>
                <w:sz w:val="16"/>
                <w:szCs w:val="16"/>
              </w:rPr>
              <w:t>:</w:t>
            </w:r>
          </w:p>
        </w:tc>
        <w:tc>
          <w:tcPr>
            <w:tcW w:w="3683" w:type="dxa"/>
            <w:vAlign w:val="center"/>
            <w:hideMark/>
          </w:tcPr>
          <w:p w:rsidR="00E37EEF" w:rsidRPr="00E37EEF" w:rsidRDefault="00E37EEF">
            <w:pPr>
              <w:pStyle w:val="Normlnweb"/>
              <w:spacing w:line="204" w:lineRule="atLeast"/>
              <w:rPr>
                <w:sz w:val="16"/>
                <w:szCs w:val="16"/>
              </w:rPr>
            </w:pPr>
            <w:r w:rsidRPr="00E37EEF">
              <w:rPr>
                <w:sz w:val="16"/>
                <w:szCs w:val="16"/>
              </w:rPr>
              <w:t> </w:t>
            </w:r>
            <w:r w:rsidRPr="00E37EEF">
              <w:rPr>
                <w:b/>
                <w:sz w:val="16"/>
                <w:szCs w:val="16"/>
              </w:rPr>
              <w:t>X</w:t>
            </w:r>
            <w:r w:rsidRPr="00E37EEF">
              <w:rPr>
                <w:sz w:val="16"/>
                <w:szCs w:val="16"/>
              </w:rPr>
              <w:t>XXXXXXXXXX</w:t>
            </w:r>
          </w:p>
        </w:tc>
      </w:tr>
      <w:tr w:rsidR="00E37EEF" w:rsidTr="00E37EEF">
        <w:trPr>
          <w:trHeight w:val="204"/>
          <w:tblCellSpacing w:w="0" w:type="dxa"/>
          <w:jc w:val="center"/>
        </w:trPr>
        <w:tc>
          <w:tcPr>
            <w:tcW w:w="1313" w:type="dxa"/>
            <w:vAlign w:val="center"/>
            <w:hideMark/>
          </w:tcPr>
          <w:p w:rsidR="00E37EEF" w:rsidRDefault="00E37EEF">
            <w:pPr>
              <w:pStyle w:val="Normlnweb"/>
              <w:spacing w:line="204" w:lineRule="atLeast"/>
            </w:pPr>
            <w:r>
              <w:rPr>
                <w:rStyle w:val="Siln"/>
                <w:sz w:val="16"/>
                <w:szCs w:val="16"/>
              </w:rPr>
              <w:t>Adresa:</w:t>
            </w:r>
          </w:p>
        </w:tc>
        <w:tc>
          <w:tcPr>
            <w:tcW w:w="3789" w:type="dxa"/>
            <w:vAlign w:val="center"/>
            <w:hideMark/>
          </w:tcPr>
          <w:p w:rsidR="00E37EEF" w:rsidRDefault="00E37EEF">
            <w:pPr>
              <w:pStyle w:val="Normlnweb"/>
              <w:spacing w:line="204" w:lineRule="atLeast"/>
            </w:pPr>
            <w:r>
              <w:rPr>
                <w:sz w:val="16"/>
                <w:szCs w:val="16"/>
              </w:rPr>
              <w:t>XXXXXXXXXXXXXXXXXX</w:t>
            </w:r>
          </w:p>
        </w:tc>
        <w:tc>
          <w:tcPr>
            <w:tcW w:w="1419" w:type="dxa"/>
            <w:vAlign w:val="center"/>
            <w:hideMark/>
          </w:tcPr>
          <w:p w:rsidR="00E37EEF" w:rsidRDefault="00E37EEF">
            <w:pPr>
              <w:pStyle w:val="Normlnweb"/>
              <w:spacing w:line="204" w:lineRule="atLeast"/>
            </w:pPr>
            <w:r>
              <w:rPr>
                <w:rStyle w:val="Siln"/>
                <w:sz w:val="16"/>
                <w:szCs w:val="16"/>
              </w:rPr>
              <w:t>Adresa:</w:t>
            </w:r>
          </w:p>
        </w:tc>
        <w:tc>
          <w:tcPr>
            <w:tcW w:w="3683" w:type="dxa"/>
            <w:vAlign w:val="center"/>
            <w:hideMark/>
          </w:tcPr>
          <w:p w:rsidR="00E37EEF" w:rsidRDefault="00E37EEF">
            <w:pPr>
              <w:pStyle w:val="Normlnweb"/>
              <w:spacing w:line="204" w:lineRule="atLeast"/>
            </w:pPr>
            <w:r>
              <w:rPr>
                <w:sz w:val="16"/>
                <w:szCs w:val="16"/>
              </w:rPr>
              <w:t>XXXXXXXXXXXXXXXXX</w:t>
            </w:r>
          </w:p>
        </w:tc>
      </w:tr>
    </w:tbl>
    <w:p w:rsidR="00E37EEF" w:rsidRDefault="00E37EEF" w:rsidP="00E37EEF">
      <w:pPr>
        <w:pStyle w:val="Normlnweb"/>
      </w:pPr>
      <w:r>
        <w:rPr>
          <w:rStyle w:val="Siln"/>
        </w:rPr>
        <w:t>1. Úvodní ustanovení:</w:t>
      </w:r>
    </w:p>
    <w:p w:rsidR="00E37EEF" w:rsidRDefault="00E37EEF" w:rsidP="00E37EEF">
      <w:pPr>
        <w:pStyle w:val="Normlnweb"/>
        <w:numPr>
          <w:ilvl w:val="0"/>
          <w:numId w:val="14"/>
        </w:numPr>
        <w:jc w:val="both"/>
      </w:pPr>
      <w:proofErr w:type="spellStart"/>
      <w:r>
        <w:t>Prodávajcí</w:t>
      </w:r>
      <w:proofErr w:type="spellEnd"/>
      <w:r>
        <w:t xml:space="preserve"> se zavazuje za podmínek stanovených této smlouvě odevzdat kupujícímu dříví a převést na něj vlastnické právo k 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 množství, parametrů a technických podmínek.</w:t>
      </w:r>
    </w:p>
    <w:p w:rsidR="00E37EEF" w:rsidRDefault="00E37EEF" w:rsidP="00E37EEF">
      <w:pPr>
        <w:pStyle w:val="Normlnweb"/>
      </w:pPr>
      <w:r>
        <w:t> </w:t>
      </w:r>
      <w:r>
        <w:rPr>
          <w:rStyle w:val="Siln"/>
        </w:rPr>
        <w:t>2. Předmět plnění:</w:t>
      </w:r>
    </w:p>
    <w:p w:rsidR="00E37EEF" w:rsidRDefault="00E37EEF" w:rsidP="00E37EEF">
      <w:pPr>
        <w:pStyle w:val="Normlnweb"/>
        <w:numPr>
          <w:ilvl w:val="0"/>
          <w:numId w:val="15"/>
        </w:numPr>
        <w:jc w:val="both"/>
      </w:pPr>
      <w:r>
        <w:t>Smluvní strany se pro 1. čtvrtletí 2017 dohodly na následujícím množství podle skupin sortimentů dříví, které bude prodávajícím dodáno a kupní ceně stanovené za převzatou jednotku daného sortimentu dříví. Kupní ceny nezahrnují DPH, které je kupující povinen uhradit nad rámec kupní ceny.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9"/>
        <w:gridCol w:w="966"/>
        <w:gridCol w:w="4241"/>
        <w:gridCol w:w="2038"/>
      </w:tblGrid>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rStyle w:val="Siln"/>
                <w:sz w:val="22"/>
                <w:szCs w:val="22"/>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proofErr w:type="spellStart"/>
            <w:r>
              <w:rPr>
                <w:rStyle w:val="Siln"/>
                <w:sz w:val="22"/>
                <w:szCs w:val="22"/>
              </w:rPr>
              <w:t>Evid.číslo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rsidP="00E37EEF">
            <w:pPr>
              <w:pStyle w:val="Normlnweb"/>
              <w:jc w:val="center"/>
            </w:pPr>
            <w:r>
              <w:rPr>
                <w:rStyle w:val="Siln"/>
                <w:sz w:val="22"/>
                <w:szCs w:val="22"/>
              </w:rPr>
              <w:t xml:space="preserve">     Množství podle skupin    sortimentů v </w:t>
            </w:r>
            <w:proofErr w:type="spellStart"/>
            <w:proofErr w:type="gramStart"/>
            <w:r>
              <w:rPr>
                <w:rStyle w:val="Siln"/>
                <w:sz w:val="22"/>
                <w:szCs w:val="22"/>
              </w:rPr>
              <w:t>At</w:t>
            </w:r>
            <w:proofErr w:type="spellEnd"/>
            <w:proofErr w:type="gramEnd"/>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proofErr w:type="spellStart"/>
            <w:r>
              <w:rPr>
                <w:rStyle w:val="Siln"/>
                <w:sz w:val="22"/>
                <w:szCs w:val="22"/>
              </w:rPr>
              <w:t>Kč</w:t>
            </w:r>
            <w:proofErr w:type="spellEnd"/>
            <w:r>
              <w:rPr>
                <w:rStyle w:val="Siln"/>
                <w:sz w:val="22"/>
                <w:szCs w:val="22"/>
              </w:rPr>
              <w:t>/</w:t>
            </w:r>
            <w:proofErr w:type="spellStart"/>
            <w:r>
              <w:rPr>
                <w:rStyle w:val="Siln"/>
                <w:sz w:val="22"/>
                <w:szCs w:val="22"/>
              </w:rPr>
              <w:t>At</w:t>
            </w:r>
            <w:proofErr w:type="spellEnd"/>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SM s k. 2m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12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Pr="00E37EEF" w:rsidRDefault="00E37EEF">
            <w:pPr>
              <w:pStyle w:val="Normlnweb"/>
              <w:jc w:val="center"/>
              <w:rPr>
                <w:sz w:val="20"/>
                <w:szCs w:val="20"/>
              </w:rPr>
            </w:pPr>
            <w:r w:rsidRPr="00E37EEF">
              <w:rPr>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SM s k. 2,1 - 4m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42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proofErr w:type="gramStart"/>
            <w:r>
              <w:rPr>
                <w:sz w:val="18"/>
                <w:szCs w:val="18"/>
              </w:rPr>
              <w:t xml:space="preserve">SM </w:t>
            </w:r>
            <w:proofErr w:type="spellStart"/>
            <w:r>
              <w:rPr>
                <w:sz w:val="18"/>
                <w:szCs w:val="18"/>
              </w:rPr>
              <w:t>b.k</w:t>
            </w:r>
            <w:proofErr w:type="spellEnd"/>
            <w:r>
              <w:rPr>
                <w:sz w:val="18"/>
                <w:szCs w:val="18"/>
              </w:rPr>
              <w:t>.</w:t>
            </w:r>
            <w:proofErr w:type="gramEnd"/>
            <w:r>
              <w:rPr>
                <w:sz w:val="18"/>
                <w:szCs w:val="18"/>
              </w:rPr>
              <w:t xml:space="preserve"> 2m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SM s k. 2 - 4m přesílený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zákaz dodávek</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BO s k. 2m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BO s k. 2,1 - 4 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40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proofErr w:type="gramStart"/>
            <w:r>
              <w:rPr>
                <w:sz w:val="18"/>
                <w:szCs w:val="18"/>
              </w:rPr>
              <w:t xml:space="preserve">BO </w:t>
            </w:r>
            <w:proofErr w:type="spellStart"/>
            <w:r>
              <w:rPr>
                <w:sz w:val="18"/>
                <w:szCs w:val="18"/>
              </w:rPr>
              <w:t>b.k</w:t>
            </w:r>
            <w:proofErr w:type="spellEnd"/>
            <w:r>
              <w:rPr>
                <w:sz w:val="18"/>
                <w:szCs w:val="18"/>
              </w:rPr>
              <w:t>.</w:t>
            </w:r>
            <w:proofErr w:type="gramEnd"/>
            <w:r>
              <w:rPr>
                <w:sz w:val="18"/>
                <w:szCs w:val="18"/>
              </w:rPr>
              <w:t xml:space="preserve"> 2m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BO s k. 2 - 4m přesílená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32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zákaz dodávek</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MD s k. 2 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46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MD s k. 2,1 - 4 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47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MD s k. 2 - 4m přesílený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33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zákaz dodávek</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54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Přesílená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zákaz dodávek</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25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sz w:val="18"/>
                <w:szCs w:val="18"/>
              </w:rPr>
              <w:t>Jehličnatá směs přesílená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26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zákaz dodávek</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proofErr w:type="gramStart"/>
            <w:r>
              <w:rPr>
                <w:sz w:val="18"/>
                <w:szCs w:val="18"/>
              </w:rPr>
              <w:t>SM V.tř</w:t>
            </w:r>
            <w:proofErr w:type="gramEnd"/>
            <w:r>
              <w:rPr>
                <w:sz w:val="18"/>
                <w:szCs w:val="18"/>
              </w:rPr>
              <w:t>. - kvalita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2989"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proofErr w:type="gramStart"/>
            <w:r>
              <w:rPr>
                <w:sz w:val="18"/>
                <w:szCs w:val="18"/>
              </w:rPr>
              <w:t>BO V.tř</w:t>
            </w:r>
            <w:proofErr w:type="gramEnd"/>
            <w:r>
              <w:rPr>
                <w:sz w:val="18"/>
                <w:szCs w:val="18"/>
              </w:rPr>
              <w:t>. - kvalita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sz w:val="18"/>
                <w:szCs w:val="18"/>
              </w:rPr>
              <w:t>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sz w:val="20"/>
                <w:szCs w:val="20"/>
              </w:rPr>
              <w:t>X</w:t>
            </w:r>
          </w:p>
        </w:tc>
      </w:tr>
      <w:tr w:rsidR="00E37EEF" w:rsidTr="00E37EEF">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pPr>
            <w:r>
              <w:rPr>
                <w:rStyle w:val="Siln"/>
                <w:i/>
                <w:iCs/>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E37EEF" w:rsidRDefault="00E37EEF">
            <w:pPr>
              <w:pStyle w:val="Normlnweb"/>
              <w:jc w:val="center"/>
            </w:pPr>
            <w:r>
              <w:rPr>
                <w:rStyle w:val="Siln"/>
              </w:rPr>
              <w:t>X</w:t>
            </w:r>
          </w:p>
        </w:tc>
        <w:tc>
          <w:tcPr>
            <w:tcW w:w="2038" w:type="dxa"/>
            <w:tcBorders>
              <w:top w:val="outset" w:sz="6" w:space="0" w:color="auto"/>
              <w:left w:val="outset" w:sz="6" w:space="0" w:color="auto"/>
              <w:bottom w:val="outset" w:sz="6" w:space="0" w:color="auto"/>
              <w:right w:val="outset" w:sz="6" w:space="0" w:color="auto"/>
            </w:tcBorders>
            <w:vAlign w:val="center"/>
            <w:hideMark/>
          </w:tcPr>
          <w:p w:rsidR="00E37EEF" w:rsidRDefault="00E37EEF">
            <w:pPr>
              <w:rPr>
                <w:sz w:val="24"/>
                <w:szCs w:val="24"/>
              </w:rPr>
            </w:pPr>
            <w:r>
              <w:t> </w:t>
            </w:r>
          </w:p>
        </w:tc>
      </w:tr>
    </w:tbl>
    <w:p w:rsidR="00E37EEF" w:rsidRDefault="00E37EEF" w:rsidP="00E37EEF">
      <w:pPr>
        <w:pStyle w:val="Normlnweb"/>
        <w:spacing w:before="0" w:beforeAutospacing="0" w:after="0" w:afterAutospacing="0" w:line="20" w:lineRule="exact"/>
        <w:jc w:val="both"/>
      </w:pPr>
      <w:r>
        <w:t> </w:t>
      </w:r>
    </w:p>
    <w:p w:rsidR="00E37EEF" w:rsidRDefault="00E37EEF" w:rsidP="00E37EEF">
      <w:pPr>
        <w:pStyle w:val="Normlnweb"/>
        <w:numPr>
          <w:ilvl w:val="0"/>
          <w:numId w:val="16"/>
        </w:numPr>
        <w:jc w:val="both"/>
      </w:pPr>
      <w:r>
        <w:rPr>
          <w:rStyle w:val="Siln"/>
        </w:rPr>
        <w:t xml:space="preserve">Kupní cena je stanovena za </w:t>
      </w:r>
      <w:proofErr w:type="spellStart"/>
      <w:r>
        <w:rPr>
          <w:rStyle w:val="Siln"/>
        </w:rPr>
        <w:t>At</w:t>
      </w:r>
      <w:proofErr w:type="spellEnd"/>
      <w:r>
        <w:rPr>
          <w:rStyle w:val="Siln"/>
        </w:rPr>
        <w:t xml:space="preserve"> daného sortimentu dříví na vagóně</w:t>
      </w:r>
      <w:r>
        <w:t xml:space="preserve"> v železniční stanici prodávajícího (rozumí se železniční stanice obsluhovaná dopravcem ČD </w:t>
      </w:r>
      <w:proofErr w:type="spellStart"/>
      <w:r>
        <w:t>Cargo</w:t>
      </w:r>
      <w:proofErr w:type="spellEnd"/>
      <w:r>
        <w:t xml:space="preserve"> a.s., IČ 281 96 678, se sídlem </w:t>
      </w:r>
      <w:proofErr w:type="spellStart"/>
      <w:r>
        <w:t>Jankovcova</w:t>
      </w:r>
      <w:proofErr w:type="spellEnd"/>
      <w:r>
        <w:t xml:space="preserve"> 1569/2c , 170 00 Praha, popř. naloženo na jiném dopravním prostředku dle dohody smluvních stran. Což znamená, že náklady spojené s nakládkou dříví do vagónu nese prodávající a náklady na přepravu po železnici do místa plnění, nese kupující v rozsahu a za podmínek stanovených v této smlouvě.</w:t>
      </w:r>
    </w:p>
    <w:p w:rsidR="00E37EEF" w:rsidRDefault="00E37EEF" w:rsidP="00E37EEF">
      <w:pPr>
        <w:pStyle w:val="Normlnweb"/>
        <w:numPr>
          <w:ilvl w:val="0"/>
          <w:numId w:val="16"/>
        </w:numPr>
        <w:jc w:val="both"/>
      </w:pPr>
      <w:r>
        <w:t xml:space="preserve">Smluvní strany se dohodly, že přejímka zboží bude prováděna v místě plnění osobou pověřenou prováděním přejímky, na základě dokumentu – "Technické podmínky k dodávce dříví a štěpků Směrnice pro příjem dodávek  </w:t>
      </w:r>
      <w:proofErr w:type="spellStart"/>
      <w:r>
        <w:t>účinna</w:t>
      </w:r>
      <w:proofErr w:type="spellEnd"/>
      <w:r>
        <w:t xml:space="preserve"> od </w:t>
      </w:r>
      <w:proofErr w:type="gramStart"/>
      <w:r>
        <w:t>1.1.2017</w:t>
      </w:r>
      <w:proofErr w:type="gramEnd"/>
      <w:r>
        <w:t>" nedohodnou-li se smluvní strany jinak. Závěry přejímky jsou závazné pro obě smluvní strany této smlouvy.</w:t>
      </w:r>
    </w:p>
    <w:p w:rsidR="00E37EEF" w:rsidRDefault="00E37EEF" w:rsidP="00E37EEF">
      <w:pPr>
        <w:pStyle w:val="Normlnweb"/>
        <w:numPr>
          <w:ilvl w:val="0"/>
          <w:numId w:val="16"/>
        </w:numPr>
        <w:jc w:val="both"/>
      </w:pPr>
      <w:r>
        <w:lastRenderedPageBreak/>
        <w:t xml:space="preserve">Povinnost prodávajícího odevzdat dříví je splněna v okamžiku ukončení přejímky dříví v místě plnění, tj. v areálu společnosti Mondi </w:t>
      </w:r>
      <w:proofErr w:type="spellStart"/>
      <w:r>
        <w:t>Štětí</w:t>
      </w:r>
      <w:proofErr w:type="spellEnd"/>
      <w:r>
        <w:t xml:space="preserve"> a.s., osobou provádějící přejímku.</w:t>
      </w:r>
    </w:p>
    <w:p w:rsidR="00E37EEF" w:rsidRDefault="00E37EEF" w:rsidP="00E37EEF">
      <w:pPr>
        <w:pStyle w:val="Normlnweb"/>
        <w:numPr>
          <w:ilvl w:val="0"/>
          <w:numId w:val="16"/>
        </w:numPr>
        <w:jc w:val="both"/>
      </w:pPr>
      <w:r>
        <w:t>Smluvní strany se výslovně dohodly, že kvantitativní přejímka vlákninového dříví se provádí metodou ATRO.</w:t>
      </w:r>
    </w:p>
    <w:p w:rsidR="00E37EEF" w:rsidRDefault="00E37EEF" w:rsidP="00E37EEF">
      <w:pPr>
        <w:pStyle w:val="Normlnweb"/>
        <w:numPr>
          <w:ilvl w:val="0"/>
          <w:numId w:val="16"/>
        </w:numPr>
        <w:jc w:val="both"/>
      </w:pPr>
      <w:r>
        <w:t>Zboží odevzdané dle jednotlivých skupin sortimentů nad rámec kupní smlouvy je kupující oprávněn odmítnout.</w:t>
      </w:r>
    </w:p>
    <w:p w:rsidR="00E37EEF" w:rsidRDefault="00E37EEF" w:rsidP="00E37EEF">
      <w:pPr>
        <w:pStyle w:val="Normlnweb"/>
        <w:numPr>
          <w:ilvl w:val="0"/>
          <w:numId w:val="16"/>
        </w:numPr>
        <w:jc w:val="both"/>
      </w:pPr>
      <w:r>
        <w:t xml:space="preserve">V 1. čtvrtletí 2017 nebude konečný odběratel Mondi </w:t>
      </w:r>
      <w:proofErr w:type="spellStart"/>
      <w:r>
        <w:t>Štětí</w:t>
      </w:r>
      <w:proofErr w:type="spellEnd"/>
      <w:r>
        <w:t xml:space="preserve"> a.s. přijímat dodávky surových kmenů.  Případné dodávky tohoto sortimentu budou vráceny prodávajícímu.</w:t>
      </w:r>
    </w:p>
    <w:p w:rsidR="00E37EEF" w:rsidRDefault="00E37EEF" w:rsidP="00E37EEF">
      <w:pPr>
        <w:pStyle w:val="Normlnweb"/>
        <w:numPr>
          <w:ilvl w:val="0"/>
          <w:numId w:val="16"/>
        </w:numPr>
        <w:jc w:val="both"/>
      </w:pPr>
      <w:proofErr w:type="gramStart"/>
      <w:r>
        <w:t>Ve</w:t>
      </w:r>
      <w:proofErr w:type="gramEnd"/>
      <w:r>
        <w:t xml:space="preserve"> </w:t>
      </w:r>
      <w:r>
        <w:rPr>
          <w:rStyle w:val="Siln"/>
        </w:rPr>
        <w:t xml:space="preserve">1. čtvrtletí 2017 nebude konečný odběratel Mondi </w:t>
      </w:r>
      <w:proofErr w:type="spellStart"/>
      <w:r>
        <w:rPr>
          <w:rStyle w:val="Siln"/>
        </w:rPr>
        <w:t>Štětí</w:t>
      </w:r>
      <w:proofErr w:type="spellEnd"/>
      <w:r>
        <w:rPr>
          <w:rStyle w:val="Siln"/>
        </w:rPr>
        <w:t xml:space="preserve"> a.s. přijímat dodávky přesíleného dříví </w:t>
      </w:r>
      <w:r>
        <w:rPr>
          <w:rStyle w:val="Siln"/>
          <w:u w:val="single"/>
        </w:rPr>
        <w:t>vagóny</w:t>
      </w:r>
      <w:r>
        <w:rPr>
          <w:rStyle w:val="Siln"/>
        </w:rPr>
        <w:t>.  Případné dodávky tohoto sortimentu budou vráceny prodávajícímu na jeho náklady.</w:t>
      </w:r>
    </w:p>
    <w:p w:rsidR="00E37EEF" w:rsidRDefault="00E37EEF" w:rsidP="00E37EEF">
      <w:pPr>
        <w:pStyle w:val="Normlnweb"/>
      </w:pPr>
      <w:r>
        <w:rPr>
          <w:rStyle w:val="Siln"/>
        </w:rPr>
        <w:t>3. Povinnosti smluvních stran:</w:t>
      </w:r>
      <w:r>
        <w:br/>
        <w:t> </w:t>
      </w:r>
      <w:r>
        <w:rPr>
          <w:u w:val="single"/>
        </w:rPr>
        <w:t>Povinnosti prodávajícího:</w:t>
      </w:r>
    </w:p>
    <w:p w:rsidR="00E37EEF" w:rsidRDefault="00E37EEF" w:rsidP="00E37EEF">
      <w:pPr>
        <w:pStyle w:val="Normlnweb"/>
        <w:numPr>
          <w:ilvl w:val="0"/>
          <w:numId w:val="17"/>
        </w:numPr>
        <w:jc w:val="both"/>
      </w:pPr>
      <w:r>
        <w:t xml:space="preserve">Prodávající je povinen odevzdat dříví řádně a včas v místě plnění. Dříví je odevzdáno ukončením přejímky osobou pověřenou prováděním přejímky v areálu společnosti Mondi </w:t>
      </w:r>
      <w:proofErr w:type="spellStart"/>
      <w:r>
        <w:t>Štětí</w:t>
      </w:r>
      <w:proofErr w:type="spellEnd"/>
      <w:r>
        <w:t xml:space="preserve"> a.s. Závěry této přejímky jsou závazné pro zjištění, zda bylo dříví prodávajícím odevzdáno řádně.</w:t>
      </w:r>
    </w:p>
    <w:p w:rsidR="00E37EEF" w:rsidRDefault="00E37EEF" w:rsidP="00E37EEF">
      <w:pPr>
        <w:pStyle w:val="Normlnweb"/>
        <w:numPr>
          <w:ilvl w:val="0"/>
          <w:numId w:val="17"/>
        </w:numPr>
        <w:jc w:val="both"/>
      </w:pPr>
      <w:r>
        <w:t>Prodávající je povinen dodávat dříví v jednotlivých sortimentech plynule a rovnoměrně tak, aby v tom, kterém měsíci trvání smlouvy byla dodána 1/3 smluvního čtvrtletního množství daného sortimentu s tolerancí +-5%, pokud se smluvní strany nedohodnou jinak.</w:t>
      </w:r>
    </w:p>
    <w:p w:rsidR="00E37EEF" w:rsidRDefault="00E37EEF" w:rsidP="00E37EEF">
      <w:pPr>
        <w:pStyle w:val="Normlnweb"/>
        <w:numPr>
          <w:ilvl w:val="0"/>
          <w:numId w:val="17"/>
        </w:numPr>
        <w:jc w:val="both"/>
      </w:pPr>
      <w:r>
        <w:t>Prodávající je povinen ke každé dodávce vystavovat a přikládat dodací list vystavený pro danou dodávku systémem „</w:t>
      </w:r>
      <w:proofErr w:type="spellStart"/>
      <w:r>
        <w:t>Wood</w:t>
      </w:r>
      <w:proofErr w:type="spellEnd"/>
      <w:r>
        <w:t xml:space="preserve"> </w:t>
      </w:r>
      <w:proofErr w:type="spellStart"/>
      <w:r>
        <w:t>Accept</w:t>
      </w:r>
      <w:proofErr w:type="spellEnd"/>
      <w:r>
        <w:t xml:space="preserve"> - dojezdový dispečink“. Smluvní strany stvrzují podpisem této smlouvy, že jsou s tímto systémem plně seznámeny. Pokud vystavení dodacího listu v tomto systému není z technických důvodů možné, pak je prodávající povinen vystavit a přiložit dodací list – návěští, a to originál. Na dodacím listu musí být především uvedeno množství dříví, číslo kupní smlouvy, číslo dodavatele a označení sortimentu.</w:t>
      </w:r>
    </w:p>
    <w:p w:rsidR="00E37EEF" w:rsidRDefault="00E37EEF" w:rsidP="00E37EEF">
      <w:pPr>
        <w:pStyle w:val="Normlnweb"/>
        <w:numPr>
          <w:ilvl w:val="0"/>
          <w:numId w:val="17"/>
        </w:numPr>
        <w:jc w:val="both"/>
      </w:pPr>
      <w:r>
        <w:t xml:space="preserve">Prodávající se dále zavazuje poskytnout informaci o geografickém původu (země/region/porost) dodávané suroviny, která je potřebná pro kupujícího z důvodu hodnocení rizika. Prodávající zabezpečí kupujícímu potřebné informace k identifikaci místa původu dřevní suroviny a celého dodavatelského řetězce. Prodávající souhlasí s auditem původu lesní suroviny až na úroveň lesního porostu, a to buď zaměstnancem kupujícího, nebo jinou pověřenou osobou. Prodávající podpisem této smlouvy potvrzuje, že veškeré dříví dodávané do Mondi </w:t>
      </w:r>
      <w:proofErr w:type="spellStart"/>
      <w:r>
        <w:t>Štětí</w:t>
      </w:r>
      <w:proofErr w:type="spellEnd"/>
      <w:r>
        <w:t xml:space="preserve"> a.s. splňuje Minimální standardy skupiny Mondi pro dříví a buničinu a není v rozporu s Politikou udržitelného hospodaření v lesích, plné znění těchto dokumentů je na internetových stránkách </w:t>
      </w:r>
      <w:hyperlink r:id="rId5" w:history="1">
        <w:r>
          <w:rPr>
            <w:rStyle w:val="Hypertextovodkaz"/>
          </w:rPr>
          <w:t>www.wood-paper.cz</w:t>
        </w:r>
      </w:hyperlink>
      <w:r>
        <w:t xml:space="preserve"> Dále prodávající souhlasí s poskytnutím informací prostřednictvím auditů k prokázání, že veškeré dodávané dříví splňuje Minimální standardy a Politiku udržitelného hospodaření v lesích.</w:t>
      </w:r>
    </w:p>
    <w:p w:rsidR="00E37EEF" w:rsidRDefault="00E37EEF" w:rsidP="00E37EEF">
      <w:pPr>
        <w:pStyle w:val="Normlnweb"/>
        <w:numPr>
          <w:ilvl w:val="0"/>
          <w:numId w:val="17"/>
        </w:numPr>
        <w:jc w:val="both"/>
      </w:pPr>
      <w:r>
        <w:t xml:space="preserve">Prohlášení PEFC k dřevní surovině: a)Podle nejlepšího svědomí udržujeme v aktuálním stavu informace o přesném vymezení konkrétního území, ze kterého surovina pochází, o seznamu dřevin dodávaných z daného území a přiměřené důkazy k ověření, že zdroje dodávek jsou z vymezeného území a </w:t>
      </w:r>
      <w:proofErr w:type="gramStart"/>
      <w:r>
        <w:t>dřevin. b) Dřevina</w:t>
      </w:r>
      <w:proofErr w:type="gramEnd"/>
      <w:r>
        <w:t xml:space="preserve">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w:t>
      </w:r>
      <w:proofErr w:type="gramStart"/>
      <w:r>
        <w:t>neshody. e) Pokud</w:t>
      </w:r>
      <w:proofErr w:type="gramEnd"/>
      <w:r>
        <w:t xml:space="preserve"> budou dodávky pokládány s „VÝZNAMNÝM RIZIKEM“, zabezpečíme potřebné informace k identifikaci jednotky obhospodařování lesů, ze které surovina pochází a celého dodavatelského řetězce, který se vztahuje na takovouto dodávku. f) V případě, že budou dodávky pokládány s „VÝZNAMNÝM RIZIKEM“, umožníme odběrateli provést kontrolu činnosti druhou nebo třetí stranou, jakož i činnosti předchozích dodavatelů v řetězci. Smluvní strany se dohodly, že prodávající, který obdržel v rámci pravidel PEFC právoplatnou certifikaci spotřebitelského řetězce </w:t>
      </w:r>
      <w:proofErr w:type="spellStart"/>
      <w:r>
        <w:t>CoC</w:t>
      </w:r>
      <w:proofErr w:type="spellEnd"/>
      <w:r>
        <w:t xml:space="preserve">, certifikát lesního hospodářství nebo osvědčení o regionální nebo skupinové certifikaci lesů, neprodleně zašle kupujícímu kopii certifikátu. Prodávající se zároveň zavazuje oznámit kupujícímu % certifikovaného dříví pro daný </w:t>
      </w:r>
      <w:r>
        <w:lastRenderedPageBreak/>
        <w:t>měsíc či období, nebo dodávky certifikovaného dříví označit křížkem v určené kolonce dodacího listu (každá takto označená dodávka musí obsahovat 100% certifikovaného dříví) a neprodleně po odeslání dodávky zaslat jednu kopii kupujícímu. Pokud prodávající sděluje kupujícímu % certifikovaného dříví, činí tak předem, nejpozději do 5. dne v měsíci nebo období, pro které je dané procento v platnosti. Procento certifikovaného dříví sdělí prodávající písemně formou čestného prohlášení e-mailem (</w:t>
      </w:r>
      <w:hyperlink r:id="rId6" w:history="1">
        <w:r>
          <w:rPr>
            <w:rStyle w:val="Hypertextovodkaz"/>
          </w:rPr>
          <w:t>radka.zakova@wood-paper.cz</w:t>
        </w:r>
      </w:hyperlink>
      <w:r>
        <w:t xml:space="preserve"> ) nebo poštou na adresu kupujícího. Smluvní strany se dohodly, že prodávající, který obdržel certifikát FSC, zašle neprodleně jeho kopii kupujícímu. Prodávající označuje dodávky na dodacím listu (každá takto označená dodávka musí obsahovat 100% FSC certifikované kategorie materiálu, tedy FSC 100%, FSC mix nebo FSC CW) a zároveň vyplní číslo certifikátu. EUTR: Prodávající dále prohlašuje, že je v souladu s novou směrnicí EU 995/2010 o umisťování dřeva a dřevařských výrobků na trh.</w:t>
      </w:r>
      <w:r>
        <w:br/>
        <w:t> </w:t>
      </w:r>
    </w:p>
    <w:p w:rsidR="00E37EEF" w:rsidRDefault="00E37EEF" w:rsidP="00E37EEF">
      <w:pPr>
        <w:pStyle w:val="Normlnweb"/>
      </w:pPr>
      <w:r>
        <w:rPr>
          <w:u w:val="single"/>
        </w:rPr>
        <w:t>Povinnosti kupujícího:</w:t>
      </w:r>
    </w:p>
    <w:p w:rsidR="00E37EEF" w:rsidRDefault="00E37EEF" w:rsidP="00E37EEF">
      <w:pPr>
        <w:pStyle w:val="Normlnweb"/>
        <w:numPr>
          <w:ilvl w:val="0"/>
          <w:numId w:val="18"/>
        </w:numPr>
        <w:jc w:val="both"/>
      </w:pPr>
      <w:r>
        <w:t>Kupující se zavazuje zaplatit kupní cenu za řádně a včas převzaté dříví, v souladu s obsahem této smlouvy.</w:t>
      </w:r>
    </w:p>
    <w:p w:rsidR="00E37EEF" w:rsidRDefault="00E37EEF" w:rsidP="00E37EEF">
      <w:pPr>
        <w:pStyle w:val="Normlnweb"/>
        <w:numPr>
          <w:ilvl w:val="0"/>
          <w:numId w:val="18"/>
        </w:numPr>
        <w:jc w:val="both"/>
      </w:pPr>
      <w:r>
        <w:t>Kupující se zavazuje vystavovat na převzaté dříví faktury – daňové doklady dle obsahu odstavce "Platební podmínky" této smlouvy a tyto odesílat na v této smlouvě uvedenou adresu prodávajícího (nebo jinou adresu dle písemného požadavku prodávajícího).</w:t>
      </w:r>
    </w:p>
    <w:p w:rsidR="00E37EEF" w:rsidRDefault="00E37EEF" w:rsidP="00E37EEF">
      <w:pPr>
        <w:pStyle w:val="Normlnweb"/>
        <w:numPr>
          <w:ilvl w:val="0"/>
          <w:numId w:val="18"/>
        </w:numPr>
        <w:jc w:val="both"/>
      </w:pPr>
      <w:r>
        <w:t>Kupující se zavazuje respektovat výsledky přejímky dříví provedeného osobou pověřenou prováděním přejímky v místě plnění.</w:t>
      </w:r>
    </w:p>
    <w:p w:rsidR="00E37EEF" w:rsidRDefault="00E37EEF" w:rsidP="00E37EEF">
      <w:pPr>
        <w:pStyle w:val="Normlnweb"/>
      </w:pPr>
      <w:r>
        <w:t> </w:t>
      </w:r>
      <w:r>
        <w:rPr>
          <w:rStyle w:val="Siln"/>
        </w:rPr>
        <w:t>4. Platební podmínky:</w:t>
      </w:r>
    </w:p>
    <w:p w:rsidR="00E37EEF" w:rsidRDefault="00E37EEF" w:rsidP="00E37EEF">
      <w:pPr>
        <w:pStyle w:val="Normlnweb"/>
        <w:numPr>
          <w:ilvl w:val="0"/>
          <w:numId w:val="19"/>
        </w:numPr>
        <w:jc w:val="both"/>
      </w:pPr>
      <w: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 kupujícímu. Faktura musí mít veškeré náležitosti daňového dokladu ve smyslu obecně platných právních předpisů, ve znění změn a doplňků.</w:t>
      </w:r>
    </w:p>
    <w:p w:rsidR="00E37EEF" w:rsidRDefault="00E37EEF" w:rsidP="00E37EEF">
      <w:pPr>
        <w:pStyle w:val="Normlnweb"/>
        <w:numPr>
          <w:ilvl w:val="0"/>
          <w:numId w:val="19"/>
        </w:numPr>
        <w:jc w:val="both"/>
      </w:pPr>
      <w:r>
        <w:t xml:space="preserve">Fakturaci provádí kupující vždy za převzaté množství v tom kterém kalendářním týdnu a k poslednímu dni měsíce, a to vždy nejpozději třetí pracovní den následujícího týdne, či měsíce. Pro účely vystavování faktur se sjednává fakturační řada v intervalu: 1420001 až 1429999 Číslo </w:t>
      </w:r>
      <w:proofErr w:type="spellStart"/>
      <w:r>
        <w:t>samofaktury</w:t>
      </w:r>
      <w:proofErr w:type="spellEnd"/>
      <w:r>
        <w:t>, kterou vystavuje WOOD &amp; PAPER a.s., je evidenčním číslem dokladu, které vstupuje do kontrolního hlášení zasílané na finanční úřad.</w:t>
      </w:r>
    </w:p>
    <w:p w:rsidR="00E37EEF" w:rsidRDefault="00E37EEF" w:rsidP="00E37EEF">
      <w:pPr>
        <w:pStyle w:val="Normlnweb"/>
        <w:numPr>
          <w:ilvl w:val="0"/>
          <w:numId w:val="19"/>
        </w:numPr>
        <w:jc w:val="both"/>
      </w:pPr>
      <w:r>
        <w:t>Splatnost faktur se sjednává 60 dní od data vystavení faktury. Prodávající výslovně prohlašuje, že toto ujednání o čase plnění nepovažuje za hrubě nespravedlivé. Úhrady faktur budou prováděny hromadnými platbami vždy 5., 10., 15., 20., 25. a poslední den daného měsíce. Smluvní strany se dohodly tak, že úhrada faktury (fakturovaných kupních cen) do 6 kalendářních dnů po datu splatnosti, uvedeného na faktuře, není pozdní úhradou a kupující není po tuto dobu v prodlení s úhradou kupní ceny. Po dobu prvních 6 kalendářních dnů po splatnosti faktury nemá prodávající nárok na zaplacení úroku z prodlení. Teprve po uplynutí těchto 6 kalendářních dnů může prodávající kupujícímu vyúčtovat úrok z prodlení ve výši 0,05% z dlužné částky za každý den prodlení. Zaplacením se rozumí den, kdy byla fakturovaná částka odepsána z účtu kupujícího na účet uvedený v daňovém dokladu - faktuře.</w:t>
      </w:r>
    </w:p>
    <w:p w:rsidR="00E37EEF" w:rsidRDefault="00E37EEF" w:rsidP="00E37EEF">
      <w:pPr>
        <w:pStyle w:val="Normlnweb"/>
        <w:numPr>
          <w:ilvl w:val="0"/>
          <w:numId w:val="19"/>
        </w:numPr>
        <w:jc w:val="both"/>
      </w:pPr>
      <w:r>
        <w:t>Okamžik zdanitelného plnění je datum ukončení přejímky dříví osobou provádějící přejímku v místě plnění.</w:t>
      </w:r>
    </w:p>
    <w:p w:rsidR="00E37EEF" w:rsidRDefault="00E37EEF" w:rsidP="00E37EEF">
      <w:pPr>
        <w:pStyle w:val="Normlnweb"/>
        <w:numPr>
          <w:ilvl w:val="0"/>
          <w:numId w:val="19"/>
        </w:numPr>
        <w:jc w:val="both"/>
      </w:pPr>
      <w:r>
        <w:t xml:space="preserve">Smluvní strany se dohodly a souhlasí s tím, že faktury či jiné daňové doklady budou zasílány v elektronické podobě elektronickou poštou (emailem) na adresu kovarova@ts-litovel.cz 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lastRenderedPageBreak/>
        <w:t>Wood</w:t>
      </w:r>
      <w:proofErr w:type="spellEnd"/>
      <w:r>
        <w:t xml:space="preserve"> &amp; </w:t>
      </w:r>
      <w:proofErr w:type="spellStart"/>
      <w:r>
        <w:t>Paper</w:t>
      </w:r>
      <w:proofErr w:type="spellEnd"/>
      <w:r>
        <w:t xml:space="preserve"> a.s. má právo kdykoliv v průběhu trvání smluvního vztahu namísto daňového dokladu v elektronické podobě zaslat doklad v  podobě listinné.</w:t>
      </w:r>
    </w:p>
    <w:p w:rsidR="00E37EEF" w:rsidRDefault="00E37EEF" w:rsidP="00E37EEF">
      <w:pPr>
        <w:pStyle w:val="Normlnweb"/>
        <w:numPr>
          <w:ilvl w:val="0"/>
          <w:numId w:val="19"/>
        </w:numPr>
        <w:jc w:val="both"/>
      </w:pPr>
      <w:r>
        <w:t xml:space="preserve">Je-li prodávající plátce daně z přidané hodnoty (DPH), je závazek kupujícího zaplatit kupní cenu splněn také v případě, že kupující plní na účet zveřejněný podle </w:t>
      </w:r>
      <w:proofErr w:type="spellStart"/>
      <w:r>
        <w:t>ust</w:t>
      </w:r>
      <w:proofErr w:type="spellEnd"/>
      <w: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t>ust</w:t>
      </w:r>
      <w:proofErr w:type="spellEnd"/>
      <w:r>
        <w:t xml:space="preserve">. § 109a zákona o DPH na účet příslušného správce daně prodávajícího. Stane-li se kupující ručitelem podle </w:t>
      </w:r>
      <w:proofErr w:type="spellStart"/>
      <w:r>
        <w:t>ust</w:t>
      </w:r>
      <w:proofErr w:type="spellEnd"/>
      <w:r>
        <w:t>. § 109 zákona o DPH, je závazek kupujícího zaplatit kupní cenu v jeho části odpovídající DPH splněn také v případě, že kupující tuto část uhradí na účet příslušného správce daně prodávajícího.</w:t>
      </w:r>
    </w:p>
    <w:p w:rsidR="00E37EEF" w:rsidRDefault="00E37EEF" w:rsidP="00E37EEF">
      <w:pPr>
        <w:pStyle w:val="Normlnweb"/>
      </w:pPr>
      <w:r>
        <w:t> </w:t>
      </w:r>
    </w:p>
    <w:p w:rsidR="00E37EEF" w:rsidRDefault="00E37EEF" w:rsidP="00E37EEF">
      <w:pPr>
        <w:pStyle w:val="Normlnweb"/>
      </w:pPr>
      <w:r>
        <w:rPr>
          <w:rStyle w:val="Siln"/>
        </w:rPr>
        <w:t>5. Přepravní podmínky</w:t>
      </w:r>
    </w:p>
    <w:p w:rsidR="00E37EEF" w:rsidRDefault="00E37EEF" w:rsidP="00E37EEF">
      <w:pPr>
        <w:pStyle w:val="Normlnweb"/>
        <w:jc w:val="both"/>
      </w:pPr>
      <w:r>
        <w:rPr>
          <w:rStyle w:val="Siln"/>
        </w:rPr>
        <w:t>Kupující s prodávajícím se dohodli, realizovat smluvní dodávky pouze po železnici.</w:t>
      </w:r>
      <w:r>
        <w:br/>
        <w:t> </w:t>
      </w:r>
    </w:p>
    <w:p w:rsidR="00E37EEF" w:rsidRDefault="00E37EEF" w:rsidP="00E37EEF">
      <w:pPr>
        <w:pStyle w:val="Normlnweb"/>
        <w:numPr>
          <w:ilvl w:val="0"/>
          <w:numId w:val="20"/>
        </w:numPr>
        <w:jc w:val="both"/>
      </w:pPr>
      <w:r>
        <w:t xml:space="preserve">Kupující hradí pouze dovozné na základě zjištěné váhy na vlečce Mondi </w:t>
      </w:r>
      <w:proofErr w:type="spellStart"/>
      <w:r>
        <w:t>Štětí</w:t>
      </w:r>
      <w:proofErr w:type="spellEnd"/>
      <w:r>
        <w:t xml:space="preserve"> a.s. ve stanici určení </w:t>
      </w:r>
      <w:proofErr w:type="spellStart"/>
      <w:r>
        <w:t>Hněvice</w:t>
      </w:r>
      <w:proofErr w:type="spellEnd"/>
      <w:r>
        <w:t xml:space="preserve"> za smluvní obyčejnou vozovou zásilku z železniční stanice obsluhované společnosti ČD </w:t>
      </w:r>
      <w:proofErr w:type="spellStart"/>
      <w:r>
        <w:t>Cargo</w:t>
      </w:r>
      <w:proofErr w:type="spellEnd"/>
      <w:r>
        <w:t xml:space="preserve"> a.s. s výpravním oprávněním pro vozové zásilky ve vnitrostátní přepravě do stanice určení </w:t>
      </w:r>
      <w:proofErr w:type="spellStart"/>
      <w:r>
        <w:t>Hněvice</w:t>
      </w:r>
      <w:proofErr w:type="spellEnd"/>
      <w:r>
        <w:t xml:space="preserve"> – vlastní vlečka Mondi </w:t>
      </w:r>
      <w:proofErr w:type="spellStart"/>
      <w:r>
        <w:t>Štětí</w:t>
      </w:r>
      <w:proofErr w:type="spellEnd"/>
      <w:r>
        <w:t xml:space="preserve"> a.s. Veškeré náklady související s železniční přepravou mimo toto dovozné nese vždy prodávající.</w:t>
      </w:r>
    </w:p>
    <w:p w:rsidR="00E37EEF" w:rsidRDefault="00E37EEF" w:rsidP="00E37EEF">
      <w:pPr>
        <w:pStyle w:val="Normlnweb"/>
        <w:numPr>
          <w:ilvl w:val="0"/>
          <w:numId w:val="20"/>
        </w:numPr>
        <w:jc w:val="both"/>
      </w:pPr>
      <w:r>
        <w:t xml:space="preserve">Smluvní strany se dohodly v souvislosti s ložením dříví do vagónů, že pro přepravu předmětu smlouvy konanou po železnici je závazný Tarif pro přepravu vozových zásilek ČD </w:t>
      </w:r>
      <w:proofErr w:type="spellStart"/>
      <w:r>
        <w:t>Cargo</w:t>
      </w:r>
      <w:proofErr w:type="spellEnd"/>
      <w:r>
        <w:t xml:space="preserve"> a.s. (dále jen "</w:t>
      </w:r>
      <w:proofErr w:type="gramStart"/>
      <w:r>
        <w:t>TVZ"),, vyhlášený</w:t>
      </w:r>
      <w:proofErr w:type="gramEnd"/>
      <w:r>
        <w:t xml:space="preserve"> železničním dopravcem - společností ČD </w:t>
      </w:r>
      <w:proofErr w:type="spellStart"/>
      <w:r>
        <w:t>Cargo</w:t>
      </w:r>
      <w:proofErr w:type="spellEnd"/>
      <w:r>
        <w:t xml:space="preserve"> a.s., IČ 281 96 678, se sídlem </w:t>
      </w:r>
      <w:proofErr w:type="spellStart"/>
      <w:r>
        <w:t>Jankovcova</w:t>
      </w:r>
      <w:proofErr w:type="spellEnd"/>
      <w:r>
        <w:t xml:space="preserve"> 1569/2c , 170 00 Praha 7, (dále jen "dopravce ČD </w:t>
      </w:r>
      <w:proofErr w:type="spellStart"/>
      <w:r>
        <w:t>Cargo</w:t>
      </w:r>
      <w:proofErr w:type="spellEnd"/>
      <w:r>
        <w:t xml:space="preserve">"), aktuálně platný ke dni uskutečnění přepravy. Smluvní strany berou na vědomí, že aktuální znění TVZ je přístupné na internetových stránkách společnosti ČD </w:t>
      </w:r>
      <w:proofErr w:type="spellStart"/>
      <w:r>
        <w:t>Cargo</w:t>
      </w:r>
      <w:proofErr w:type="spellEnd"/>
      <w:r>
        <w:t xml:space="preserve"> a.s. (link </w:t>
      </w:r>
      <w:proofErr w:type="gramStart"/>
      <w:r>
        <w:t>www.cd</w:t>
      </w:r>
      <w:proofErr w:type="gramEnd"/>
      <w:r>
        <w:t xml:space="preserve">.cargo.cz v záložce "Zákaznická podpora - tarify - vnitrostátní tarify"). Smluvní strany prohlašují, že před podpisem kupní smlouvy se s aktuálním zněním TVZ seznámily, s jeho obsahem souhlasí a zároveň se zavazují v případě změn TVZ se s novým zněním seznámit a toto znění dodržovat. Smluvní strany berou na vědomí, že dopravce ČD </w:t>
      </w:r>
      <w:proofErr w:type="spellStart"/>
      <w:r>
        <w:t>Cargo</w:t>
      </w:r>
      <w:proofErr w:type="spellEnd"/>
      <w:r>
        <w:t>, která je následným železničním dopravcem předmětu smlouvy, je oprávněna požadovat přepravné za uskutečněnou přepravu předmětu smlouvy ve výši dovozného, poplatků doplňujících dle aktuálního TVZ a částek stanovených dle aktuálního TVZ. S ohledem na uvedené je dopravce povinen dodržovat pravidla pro přepravu předmětu smlouvy po železnici stanovená v TVZ tak, aby nedocházelo k navyšování přepravného, v opačném případě je prodávající, který navýšení přepravného porušením pravidel pro přepravu dle TVZ zapříčinil, povinen uhradit takto vzniklé vícenáklady.</w:t>
      </w:r>
    </w:p>
    <w:p w:rsidR="00E37EEF" w:rsidRDefault="00E37EEF" w:rsidP="00E37EEF">
      <w:pPr>
        <w:pStyle w:val="Normlnweb"/>
        <w:numPr>
          <w:ilvl w:val="0"/>
          <w:numId w:val="20"/>
        </w:numPr>
        <w:jc w:val="both"/>
      </w:pPr>
      <w:r>
        <w:t xml:space="preserve">Prodávající bere na vědomí, že dopravce ČD </w:t>
      </w:r>
      <w:proofErr w:type="spellStart"/>
      <w:r>
        <w:t>Cargo</w:t>
      </w:r>
      <w:proofErr w:type="spellEnd"/>
      <w:r>
        <w:t xml:space="preserve"> vyhlašuje od 1.1.2014 ve vytipovaných železničních stanicích „</w:t>
      </w:r>
      <w:r>
        <w:rPr>
          <w:rStyle w:val="Siln"/>
        </w:rPr>
        <w:t>Zvláštní přepravní podmínky</w:t>
      </w:r>
      <w:r>
        <w:t>“(dále ZPP) , na základě kterých je stanoven minimální počet vozů podaných k přepravě k jedné obsluze stanice a výše poplatku doplňujícího (PD) ke každému vozu uvedenému v nákladním listu (</w:t>
      </w:r>
      <w:proofErr w:type="spellStart"/>
      <w:r>
        <w:t>kč</w:t>
      </w:r>
      <w:proofErr w:type="spellEnd"/>
      <w:r>
        <w:t xml:space="preserve">/vůz) v případě nesplnění minimálního počtů </w:t>
      </w:r>
      <w:proofErr w:type="gramStart"/>
      <w:r>
        <w:t>vozů.Prodávající</w:t>
      </w:r>
      <w:proofErr w:type="gramEnd"/>
      <w:r>
        <w:t xml:space="preserve"> se dohodl s kupujícím, že  přebírá odpovědnost, hradí tyto PD a souhlasí s přeúčtováním ze strany kupujícího v případě nesplnění stanovených podmínek. ZPP včetně přílohy s vytipovanými stanicemi jsou přílohou k této smlouvě.</w:t>
      </w:r>
    </w:p>
    <w:p w:rsidR="00E37EEF" w:rsidRDefault="00E37EEF" w:rsidP="00E37EEF">
      <w:pPr>
        <w:pStyle w:val="Normlnweb"/>
        <w:numPr>
          <w:ilvl w:val="0"/>
          <w:numId w:val="20"/>
        </w:numPr>
        <w:jc w:val="both"/>
      </w:pPr>
      <w:r>
        <w:t xml:space="preserve">Prodávající se zavazuje objednat vagony a podat je k přepravě do Mondi </w:t>
      </w:r>
      <w:proofErr w:type="spellStart"/>
      <w:r>
        <w:t>Štětí</w:t>
      </w:r>
      <w:proofErr w:type="spellEnd"/>
      <w:r>
        <w:t xml:space="preserve"> a.s. u dopravce ČD </w:t>
      </w:r>
      <w:proofErr w:type="spellStart"/>
      <w:r>
        <w:t>Cargo</w:t>
      </w:r>
      <w:proofErr w:type="spellEnd"/>
      <w:r>
        <w:t xml:space="preserve"> a.s. dle TVZ na nákladní list pro vnitrostátní přepravu (dále jen NL). Prodávající bude přednostně odesílat dříví ve skupinách minimálně 3 vagónů zapsaných do jednoho NL, včetně dodávek s různým sortimentem na každém vagónu přičemž míchání sortimentů v jednom vagonu není povoleno. Prodávající je povinen vyplnit NL podle vzoru NL, který je přílohou této smlouvy. Prodávající odpovídá za správnost údajů vyplněných v NL a to nejen během přepravy, ale i po přepravě. Prodávající přebírá veškerá práva a povinnosti a odpovědnost z přepravy za odesílatele uvedeného v NL.</w:t>
      </w:r>
    </w:p>
    <w:p w:rsidR="00E37EEF" w:rsidRDefault="00E37EEF" w:rsidP="00E37EEF">
      <w:pPr>
        <w:pStyle w:val="Normlnweb"/>
        <w:numPr>
          <w:ilvl w:val="0"/>
          <w:numId w:val="20"/>
        </w:numPr>
        <w:jc w:val="both"/>
      </w:pPr>
      <w:r>
        <w:lastRenderedPageBreak/>
        <w:t xml:space="preserve">V případě přepravy zboží železničním vagónem je prodávající povinen uvádět do kolonky </w:t>
      </w:r>
      <w:proofErr w:type="gramStart"/>
      <w:r>
        <w:t>č.23</w:t>
      </w:r>
      <w:proofErr w:type="gramEnd"/>
      <w:r>
        <w:t xml:space="preserve"> NL číslo kupní smlouvy, dodavatele včetně označení sortimentu a jakosti.</w:t>
      </w:r>
    </w:p>
    <w:p w:rsidR="00E37EEF" w:rsidRDefault="00E37EEF" w:rsidP="00E37EEF">
      <w:pPr>
        <w:pStyle w:val="Normlnweb"/>
        <w:numPr>
          <w:ilvl w:val="0"/>
          <w:numId w:val="20"/>
        </w:numPr>
        <w:jc w:val="both"/>
      </w:pPr>
      <w:r>
        <w:t xml:space="preserve">Prodávající je povinen ložit dříví do řádně vyčištěných dopravních prostředků. Prodávající se </w:t>
      </w:r>
      <w:proofErr w:type="spellStart"/>
      <w:r>
        <w:t>zavazujene</w:t>
      </w:r>
      <w:proofErr w:type="spellEnd"/>
      <w:r>
        <w:t xml:space="preserve"> objednávat k nakládce vagony dopravce ČD </w:t>
      </w:r>
      <w:proofErr w:type="spellStart"/>
      <w:r>
        <w:t>Cargo</w:t>
      </w:r>
      <w:proofErr w:type="spellEnd"/>
      <w:r>
        <w:t xml:space="preserve"> řady </w:t>
      </w:r>
      <w:proofErr w:type="spellStart"/>
      <w:r>
        <w:t>Ea</w:t>
      </w:r>
      <w:proofErr w:type="spellEnd"/>
      <w:r>
        <w:t xml:space="preserve"> s doplňujícím označením "D" tzv. "dřevěné - rozbité podlahy".</w:t>
      </w:r>
    </w:p>
    <w:p w:rsidR="00E37EEF" w:rsidRDefault="00E37EEF" w:rsidP="00E37EEF">
      <w:pPr>
        <w:pStyle w:val="Normlnweb"/>
        <w:numPr>
          <w:ilvl w:val="0"/>
          <w:numId w:val="20"/>
        </w:numPr>
        <w:jc w:val="both"/>
      </w:pPr>
      <w:r>
        <w:t>Prodávající se zavazuje, že neprovede nakládku do vagonů v rozporu s „Technickými podmínkami k dodávce dříví a směrnicemi pro příjem dříví“ uvedenými v článku této smlouvy.</w:t>
      </w:r>
    </w:p>
    <w:p w:rsidR="00E37EEF" w:rsidRDefault="00E37EEF" w:rsidP="00E37EEF">
      <w:pPr>
        <w:pStyle w:val="Normlnweb"/>
        <w:numPr>
          <w:ilvl w:val="0"/>
          <w:numId w:val="20"/>
        </w:numPr>
        <w:jc w:val="both"/>
      </w:pPr>
      <w:r>
        <w:t xml:space="preserve">V případě že smluvní dodávka bude ze strany konečného odběratele Mondi </w:t>
      </w:r>
      <w:proofErr w:type="spellStart"/>
      <w:r>
        <w:t>Štětí</w:t>
      </w:r>
      <w:proofErr w:type="spellEnd"/>
      <w:r>
        <w:t xml:space="preserve"> a.s. odmítnuta, kupující si vyhrazuje právo takovou zásilku odmítnout a vrátit prodávajícímu na náklady prodávajícího. Prodávající se zavazuje rovněž uhradit předchozí veškeré náklady spojené s dopravou této odmítnuté smluvní dodávky ke konečnému odběrateli. Prodávající se zavazuje uhradit v souvislosti s nepřevzatou dodávkou ze strany konečného odběratele Mondi </w:t>
      </w:r>
      <w:proofErr w:type="spellStart"/>
      <w:r>
        <w:t>Štětí</w:t>
      </w:r>
      <w:proofErr w:type="spellEnd"/>
      <w:r>
        <w:t xml:space="preserve"> a.s. náklady za vlečkový provoz na vlečce Mondi </w:t>
      </w:r>
      <w:proofErr w:type="spellStart"/>
      <w:r>
        <w:t>Štětí</w:t>
      </w:r>
      <w:proofErr w:type="spellEnd"/>
      <w:r>
        <w:t xml:space="preserve"> a.s.</w:t>
      </w:r>
    </w:p>
    <w:p w:rsidR="00E37EEF" w:rsidRDefault="00E37EEF" w:rsidP="00E37EEF">
      <w:pPr>
        <w:pStyle w:val="Normlnweb"/>
        <w:numPr>
          <w:ilvl w:val="0"/>
          <w:numId w:val="20"/>
        </w:numPr>
        <w:jc w:val="both"/>
      </w:pPr>
      <w:r>
        <w:t>Prodávající souhlasí, že ponese veškeré náklady související s přepravou vzniklé porušením některého z ustanovení této smlouvy nebo porušením platných předpisů dopravce.</w:t>
      </w:r>
    </w:p>
    <w:p w:rsidR="00E37EEF" w:rsidRDefault="00E37EEF" w:rsidP="00E37EEF">
      <w:pPr>
        <w:pStyle w:val="Normlnweb"/>
        <w:numPr>
          <w:ilvl w:val="0"/>
          <w:numId w:val="20"/>
        </w:numPr>
      </w:pPr>
      <w:r>
        <w:rPr>
          <w:u w:val="single"/>
        </w:rPr>
        <w:t xml:space="preserve">Vytížení vagonů </w:t>
      </w:r>
    </w:p>
    <w:p w:rsidR="00E37EEF" w:rsidRDefault="00E37EEF" w:rsidP="00E37EEF">
      <w:pPr>
        <w:pStyle w:val="Normlnweb"/>
        <w:ind w:left="543"/>
      </w:pPr>
      <w:r>
        <w:t xml:space="preserve">Smluvní strany se dohodly na prémii za vytížení a srážce za nevytížení železničních dopravních prostředků - vagónů dříví a to v </w:t>
      </w:r>
      <w:proofErr w:type="spellStart"/>
      <w:r>
        <w:t>následujích</w:t>
      </w:r>
      <w:proofErr w:type="spellEnd"/>
      <w:r>
        <w:t xml:space="preserve"> výších.</w:t>
      </w:r>
    </w:p>
    <w:p w:rsidR="00E37EEF" w:rsidRDefault="00E37EEF" w:rsidP="00E37EEF">
      <w:pPr>
        <w:pStyle w:val="Normlnweb"/>
        <w:ind w:left="543"/>
      </w:pPr>
      <w:proofErr w:type="spellStart"/>
      <w:r>
        <w:rPr>
          <w:rStyle w:val="Siln"/>
        </w:rPr>
        <w:t>Čtyřosý</w:t>
      </w:r>
      <w:proofErr w:type="spellEnd"/>
      <w:r>
        <w:rPr>
          <w:rStyle w:val="Siln"/>
        </w:rPr>
        <w:t xml:space="preserve"> vagón typu </w:t>
      </w:r>
      <w:proofErr w:type="spellStart"/>
      <w:r>
        <w:rPr>
          <w:rStyle w:val="Siln"/>
        </w:rPr>
        <w:t>Laaps</w:t>
      </w:r>
      <w:proofErr w:type="spellEnd"/>
      <w:r>
        <w:rPr>
          <w:rStyle w:val="Siln"/>
        </w:rPr>
        <w:t xml:space="preserve">, Ros, </w:t>
      </w:r>
      <w:proofErr w:type="spellStart"/>
      <w:r>
        <w:rPr>
          <w:rStyle w:val="Siln"/>
        </w:rPr>
        <w:t>Roos</w:t>
      </w:r>
      <w:proofErr w:type="spellEnd"/>
      <w:r>
        <w:rPr>
          <w:rStyle w:val="Siln"/>
        </w:rPr>
        <w:t xml:space="preserve">, </w:t>
      </w:r>
      <w:proofErr w:type="spellStart"/>
      <w:r>
        <w:rPr>
          <w:rStyle w:val="Siln"/>
        </w:rPr>
        <w:t>Sps</w:t>
      </w:r>
      <w:proofErr w:type="spellEnd"/>
      <w:r>
        <w:rPr>
          <w:rStyle w:val="Siln"/>
        </w:rPr>
        <w:t xml:space="preserve">, </w:t>
      </w:r>
      <w:proofErr w:type="spellStart"/>
      <w:r>
        <w:rPr>
          <w:rStyle w:val="Siln"/>
        </w:rPr>
        <w:t>Rns</w:t>
      </w:r>
      <w:proofErr w:type="spellEnd"/>
      <w:r>
        <w:rPr>
          <w:rStyle w:val="Siln"/>
        </w:rPr>
        <w:t xml:space="preserve">-z, </w:t>
      </w:r>
      <w:proofErr w:type="spellStart"/>
      <w:r>
        <w:rPr>
          <w:rStyle w:val="Siln"/>
        </w:rPr>
        <w:t>Rnoos</w:t>
      </w:r>
      <w:proofErr w:type="spellEnd"/>
      <w:r>
        <w:rPr>
          <w:rStyle w:val="Siln"/>
        </w:rPr>
        <w:t xml:space="preserve">-z, </w:t>
      </w:r>
      <w:proofErr w:type="spellStart"/>
      <w:r>
        <w:rPr>
          <w:rStyle w:val="Siln"/>
        </w:rPr>
        <w:t>Snps</w:t>
      </w:r>
      <w:proofErr w:type="spellEnd"/>
      <w:r>
        <w:rPr>
          <w:rStyle w:val="Siln"/>
        </w:rPr>
        <w:t xml:space="preserve"> :</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21 </w:t>
      </w:r>
      <w:proofErr w:type="spellStart"/>
      <w:r w:rsidRPr="00E37EEF">
        <w:rPr>
          <w:rStyle w:val="Siln"/>
          <w:sz w:val="22"/>
          <w:szCs w:val="22"/>
        </w:rPr>
        <w:t>A</w:t>
      </w:r>
      <w:r w:rsidRPr="00E37EEF">
        <w:rPr>
          <w:sz w:val="22"/>
          <w:szCs w:val="22"/>
        </w:rPr>
        <w:t>t</w:t>
      </w:r>
      <w:proofErr w:type="spellEnd"/>
      <w:r w:rsidRPr="00E37EEF">
        <w:rPr>
          <w:sz w:val="22"/>
          <w:szCs w:val="22"/>
        </w:rPr>
        <w:t xml:space="preserve"> (do 20,99 </w:t>
      </w:r>
      <w:proofErr w:type="spellStart"/>
      <w:r w:rsidRPr="00E37EEF">
        <w:rPr>
          <w:sz w:val="22"/>
          <w:szCs w:val="22"/>
        </w:rPr>
        <w:t>At</w:t>
      </w:r>
      <w:proofErr w:type="spellEnd"/>
      <w:r w:rsidRPr="00E37EEF">
        <w:rPr>
          <w:sz w:val="22"/>
          <w:szCs w:val="22"/>
        </w:rPr>
        <w:t xml:space="preserve"> včetně) bude u příslušného vagónu účtovaná </w:t>
      </w:r>
      <w:r w:rsidRPr="00E37EEF">
        <w:rPr>
          <w:rStyle w:val="Siln"/>
          <w:sz w:val="22"/>
          <w:szCs w:val="22"/>
        </w:rPr>
        <w:t>srážka 2000 Kč</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22 </w:t>
      </w:r>
      <w:proofErr w:type="spellStart"/>
      <w:r w:rsidRPr="00E37EEF">
        <w:rPr>
          <w:rStyle w:val="Siln"/>
          <w:sz w:val="22"/>
          <w:szCs w:val="22"/>
        </w:rPr>
        <w:t>A</w:t>
      </w:r>
      <w:r w:rsidRPr="00E37EEF">
        <w:rPr>
          <w:sz w:val="22"/>
          <w:szCs w:val="22"/>
        </w:rPr>
        <w:t>t</w:t>
      </w:r>
      <w:proofErr w:type="spellEnd"/>
      <w:r w:rsidRPr="00E37EEF">
        <w:rPr>
          <w:sz w:val="22"/>
          <w:szCs w:val="22"/>
        </w:rPr>
        <w:t xml:space="preserve"> (do 21,99 </w:t>
      </w:r>
      <w:proofErr w:type="spellStart"/>
      <w:r w:rsidRPr="00E37EEF">
        <w:rPr>
          <w:sz w:val="22"/>
          <w:szCs w:val="22"/>
        </w:rPr>
        <w:t>At</w:t>
      </w:r>
      <w:proofErr w:type="spellEnd"/>
      <w:r w:rsidRPr="00E37EEF">
        <w:rPr>
          <w:sz w:val="22"/>
          <w:szCs w:val="22"/>
        </w:rPr>
        <w:t xml:space="preserve"> včetně) bude u příslušného vagónu účtovaná </w:t>
      </w:r>
      <w:r w:rsidRPr="00E37EEF">
        <w:rPr>
          <w:rStyle w:val="Siln"/>
          <w:sz w:val="22"/>
          <w:szCs w:val="22"/>
        </w:rPr>
        <w:t>srážka 1500 Kč</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23 </w:t>
      </w:r>
      <w:proofErr w:type="spellStart"/>
      <w:r w:rsidRPr="00E37EEF">
        <w:rPr>
          <w:rStyle w:val="Siln"/>
          <w:sz w:val="22"/>
          <w:szCs w:val="22"/>
        </w:rPr>
        <w:t>A</w:t>
      </w:r>
      <w:r w:rsidRPr="00E37EEF">
        <w:rPr>
          <w:sz w:val="22"/>
          <w:szCs w:val="22"/>
        </w:rPr>
        <w:t>t</w:t>
      </w:r>
      <w:proofErr w:type="spellEnd"/>
      <w:r w:rsidRPr="00E37EEF">
        <w:rPr>
          <w:sz w:val="22"/>
          <w:szCs w:val="22"/>
        </w:rPr>
        <w:t xml:space="preserve"> (do 22,99 </w:t>
      </w:r>
      <w:proofErr w:type="spellStart"/>
      <w:r w:rsidRPr="00E37EEF">
        <w:rPr>
          <w:sz w:val="22"/>
          <w:szCs w:val="22"/>
        </w:rPr>
        <w:t>At</w:t>
      </w:r>
      <w:proofErr w:type="spellEnd"/>
      <w:r w:rsidRPr="00E37EEF">
        <w:rPr>
          <w:sz w:val="22"/>
          <w:szCs w:val="22"/>
        </w:rPr>
        <w:t xml:space="preserve"> včetně) bude u příslušného vagónu účtovaná </w:t>
      </w:r>
      <w:r w:rsidRPr="00E37EEF">
        <w:rPr>
          <w:rStyle w:val="Siln"/>
          <w:sz w:val="22"/>
          <w:szCs w:val="22"/>
        </w:rPr>
        <w:t>srážka 1000 Kč</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24 </w:t>
      </w:r>
      <w:proofErr w:type="spellStart"/>
      <w:r w:rsidRPr="00E37EEF">
        <w:rPr>
          <w:rStyle w:val="Siln"/>
          <w:sz w:val="22"/>
          <w:szCs w:val="22"/>
        </w:rPr>
        <w:t>A</w:t>
      </w:r>
      <w:r w:rsidRPr="00E37EEF">
        <w:rPr>
          <w:sz w:val="22"/>
          <w:szCs w:val="22"/>
        </w:rPr>
        <w:t>t</w:t>
      </w:r>
      <w:proofErr w:type="spellEnd"/>
      <w:r w:rsidRPr="00E37EEF">
        <w:rPr>
          <w:sz w:val="22"/>
          <w:szCs w:val="22"/>
        </w:rPr>
        <w:t xml:space="preserve"> (do 23,99 </w:t>
      </w:r>
      <w:proofErr w:type="spellStart"/>
      <w:r w:rsidRPr="00E37EEF">
        <w:rPr>
          <w:sz w:val="22"/>
          <w:szCs w:val="22"/>
        </w:rPr>
        <w:t>At</w:t>
      </w:r>
      <w:proofErr w:type="spellEnd"/>
      <w:r w:rsidRPr="00E37EEF">
        <w:rPr>
          <w:sz w:val="22"/>
          <w:szCs w:val="22"/>
        </w:rPr>
        <w:t xml:space="preserve"> včetně) bude u příslušného vagónu účtovaná </w:t>
      </w:r>
      <w:r w:rsidRPr="00E37EEF">
        <w:rPr>
          <w:rStyle w:val="Siln"/>
          <w:sz w:val="22"/>
          <w:szCs w:val="22"/>
        </w:rPr>
        <w:t>srážka 500 Kč</w:t>
      </w:r>
    </w:p>
    <w:p w:rsidR="00E37EEF" w:rsidRDefault="00E37EEF" w:rsidP="00E37EEF">
      <w:pPr>
        <w:pStyle w:val="Normlnweb"/>
        <w:ind w:left="543"/>
      </w:pPr>
      <w:r>
        <w:rPr>
          <w:u w:val="single"/>
        </w:rPr>
        <w:t>Dodávky surových kmenů</w:t>
      </w:r>
      <w:r>
        <w:t xml:space="preserve"> (č. sortimentu 28a 29) budou realizovány </w:t>
      </w:r>
      <w:r>
        <w:rPr>
          <w:u w:val="single"/>
        </w:rPr>
        <w:t xml:space="preserve">pouze ve vagonech typu </w:t>
      </w:r>
      <w:proofErr w:type="spellStart"/>
      <w:r>
        <w:rPr>
          <w:u w:val="single"/>
        </w:rPr>
        <w:t>Laaps</w:t>
      </w:r>
      <w:proofErr w:type="spellEnd"/>
    </w:p>
    <w:p w:rsidR="00E37EEF" w:rsidRDefault="00E37EEF" w:rsidP="00E37EEF">
      <w:pPr>
        <w:pStyle w:val="Normlnweb"/>
        <w:ind w:left="543"/>
      </w:pPr>
      <w:r>
        <w:t xml:space="preserve">- v případě vytížení vagonu nad 90 </w:t>
      </w:r>
      <w:proofErr w:type="spellStart"/>
      <w:r>
        <w:t>prm</w:t>
      </w:r>
      <w:proofErr w:type="spellEnd"/>
      <w:r>
        <w:t xml:space="preserve"> (změřené „</w:t>
      </w:r>
      <w:proofErr w:type="spellStart"/>
      <w:r>
        <w:t>prm</w:t>
      </w:r>
      <w:proofErr w:type="spellEnd"/>
      <w:r>
        <w:t xml:space="preserve">“ po matematickém zaokrouhlení) nebude u příslušného vagónu účtovaná srážka za nevytížení v </w:t>
      </w:r>
      <w:proofErr w:type="spellStart"/>
      <w:r>
        <w:t>At</w:t>
      </w:r>
      <w:proofErr w:type="spellEnd"/>
      <w:r>
        <w:t>.</w:t>
      </w:r>
    </w:p>
    <w:p w:rsidR="00E37EEF" w:rsidRDefault="00E37EEF" w:rsidP="00E37EEF">
      <w:pPr>
        <w:pStyle w:val="Normlnweb"/>
        <w:ind w:left="543"/>
      </w:pPr>
      <w:proofErr w:type="spellStart"/>
      <w:r>
        <w:rPr>
          <w:rStyle w:val="Siln"/>
        </w:rPr>
        <w:t>Čtyřosý</w:t>
      </w:r>
      <w:proofErr w:type="spellEnd"/>
      <w:r>
        <w:rPr>
          <w:rStyle w:val="Siln"/>
        </w:rPr>
        <w:t xml:space="preserve"> vagón typu </w:t>
      </w:r>
      <w:proofErr w:type="spellStart"/>
      <w:r>
        <w:rPr>
          <w:rStyle w:val="Siln"/>
        </w:rPr>
        <w:t>Laaps</w:t>
      </w:r>
      <w:proofErr w:type="spellEnd"/>
      <w:r>
        <w:rPr>
          <w:rStyle w:val="Siln"/>
        </w:rPr>
        <w:t xml:space="preserve"> :</w:t>
      </w:r>
    </w:p>
    <w:p w:rsidR="00E37EEF" w:rsidRPr="00E37EEF" w:rsidRDefault="00E37EEF" w:rsidP="00E37EEF">
      <w:pPr>
        <w:pStyle w:val="Normlnweb"/>
        <w:ind w:left="543"/>
        <w:rPr>
          <w:sz w:val="22"/>
          <w:szCs w:val="22"/>
        </w:rPr>
      </w:pPr>
      <w:r w:rsidRPr="00E37EEF">
        <w:rPr>
          <w:sz w:val="22"/>
          <w:szCs w:val="22"/>
        </w:rPr>
        <w:t xml:space="preserve">- v případě </w:t>
      </w:r>
      <w:r w:rsidRPr="00E37EEF">
        <w:rPr>
          <w:rStyle w:val="Siln"/>
          <w:sz w:val="22"/>
          <w:szCs w:val="22"/>
        </w:rPr>
        <w:t>vytížení</w:t>
      </w:r>
      <w:r w:rsidRPr="00E37EEF">
        <w:rPr>
          <w:sz w:val="22"/>
          <w:szCs w:val="22"/>
        </w:rPr>
        <w:t xml:space="preserve"> v rozmezí od </w:t>
      </w:r>
      <w:r w:rsidRPr="00E37EEF">
        <w:rPr>
          <w:rStyle w:val="Siln"/>
          <w:sz w:val="22"/>
          <w:szCs w:val="22"/>
        </w:rPr>
        <w:t xml:space="preserve">47-52 </w:t>
      </w:r>
      <w:proofErr w:type="spellStart"/>
      <w:r w:rsidRPr="00E37EEF">
        <w:rPr>
          <w:rStyle w:val="Siln"/>
          <w:sz w:val="22"/>
          <w:szCs w:val="22"/>
        </w:rPr>
        <w:t>lutro</w:t>
      </w:r>
      <w:proofErr w:type="spellEnd"/>
      <w:r w:rsidRPr="00E37EEF">
        <w:rPr>
          <w:rStyle w:val="Siln"/>
          <w:sz w:val="22"/>
          <w:szCs w:val="22"/>
        </w:rPr>
        <w:t xml:space="preserve"> tun</w:t>
      </w:r>
      <w:r w:rsidRPr="00E37EEF">
        <w:rPr>
          <w:sz w:val="22"/>
          <w:szCs w:val="22"/>
        </w:rPr>
        <w:t xml:space="preserve"> (od 46,60 t do 52,49 tun </w:t>
      </w:r>
      <w:proofErr w:type="gramStart"/>
      <w:r w:rsidRPr="00E37EEF">
        <w:rPr>
          <w:sz w:val="22"/>
          <w:szCs w:val="22"/>
        </w:rPr>
        <w:t>včetně ) bude</w:t>
      </w:r>
      <w:proofErr w:type="gramEnd"/>
      <w:r w:rsidRPr="00E37EEF">
        <w:rPr>
          <w:sz w:val="22"/>
          <w:szCs w:val="22"/>
        </w:rPr>
        <w:t xml:space="preserve"> u příslušného vagónu účtovaná </w:t>
      </w:r>
      <w:r w:rsidRPr="00E37EEF">
        <w:rPr>
          <w:rStyle w:val="Siln"/>
          <w:sz w:val="22"/>
          <w:szCs w:val="22"/>
        </w:rPr>
        <w:t>prémie 500,- Kč.</w:t>
      </w:r>
      <w:r w:rsidRPr="00E37EEF">
        <w:rPr>
          <w:sz w:val="22"/>
          <w:szCs w:val="22"/>
        </w:rPr>
        <w:br/>
        <w:t> </w:t>
      </w:r>
    </w:p>
    <w:p w:rsidR="00E37EEF" w:rsidRDefault="00E37EEF" w:rsidP="00E37EEF">
      <w:pPr>
        <w:pStyle w:val="Normlnweb"/>
        <w:ind w:left="543"/>
      </w:pPr>
      <w:proofErr w:type="spellStart"/>
      <w:r>
        <w:rPr>
          <w:rStyle w:val="Siln"/>
        </w:rPr>
        <w:t>Čtyřosé</w:t>
      </w:r>
      <w:proofErr w:type="spellEnd"/>
      <w:r>
        <w:rPr>
          <w:rStyle w:val="Siln"/>
        </w:rPr>
        <w:t xml:space="preserve"> vagóny typu </w:t>
      </w:r>
      <w:proofErr w:type="spellStart"/>
      <w:r>
        <w:rPr>
          <w:rStyle w:val="Siln"/>
        </w:rPr>
        <w:t>Ea</w:t>
      </w:r>
      <w:proofErr w:type="spellEnd"/>
      <w:r>
        <w:rPr>
          <w:rStyle w:val="Siln"/>
        </w:rPr>
        <w:t xml:space="preserve">: </w:t>
      </w:r>
    </w:p>
    <w:p w:rsidR="00E37EEF" w:rsidRDefault="00E37EEF" w:rsidP="00E37EEF">
      <w:pPr>
        <w:pStyle w:val="Normlnweb"/>
        <w:ind w:left="543"/>
        <w:jc w:val="both"/>
      </w:pPr>
      <w:r>
        <w:t xml:space="preserve">- v případě nevytížení </w:t>
      </w:r>
      <w:r>
        <w:rPr>
          <w:rStyle w:val="Siln"/>
        </w:rPr>
        <w:t xml:space="preserve">( </w:t>
      </w:r>
      <w:proofErr w:type="spellStart"/>
      <w:r>
        <w:rPr>
          <w:rStyle w:val="Siln"/>
        </w:rPr>
        <w:t>čtyřosé</w:t>
      </w:r>
      <w:proofErr w:type="spellEnd"/>
      <w:r>
        <w:rPr>
          <w:rStyle w:val="Siln"/>
        </w:rPr>
        <w:t xml:space="preserve"> vagony </w:t>
      </w:r>
      <w:proofErr w:type="spellStart"/>
      <w:r>
        <w:rPr>
          <w:rStyle w:val="Siln"/>
        </w:rPr>
        <w:t>Ea</w:t>
      </w:r>
      <w:proofErr w:type="spellEnd"/>
      <w:r>
        <w:rPr>
          <w:rStyle w:val="Siln"/>
        </w:rPr>
        <w:t xml:space="preserve"> s ložnou délkou pod </w:t>
      </w:r>
      <w:proofErr w:type="gramStart"/>
      <w:r>
        <w:rPr>
          <w:rStyle w:val="Siln"/>
        </w:rPr>
        <w:t>14 m ) méně</w:t>
      </w:r>
      <w:proofErr w:type="gramEnd"/>
      <w:r>
        <w:rPr>
          <w:rStyle w:val="Siln"/>
        </w:rPr>
        <w:t xml:space="preserve"> než</w:t>
      </w:r>
      <w:r>
        <w:t xml:space="preserve"> </w:t>
      </w:r>
      <w:r>
        <w:rPr>
          <w:rStyle w:val="Siln"/>
        </w:rPr>
        <w:t>64</w:t>
      </w:r>
      <w:r>
        <w:t xml:space="preserve"> </w:t>
      </w:r>
      <w:proofErr w:type="spellStart"/>
      <w:r>
        <w:rPr>
          <w:rStyle w:val="Siln"/>
        </w:rPr>
        <w:t>prm</w:t>
      </w:r>
      <w:proofErr w:type="spellEnd"/>
      <w:r>
        <w:t xml:space="preserve"> (změřené „</w:t>
      </w:r>
      <w:proofErr w:type="spellStart"/>
      <w:r>
        <w:t>prm</w:t>
      </w:r>
      <w:proofErr w:type="spellEnd"/>
      <w:r>
        <w:t xml:space="preserve">“ po matematickém zaokrouhlení) nebo v případě nevytížení </w:t>
      </w:r>
      <w:r>
        <w:rPr>
          <w:rStyle w:val="Siln"/>
        </w:rPr>
        <w:t xml:space="preserve">( </w:t>
      </w:r>
      <w:proofErr w:type="spellStart"/>
      <w:r>
        <w:rPr>
          <w:rStyle w:val="Siln"/>
        </w:rPr>
        <w:t>čtyřosé</w:t>
      </w:r>
      <w:proofErr w:type="spellEnd"/>
      <w:r>
        <w:rPr>
          <w:rStyle w:val="Siln"/>
        </w:rPr>
        <w:t xml:space="preserve"> vagony </w:t>
      </w:r>
      <w:proofErr w:type="spellStart"/>
      <w:r>
        <w:rPr>
          <w:rStyle w:val="Siln"/>
        </w:rPr>
        <w:t>Ea</w:t>
      </w:r>
      <w:proofErr w:type="spellEnd"/>
      <w:r>
        <w:rPr>
          <w:rStyle w:val="Siln"/>
        </w:rPr>
        <w:t xml:space="preserve"> s ložnou délkou nad 14 m ) </w:t>
      </w:r>
      <w:r>
        <w:t xml:space="preserve">méně než </w:t>
      </w:r>
      <w:r>
        <w:rPr>
          <w:rStyle w:val="Siln"/>
        </w:rPr>
        <w:t>74</w:t>
      </w:r>
      <w:r>
        <w:t xml:space="preserve"> </w:t>
      </w:r>
      <w:proofErr w:type="spellStart"/>
      <w:r>
        <w:rPr>
          <w:rStyle w:val="Siln"/>
        </w:rPr>
        <w:t>prm</w:t>
      </w:r>
      <w:proofErr w:type="spellEnd"/>
      <w:r>
        <w:t xml:space="preserve"> (změřené „</w:t>
      </w:r>
      <w:proofErr w:type="spellStart"/>
      <w:r>
        <w:t>prm</w:t>
      </w:r>
      <w:proofErr w:type="spellEnd"/>
      <w:r>
        <w:t>“ po matematickém zaokrouhlení) bude dále uplatněna srážka za nevytížení dle „</w:t>
      </w:r>
      <w:proofErr w:type="spellStart"/>
      <w:r>
        <w:rPr>
          <w:rStyle w:val="Siln"/>
        </w:rPr>
        <w:t>At</w:t>
      </w:r>
      <w:proofErr w:type="spellEnd"/>
      <w:r>
        <w:t xml:space="preserve"> “ následovně:</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18 </w:t>
      </w:r>
      <w:proofErr w:type="spellStart"/>
      <w:r w:rsidRPr="00E37EEF">
        <w:rPr>
          <w:rStyle w:val="Siln"/>
          <w:sz w:val="22"/>
          <w:szCs w:val="22"/>
        </w:rPr>
        <w:t>At</w:t>
      </w:r>
      <w:proofErr w:type="spellEnd"/>
      <w:r w:rsidRPr="00E37EEF">
        <w:rPr>
          <w:sz w:val="22"/>
          <w:szCs w:val="22"/>
        </w:rPr>
        <w:t xml:space="preserve"> (do 17,99 </w:t>
      </w:r>
      <w:proofErr w:type="spellStart"/>
      <w:r w:rsidRPr="00E37EEF">
        <w:rPr>
          <w:sz w:val="22"/>
          <w:szCs w:val="22"/>
        </w:rPr>
        <w:t>At</w:t>
      </w:r>
      <w:proofErr w:type="spellEnd"/>
      <w:r w:rsidRPr="00E37EEF">
        <w:rPr>
          <w:sz w:val="22"/>
          <w:szCs w:val="22"/>
        </w:rPr>
        <w:t xml:space="preserve"> včetně) bude u příslušného vagónu účtovaná</w:t>
      </w:r>
      <w:r w:rsidRPr="00E37EEF">
        <w:rPr>
          <w:rStyle w:val="Siln"/>
          <w:sz w:val="22"/>
          <w:szCs w:val="22"/>
        </w:rPr>
        <w:t xml:space="preserve"> srážka 300,- Kč</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17 </w:t>
      </w:r>
      <w:proofErr w:type="spellStart"/>
      <w:r w:rsidRPr="00E37EEF">
        <w:rPr>
          <w:rStyle w:val="Siln"/>
          <w:sz w:val="22"/>
          <w:szCs w:val="22"/>
        </w:rPr>
        <w:t>At</w:t>
      </w:r>
      <w:proofErr w:type="spellEnd"/>
      <w:r w:rsidRPr="00E37EEF">
        <w:rPr>
          <w:sz w:val="22"/>
          <w:szCs w:val="22"/>
        </w:rPr>
        <w:t xml:space="preserve"> (do 16,99 </w:t>
      </w:r>
      <w:proofErr w:type="spellStart"/>
      <w:r w:rsidRPr="00E37EEF">
        <w:rPr>
          <w:sz w:val="22"/>
          <w:szCs w:val="22"/>
        </w:rPr>
        <w:t>At</w:t>
      </w:r>
      <w:proofErr w:type="spellEnd"/>
      <w:r w:rsidRPr="00E37EEF">
        <w:rPr>
          <w:sz w:val="22"/>
          <w:szCs w:val="22"/>
        </w:rPr>
        <w:t xml:space="preserve"> včetně) bude u příslušného vagónu účtovaná</w:t>
      </w:r>
      <w:r w:rsidRPr="00E37EEF">
        <w:rPr>
          <w:rStyle w:val="Siln"/>
          <w:sz w:val="22"/>
          <w:szCs w:val="22"/>
        </w:rPr>
        <w:t xml:space="preserve"> srážka 800,- Kč</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16 </w:t>
      </w:r>
      <w:proofErr w:type="spellStart"/>
      <w:r w:rsidRPr="00E37EEF">
        <w:rPr>
          <w:rStyle w:val="Siln"/>
          <w:sz w:val="22"/>
          <w:szCs w:val="22"/>
        </w:rPr>
        <w:t>At</w:t>
      </w:r>
      <w:proofErr w:type="spellEnd"/>
      <w:r w:rsidRPr="00E37EEF">
        <w:rPr>
          <w:sz w:val="22"/>
          <w:szCs w:val="22"/>
        </w:rPr>
        <w:t xml:space="preserve"> (do 15,99 </w:t>
      </w:r>
      <w:proofErr w:type="spellStart"/>
      <w:r w:rsidRPr="00E37EEF">
        <w:rPr>
          <w:sz w:val="22"/>
          <w:szCs w:val="22"/>
        </w:rPr>
        <w:t>At</w:t>
      </w:r>
      <w:proofErr w:type="spellEnd"/>
      <w:r w:rsidRPr="00E37EEF">
        <w:rPr>
          <w:sz w:val="22"/>
          <w:szCs w:val="22"/>
        </w:rPr>
        <w:t xml:space="preserve"> včetně) bude u příslušného vagónu účtovaná</w:t>
      </w:r>
      <w:r w:rsidRPr="00E37EEF">
        <w:rPr>
          <w:rStyle w:val="Siln"/>
          <w:sz w:val="22"/>
          <w:szCs w:val="22"/>
        </w:rPr>
        <w:t xml:space="preserve"> srážka 1280,- Kč</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15 </w:t>
      </w:r>
      <w:proofErr w:type="spellStart"/>
      <w:r w:rsidRPr="00E37EEF">
        <w:rPr>
          <w:rStyle w:val="Siln"/>
          <w:sz w:val="22"/>
          <w:szCs w:val="22"/>
        </w:rPr>
        <w:t>At</w:t>
      </w:r>
      <w:proofErr w:type="spellEnd"/>
      <w:r w:rsidRPr="00E37EEF">
        <w:rPr>
          <w:sz w:val="22"/>
          <w:szCs w:val="22"/>
        </w:rPr>
        <w:t xml:space="preserve"> (do 14,99 </w:t>
      </w:r>
      <w:proofErr w:type="spellStart"/>
      <w:r w:rsidRPr="00E37EEF">
        <w:rPr>
          <w:sz w:val="22"/>
          <w:szCs w:val="22"/>
        </w:rPr>
        <w:t>At</w:t>
      </w:r>
      <w:proofErr w:type="spellEnd"/>
      <w:r w:rsidRPr="00E37EEF">
        <w:rPr>
          <w:sz w:val="22"/>
          <w:szCs w:val="22"/>
        </w:rPr>
        <w:t xml:space="preserve"> včetně) bude u příslušného vagónu účtovaná</w:t>
      </w:r>
      <w:r w:rsidRPr="00E37EEF">
        <w:rPr>
          <w:rStyle w:val="Siln"/>
          <w:sz w:val="22"/>
          <w:szCs w:val="22"/>
        </w:rPr>
        <w:t xml:space="preserve"> srážka 1750,- Kč</w:t>
      </w:r>
    </w:p>
    <w:p w:rsidR="00E37EEF" w:rsidRPr="00E37EEF" w:rsidRDefault="00E37EEF" w:rsidP="00E37EEF">
      <w:pPr>
        <w:pStyle w:val="Normlnweb"/>
        <w:ind w:left="543"/>
        <w:rPr>
          <w:sz w:val="22"/>
          <w:szCs w:val="22"/>
        </w:rPr>
      </w:pPr>
      <w:r w:rsidRPr="00E37EEF">
        <w:rPr>
          <w:sz w:val="22"/>
          <w:szCs w:val="22"/>
        </w:rPr>
        <w:lastRenderedPageBreak/>
        <w:t xml:space="preserve">- v případě nevytížení pod </w:t>
      </w:r>
      <w:r w:rsidRPr="00E37EEF">
        <w:rPr>
          <w:rStyle w:val="Siln"/>
          <w:sz w:val="22"/>
          <w:szCs w:val="22"/>
        </w:rPr>
        <w:t xml:space="preserve">14 </w:t>
      </w:r>
      <w:proofErr w:type="spellStart"/>
      <w:r w:rsidRPr="00E37EEF">
        <w:rPr>
          <w:rStyle w:val="Siln"/>
          <w:sz w:val="22"/>
          <w:szCs w:val="22"/>
        </w:rPr>
        <w:t>At</w:t>
      </w:r>
      <w:proofErr w:type="spellEnd"/>
      <w:r w:rsidRPr="00E37EEF">
        <w:rPr>
          <w:sz w:val="22"/>
          <w:szCs w:val="22"/>
        </w:rPr>
        <w:t xml:space="preserve"> (do 13,99 </w:t>
      </w:r>
      <w:proofErr w:type="spellStart"/>
      <w:r w:rsidRPr="00E37EEF">
        <w:rPr>
          <w:sz w:val="22"/>
          <w:szCs w:val="22"/>
        </w:rPr>
        <w:t>At</w:t>
      </w:r>
      <w:proofErr w:type="spellEnd"/>
      <w:r w:rsidRPr="00E37EEF">
        <w:rPr>
          <w:sz w:val="22"/>
          <w:szCs w:val="22"/>
        </w:rPr>
        <w:t xml:space="preserve"> včetně) bude u příslušného vagónu účtovaná</w:t>
      </w:r>
      <w:r w:rsidRPr="00E37EEF">
        <w:rPr>
          <w:rStyle w:val="Siln"/>
          <w:sz w:val="22"/>
          <w:szCs w:val="22"/>
        </w:rPr>
        <w:t xml:space="preserve"> srážka 2400,- Kč</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13 </w:t>
      </w:r>
      <w:proofErr w:type="spellStart"/>
      <w:r w:rsidRPr="00E37EEF">
        <w:rPr>
          <w:rStyle w:val="Siln"/>
          <w:sz w:val="22"/>
          <w:szCs w:val="22"/>
        </w:rPr>
        <w:t>At</w:t>
      </w:r>
      <w:proofErr w:type="spellEnd"/>
      <w:r w:rsidRPr="00E37EEF">
        <w:rPr>
          <w:sz w:val="22"/>
          <w:szCs w:val="22"/>
        </w:rPr>
        <w:t xml:space="preserve"> (do 12,99 </w:t>
      </w:r>
      <w:proofErr w:type="spellStart"/>
      <w:r w:rsidRPr="00E37EEF">
        <w:rPr>
          <w:sz w:val="22"/>
          <w:szCs w:val="22"/>
        </w:rPr>
        <w:t>At</w:t>
      </w:r>
      <w:proofErr w:type="spellEnd"/>
      <w:r w:rsidRPr="00E37EEF">
        <w:rPr>
          <w:sz w:val="22"/>
          <w:szCs w:val="22"/>
        </w:rPr>
        <w:t xml:space="preserve"> včetně) bude u příslušného vagónu účtovaná</w:t>
      </w:r>
      <w:r w:rsidRPr="00E37EEF">
        <w:rPr>
          <w:rStyle w:val="Siln"/>
          <w:sz w:val="22"/>
          <w:szCs w:val="22"/>
        </w:rPr>
        <w:t xml:space="preserve"> srážka 2900,- Kč</w:t>
      </w:r>
    </w:p>
    <w:p w:rsidR="00E37EEF" w:rsidRPr="00E37EEF" w:rsidRDefault="00E37EEF" w:rsidP="00E37EEF">
      <w:pPr>
        <w:pStyle w:val="Normlnweb"/>
        <w:ind w:left="543"/>
        <w:jc w:val="both"/>
        <w:rPr>
          <w:sz w:val="22"/>
          <w:szCs w:val="22"/>
        </w:rPr>
      </w:pPr>
      <w:r w:rsidRPr="00E37EEF">
        <w:rPr>
          <w:sz w:val="22"/>
          <w:szCs w:val="22"/>
        </w:rPr>
        <w:t xml:space="preserve">- v případě  </w:t>
      </w:r>
      <w:r w:rsidRPr="00E37EEF">
        <w:rPr>
          <w:rStyle w:val="Siln"/>
          <w:sz w:val="22"/>
          <w:szCs w:val="22"/>
        </w:rPr>
        <w:t>vytížení</w:t>
      </w:r>
      <w:r w:rsidRPr="00E37EEF">
        <w:rPr>
          <w:sz w:val="22"/>
          <w:szCs w:val="22"/>
        </w:rPr>
        <w:t xml:space="preserve"> </w:t>
      </w:r>
      <w:r w:rsidRPr="00E37EEF">
        <w:rPr>
          <w:rStyle w:val="Siln"/>
          <w:sz w:val="22"/>
          <w:szCs w:val="22"/>
        </w:rPr>
        <w:t>(</w:t>
      </w:r>
      <w:r w:rsidRPr="00E37EEF">
        <w:rPr>
          <w:sz w:val="22"/>
          <w:szCs w:val="22"/>
        </w:rPr>
        <w:t xml:space="preserve"> </w:t>
      </w:r>
      <w:proofErr w:type="spellStart"/>
      <w:r w:rsidRPr="00E37EEF">
        <w:rPr>
          <w:sz w:val="22"/>
          <w:szCs w:val="22"/>
        </w:rPr>
        <w:t>čtyřosé</w:t>
      </w:r>
      <w:proofErr w:type="spellEnd"/>
      <w:r w:rsidRPr="00E37EEF">
        <w:rPr>
          <w:sz w:val="22"/>
          <w:szCs w:val="22"/>
        </w:rPr>
        <w:t xml:space="preserve"> vagony </w:t>
      </w:r>
      <w:proofErr w:type="spellStart"/>
      <w:r w:rsidRPr="00E37EEF">
        <w:rPr>
          <w:sz w:val="22"/>
          <w:szCs w:val="22"/>
        </w:rPr>
        <w:t>Ea</w:t>
      </w:r>
      <w:proofErr w:type="spellEnd"/>
      <w:r w:rsidRPr="00E37EEF">
        <w:rPr>
          <w:sz w:val="22"/>
          <w:szCs w:val="22"/>
        </w:rPr>
        <w:t xml:space="preserve"> s ložnou délkou pod 14 m kromě řady </w:t>
      </w:r>
      <w:proofErr w:type="spellStart"/>
      <w:r w:rsidRPr="00E37EEF">
        <w:rPr>
          <w:sz w:val="22"/>
          <w:szCs w:val="22"/>
        </w:rPr>
        <w:t>Ealos</w:t>
      </w:r>
      <w:proofErr w:type="spellEnd"/>
      <w:r w:rsidRPr="00E37EEF">
        <w:rPr>
          <w:sz w:val="22"/>
          <w:szCs w:val="22"/>
        </w:rPr>
        <w:t xml:space="preserve"> 3180* a 3780*)  více než  </w:t>
      </w:r>
      <w:r w:rsidRPr="00E37EEF">
        <w:rPr>
          <w:rStyle w:val="Siln"/>
          <w:sz w:val="22"/>
          <w:szCs w:val="22"/>
        </w:rPr>
        <w:t xml:space="preserve">72  </w:t>
      </w:r>
      <w:proofErr w:type="spellStart"/>
      <w:r w:rsidRPr="00E37EEF">
        <w:rPr>
          <w:rStyle w:val="Siln"/>
          <w:sz w:val="22"/>
          <w:szCs w:val="22"/>
        </w:rPr>
        <w:t>prm</w:t>
      </w:r>
      <w:proofErr w:type="spellEnd"/>
      <w:r w:rsidRPr="00E37EEF">
        <w:rPr>
          <w:sz w:val="22"/>
          <w:szCs w:val="22"/>
        </w:rPr>
        <w:t>    (změřené „</w:t>
      </w:r>
      <w:proofErr w:type="spellStart"/>
      <w:r w:rsidRPr="00E37EEF">
        <w:rPr>
          <w:sz w:val="22"/>
          <w:szCs w:val="22"/>
        </w:rPr>
        <w:t>prm</w:t>
      </w:r>
      <w:proofErr w:type="spellEnd"/>
      <w:r w:rsidRPr="00E37EEF">
        <w:rPr>
          <w:sz w:val="22"/>
          <w:szCs w:val="22"/>
        </w:rPr>
        <w:t xml:space="preserve">“ po matematickém zaokrouhlení),  v případě </w:t>
      </w:r>
      <w:r w:rsidRPr="00E37EEF">
        <w:rPr>
          <w:rStyle w:val="Siln"/>
          <w:sz w:val="22"/>
          <w:szCs w:val="22"/>
        </w:rPr>
        <w:t>vytížení</w:t>
      </w:r>
      <w:r w:rsidRPr="00E37EEF">
        <w:rPr>
          <w:sz w:val="22"/>
          <w:szCs w:val="22"/>
        </w:rPr>
        <w:t xml:space="preserve"> ( </w:t>
      </w:r>
      <w:proofErr w:type="spellStart"/>
      <w:r w:rsidRPr="00E37EEF">
        <w:rPr>
          <w:sz w:val="22"/>
          <w:szCs w:val="22"/>
        </w:rPr>
        <w:t>čtyřosé</w:t>
      </w:r>
      <w:proofErr w:type="spellEnd"/>
      <w:r w:rsidRPr="00E37EEF">
        <w:rPr>
          <w:sz w:val="22"/>
          <w:szCs w:val="22"/>
        </w:rPr>
        <w:t xml:space="preserve"> vagony </w:t>
      </w:r>
      <w:proofErr w:type="spellStart"/>
      <w:r w:rsidRPr="00E37EEF">
        <w:rPr>
          <w:sz w:val="22"/>
          <w:szCs w:val="22"/>
        </w:rPr>
        <w:t>Ealos</w:t>
      </w:r>
      <w:proofErr w:type="spellEnd"/>
      <w:r w:rsidRPr="00E37EEF">
        <w:rPr>
          <w:sz w:val="22"/>
          <w:szCs w:val="22"/>
        </w:rPr>
        <w:t xml:space="preserve"> 3180* a 3780* s ložnou délkou pod 14 m) více než </w:t>
      </w:r>
      <w:r w:rsidRPr="00E37EEF">
        <w:rPr>
          <w:rStyle w:val="Siln"/>
          <w:sz w:val="22"/>
          <w:szCs w:val="22"/>
        </w:rPr>
        <w:t xml:space="preserve"> 82 </w:t>
      </w:r>
      <w:proofErr w:type="spellStart"/>
      <w:r w:rsidRPr="00E37EEF">
        <w:rPr>
          <w:rStyle w:val="Siln"/>
          <w:sz w:val="22"/>
          <w:szCs w:val="22"/>
        </w:rPr>
        <w:t>prm</w:t>
      </w:r>
      <w:proofErr w:type="spellEnd"/>
      <w:r w:rsidRPr="00E37EEF">
        <w:rPr>
          <w:sz w:val="22"/>
          <w:szCs w:val="22"/>
        </w:rPr>
        <w:t xml:space="preserve"> a v případě </w:t>
      </w:r>
      <w:r w:rsidRPr="00E37EEF">
        <w:rPr>
          <w:rStyle w:val="Siln"/>
          <w:sz w:val="22"/>
          <w:szCs w:val="22"/>
        </w:rPr>
        <w:t>vytížen</w:t>
      </w:r>
      <w:r w:rsidRPr="00E37EEF">
        <w:rPr>
          <w:sz w:val="22"/>
          <w:szCs w:val="22"/>
        </w:rPr>
        <w:t xml:space="preserve">í ( </w:t>
      </w:r>
      <w:proofErr w:type="spellStart"/>
      <w:r w:rsidRPr="00E37EEF">
        <w:rPr>
          <w:sz w:val="22"/>
          <w:szCs w:val="22"/>
        </w:rPr>
        <w:t>čtyřosé</w:t>
      </w:r>
      <w:proofErr w:type="spellEnd"/>
      <w:r w:rsidRPr="00E37EEF">
        <w:rPr>
          <w:sz w:val="22"/>
          <w:szCs w:val="22"/>
        </w:rPr>
        <w:t xml:space="preserve"> vagony </w:t>
      </w:r>
      <w:proofErr w:type="spellStart"/>
      <w:r w:rsidRPr="00E37EEF">
        <w:rPr>
          <w:sz w:val="22"/>
          <w:szCs w:val="22"/>
        </w:rPr>
        <w:t>Ea</w:t>
      </w:r>
      <w:proofErr w:type="spellEnd"/>
      <w:r w:rsidRPr="00E37EEF">
        <w:rPr>
          <w:sz w:val="22"/>
          <w:szCs w:val="22"/>
        </w:rPr>
        <w:t xml:space="preserve"> s ložnou délkou &gt; </w:t>
      </w:r>
      <w:proofErr w:type="gramStart"/>
      <w:r w:rsidRPr="00E37EEF">
        <w:rPr>
          <w:sz w:val="22"/>
          <w:szCs w:val="22"/>
        </w:rPr>
        <w:t>14 m ) více</w:t>
      </w:r>
      <w:proofErr w:type="gramEnd"/>
      <w:r w:rsidRPr="00E37EEF">
        <w:rPr>
          <w:sz w:val="22"/>
          <w:szCs w:val="22"/>
        </w:rPr>
        <w:t xml:space="preserve"> než </w:t>
      </w:r>
      <w:r w:rsidRPr="00E37EEF">
        <w:rPr>
          <w:rStyle w:val="Siln"/>
          <w:sz w:val="22"/>
          <w:szCs w:val="22"/>
        </w:rPr>
        <w:t xml:space="preserve">84 </w:t>
      </w:r>
      <w:proofErr w:type="spellStart"/>
      <w:r w:rsidRPr="00E37EEF">
        <w:rPr>
          <w:rStyle w:val="Siln"/>
          <w:sz w:val="22"/>
          <w:szCs w:val="22"/>
        </w:rPr>
        <w:t>prm</w:t>
      </w:r>
      <w:proofErr w:type="spellEnd"/>
      <w:r w:rsidRPr="00E37EEF">
        <w:rPr>
          <w:sz w:val="22"/>
          <w:szCs w:val="22"/>
        </w:rPr>
        <w:t xml:space="preserve"> bude u  příslušného vagónu účtovaná </w:t>
      </w:r>
      <w:r w:rsidRPr="00E37EEF">
        <w:rPr>
          <w:rStyle w:val="Siln"/>
          <w:sz w:val="22"/>
          <w:szCs w:val="22"/>
        </w:rPr>
        <w:t>prémie  1400,- Kč</w:t>
      </w:r>
    </w:p>
    <w:p w:rsidR="00E37EEF" w:rsidRDefault="00E37EEF" w:rsidP="00E37EEF">
      <w:pPr>
        <w:pStyle w:val="Normlnweb"/>
        <w:ind w:left="543"/>
      </w:pPr>
      <w:r>
        <w:rPr>
          <w:rStyle w:val="Siln"/>
        </w:rPr>
        <w:t>Dvouosý vagón typu Es</w:t>
      </w:r>
    </w:p>
    <w:p w:rsidR="00E37EEF" w:rsidRPr="00E37EEF" w:rsidRDefault="00E37EEF" w:rsidP="00E37EEF">
      <w:pPr>
        <w:pStyle w:val="Normlnweb"/>
        <w:ind w:left="543"/>
        <w:rPr>
          <w:sz w:val="22"/>
          <w:szCs w:val="22"/>
        </w:rPr>
      </w:pPr>
      <w:r w:rsidRPr="00E37EEF">
        <w:rPr>
          <w:sz w:val="22"/>
          <w:szCs w:val="22"/>
        </w:rPr>
        <w:t xml:space="preserve">- v případě nevytížení pod </w:t>
      </w:r>
      <w:r w:rsidRPr="00E37EEF">
        <w:rPr>
          <w:rStyle w:val="Siln"/>
          <w:sz w:val="22"/>
          <w:szCs w:val="22"/>
        </w:rPr>
        <w:t xml:space="preserve">9 </w:t>
      </w:r>
      <w:proofErr w:type="spellStart"/>
      <w:r w:rsidRPr="00E37EEF">
        <w:rPr>
          <w:rStyle w:val="Siln"/>
          <w:sz w:val="22"/>
          <w:szCs w:val="22"/>
        </w:rPr>
        <w:t>At</w:t>
      </w:r>
      <w:proofErr w:type="spellEnd"/>
      <w:r w:rsidRPr="00E37EEF">
        <w:rPr>
          <w:sz w:val="22"/>
          <w:szCs w:val="22"/>
        </w:rPr>
        <w:t xml:space="preserve"> (do 8,99 </w:t>
      </w:r>
      <w:proofErr w:type="spellStart"/>
      <w:r w:rsidRPr="00E37EEF">
        <w:rPr>
          <w:sz w:val="22"/>
          <w:szCs w:val="22"/>
        </w:rPr>
        <w:t>At</w:t>
      </w:r>
      <w:proofErr w:type="spellEnd"/>
      <w:r w:rsidRPr="00E37EEF">
        <w:rPr>
          <w:sz w:val="22"/>
          <w:szCs w:val="22"/>
        </w:rPr>
        <w:t xml:space="preserve"> včetně) bude u příslušného vagónu účtovaná </w:t>
      </w:r>
      <w:r w:rsidRPr="00E37EEF">
        <w:rPr>
          <w:rStyle w:val="Siln"/>
          <w:sz w:val="22"/>
          <w:szCs w:val="22"/>
        </w:rPr>
        <w:t>srážka 800 Kč</w:t>
      </w:r>
      <w:r w:rsidRPr="00E37EEF">
        <w:rPr>
          <w:sz w:val="22"/>
          <w:szCs w:val="22"/>
        </w:rPr>
        <w:br/>
      </w:r>
    </w:p>
    <w:p w:rsidR="00E37EEF" w:rsidRDefault="00E37EEF" w:rsidP="00E37EEF">
      <w:pPr>
        <w:pStyle w:val="Normlnweb"/>
      </w:pPr>
      <w:r>
        <w:t>Objem dřevní hmoty v jednotce „</w:t>
      </w:r>
      <w:proofErr w:type="spellStart"/>
      <w:r>
        <w:t>At</w:t>
      </w:r>
      <w:proofErr w:type="spellEnd"/>
      <w:r>
        <w:t>“ a „</w:t>
      </w:r>
      <w:proofErr w:type="spellStart"/>
      <w:r>
        <w:t>prm</w:t>
      </w:r>
      <w:proofErr w:type="spellEnd"/>
      <w:r>
        <w:t>“ se rozumí změřený objem v </w:t>
      </w:r>
      <w:proofErr w:type="spellStart"/>
      <w:r>
        <w:t>Atrotunách</w:t>
      </w:r>
      <w:proofErr w:type="spellEnd"/>
      <w:r>
        <w:t xml:space="preserve"> a prostorových metrech provedený společností Nezávislá přejímka s.r.o. v Mondi </w:t>
      </w:r>
      <w:proofErr w:type="spellStart"/>
      <w:r>
        <w:t>Štětí</w:t>
      </w:r>
      <w:proofErr w:type="spellEnd"/>
      <w:r>
        <w:t>.</w:t>
      </w:r>
    </w:p>
    <w:p w:rsidR="00E37EEF" w:rsidRDefault="00E37EEF" w:rsidP="00E37EEF">
      <w:pPr>
        <w:pStyle w:val="Normlnweb"/>
        <w:jc w:val="both"/>
      </w:pPr>
      <w:r>
        <w:t>Prémie  a srážky budou vyúčtovány následující měsíc po měsíci, ve kterém je datum přejímky provedené osobou pověřenou prováděním přejímky u finálního odběratele. Smluvní strany se dále dohodly, že datem uskutečněného zdanitelného plnění (DUZP) bude datum přejímky nebo datum vystavení faktury.</w:t>
      </w:r>
      <w:r>
        <w:br/>
        <w:t xml:space="preserve"> Dodávky po železnici ve vagonech Ros, </w:t>
      </w:r>
      <w:proofErr w:type="spellStart"/>
      <w:r>
        <w:t>Roos</w:t>
      </w:r>
      <w:proofErr w:type="spellEnd"/>
      <w:r>
        <w:t xml:space="preserve">, </w:t>
      </w:r>
      <w:proofErr w:type="spellStart"/>
      <w:r>
        <w:t>Sps</w:t>
      </w:r>
      <w:proofErr w:type="spellEnd"/>
      <w:r>
        <w:t xml:space="preserve">, </w:t>
      </w:r>
      <w:proofErr w:type="spellStart"/>
      <w:r>
        <w:t>Rns</w:t>
      </w:r>
      <w:proofErr w:type="spellEnd"/>
      <w:r>
        <w:t xml:space="preserve">-z, </w:t>
      </w:r>
      <w:proofErr w:type="spellStart"/>
      <w:r>
        <w:t>Rnoos</w:t>
      </w:r>
      <w:proofErr w:type="spellEnd"/>
      <w:r>
        <w:t xml:space="preserve">-z, </w:t>
      </w:r>
      <w:proofErr w:type="spellStart"/>
      <w:r>
        <w:t>Snps</w:t>
      </w:r>
      <w:proofErr w:type="spellEnd"/>
      <w:r>
        <w:t xml:space="preserve"> je možné realizovat pouze po předchozí domluvě mezi smluvními stranami. </w:t>
      </w:r>
    </w:p>
    <w:p w:rsidR="00E37EEF" w:rsidRDefault="00E37EEF" w:rsidP="00E37EEF">
      <w:pPr>
        <w:pStyle w:val="Normlnweb"/>
      </w:pPr>
      <w:r>
        <w:rPr>
          <w:rStyle w:val="Siln"/>
        </w:rPr>
        <w:t>6. Zvláštní ustanovení:</w:t>
      </w:r>
    </w:p>
    <w:p w:rsidR="00E37EEF" w:rsidRDefault="00E37EEF" w:rsidP="00E37EEF">
      <w:pPr>
        <w:pStyle w:val="Normlnweb"/>
        <w:numPr>
          <w:ilvl w:val="0"/>
          <w:numId w:val="21"/>
        </w:numPr>
        <w:jc w:val="both"/>
      </w:pPr>
      <w: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rsidR="00E37EEF" w:rsidRDefault="00E37EEF" w:rsidP="00E37EEF">
      <w:pPr>
        <w:pStyle w:val="Normlnweb"/>
        <w:numPr>
          <w:ilvl w:val="0"/>
          <w:numId w:val="21"/>
        </w:numPr>
        <w:jc w:val="both"/>
      </w:pPr>
      <w:r>
        <w:t>Obdobně platí, že pokud kupující poruší povinnost stanovenou mu v obsahu odstavce "Povinnosti smluvních stran", jedná se o podstatné porušení této smlouvy a prodávající je oprávněn  v  těchto případech  od  smlouvy  odstoupit  dnem  doručení oznámení o odstoupení kupujícímu.</w:t>
      </w:r>
    </w:p>
    <w:p w:rsidR="00E37EEF" w:rsidRDefault="00E37EEF" w:rsidP="00E37EEF">
      <w:pPr>
        <w:pStyle w:val="Normlnweb"/>
        <w:numPr>
          <w:ilvl w:val="0"/>
          <w:numId w:val="21"/>
        </w:numPr>
        <w:jc w:val="both"/>
      </w:pPr>
      <w:r>
        <w:t>Smluvní strany sjednávají účinky odstoupení od této smlouvy tak, že odstoupením od smlouvy se závazek ruší ke dni účinnosti odstoupení.</w:t>
      </w:r>
    </w:p>
    <w:p w:rsidR="00E37EEF" w:rsidRDefault="00E37EEF" w:rsidP="00E37EEF">
      <w:pPr>
        <w:pStyle w:val="Normlnweb"/>
        <w:numPr>
          <w:ilvl w:val="0"/>
          <w:numId w:val="21"/>
        </w:numPr>
        <w:jc w:val="both"/>
      </w:pPr>
      <w:r>
        <w:t xml:space="preserve">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w:t>
      </w:r>
      <w:proofErr w:type="gramStart"/>
      <w:r>
        <w:t>zákoníku.WOOD</w:t>
      </w:r>
      <w:proofErr w:type="gramEnd"/>
      <w:r>
        <w:t xml:space="preserve">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 </w:t>
      </w:r>
    </w:p>
    <w:p w:rsidR="00E37EEF" w:rsidRDefault="00E37EEF" w:rsidP="00E37EEF">
      <w:pPr>
        <w:pStyle w:val="Normlnweb"/>
      </w:pPr>
      <w:r>
        <w:rPr>
          <w:rStyle w:val="Siln"/>
        </w:rPr>
        <w:t xml:space="preserve">7. Závěrečné ustanovení </w:t>
      </w:r>
    </w:p>
    <w:p w:rsidR="00E37EEF" w:rsidRDefault="00E37EEF" w:rsidP="00E37EEF">
      <w:pPr>
        <w:pStyle w:val="Normlnweb"/>
        <w:numPr>
          <w:ilvl w:val="0"/>
          <w:numId w:val="22"/>
        </w:numPr>
        <w:jc w:val="both"/>
      </w:pPr>
      <w:r>
        <w:t xml:space="preserve">Přílohou a nedílnou součástí této smlouvy jsou:  „Technické podmínky k dodávce dříví a štěpků Směrnice dodávek účinná od </w:t>
      </w:r>
      <w:proofErr w:type="gramStart"/>
      <w:r>
        <w:t>1.1.2017</w:t>
      </w:r>
      <w:proofErr w:type="gramEnd"/>
      <w:r>
        <w:t xml:space="preserve">“, „Pravidla a bezpečnostní pokyny pro dodavatele dřevní hmoty a </w:t>
      </w:r>
      <w:proofErr w:type="spellStart"/>
      <w:r>
        <w:t>biopaliva</w:t>
      </w:r>
      <w:proofErr w:type="spellEnd"/>
      <w:r>
        <w:t xml:space="preserve"> do Mondi </w:t>
      </w:r>
      <w:proofErr w:type="spellStart"/>
      <w:r>
        <w:t>Štětí</w:t>
      </w:r>
      <w:proofErr w:type="spellEnd"/>
      <w:r>
        <w:t xml:space="preserve"> a.s. platné od 1.1. 2017</w:t>
      </w:r>
      <w:r>
        <w:rPr>
          <w:rStyle w:val="Siln"/>
        </w:rPr>
        <w:t>“</w:t>
      </w:r>
      <w:r>
        <w:t xml:space="preserve">. Plné znění těchto dokumentů je na internetových stránkách </w:t>
      </w:r>
      <w:hyperlink r:id="rId7" w:history="1">
        <w:r>
          <w:rPr>
            <w:rStyle w:val="Hypertextovodkaz"/>
          </w:rPr>
          <w:t>www.wood-paper.cz</w:t>
        </w:r>
      </w:hyperlink>
      <w:r>
        <w:t xml:space="preserve"> Prodávající i kupující shodně prohlašují, že se s obsahy všech uvedených příloh seznámili, jejich obsah je jim znám a zavazují se jej v rozsahu obsahu této smlouvy dodržovat</w:t>
      </w:r>
    </w:p>
    <w:p w:rsidR="00E37EEF" w:rsidRDefault="00E37EEF" w:rsidP="00E37EEF">
      <w:pPr>
        <w:pStyle w:val="Normlnweb"/>
        <w:numPr>
          <w:ilvl w:val="0"/>
          <w:numId w:val="22"/>
        </w:numPr>
        <w:jc w:val="both"/>
      </w:pPr>
      <w:r>
        <w:lastRenderedPageBreak/>
        <w:t>Smlouva je vyhotovena ve dvou stejnopisech, z nichž každá strana obdrží po jednom vyhotovení. Smlouvu lze měnit či doplňovat pouze písemně, samostatně číslovanými dodatky potvrzenými oběma stranami.</w:t>
      </w:r>
    </w:p>
    <w:p w:rsidR="00E37EEF" w:rsidRDefault="00E37EEF" w:rsidP="00E37EEF">
      <w:pPr>
        <w:pStyle w:val="Normlnweb"/>
        <w:numPr>
          <w:ilvl w:val="0"/>
          <w:numId w:val="22"/>
        </w:numPr>
        <w:jc w:val="both"/>
      </w:pPr>
      <w:r>
        <w:t xml:space="preserve">Smlouva se uzavírá na období od </w:t>
      </w:r>
      <w:proofErr w:type="gramStart"/>
      <w:r>
        <w:t>1.1.2017</w:t>
      </w:r>
      <w:proofErr w:type="gramEnd"/>
      <w:r>
        <w:t xml:space="preserve"> do 31.12.2017.</w:t>
      </w:r>
    </w:p>
    <w:p w:rsidR="00E37EEF" w:rsidRDefault="00E37EEF" w:rsidP="00E37EEF">
      <w:pPr>
        <w:pStyle w:val="Normlnweb"/>
        <w:numPr>
          <w:ilvl w:val="0"/>
          <w:numId w:val="22"/>
        </w:numPr>
        <w:jc w:val="both"/>
      </w:pPr>
      <w:r>
        <w:t>Smluvní strany souhlasí se zasíláním obchodních sdělení a informací týkajících se vzájemné obchodní spolupráce elektronickou poštou.</w:t>
      </w:r>
    </w:p>
    <w:p w:rsidR="00E37EEF" w:rsidRDefault="00E37EEF" w:rsidP="00E37EEF">
      <w:pPr>
        <w:pStyle w:val="Normlnweb"/>
        <w:numPr>
          <w:ilvl w:val="0"/>
          <w:numId w:val="22"/>
        </w:numPr>
        <w:jc w:val="both"/>
      </w:pPr>
      <w:r>
        <w:t>Smluvní strany prohlašují, že se seznámily s obsahem této smlouvy, že tato byla uzavřena na základě jejich svobodné vůle, určitě, vážně a srozumitelně a nikoliv za nápadně nevýhodných podmínek</w:t>
      </w:r>
    </w:p>
    <w:p w:rsidR="00E37EEF" w:rsidRDefault="00E37EEF" w:rsidP="00E37EEF">
      <w:pPr>
        <w:pStyle w:val="Normlnweb"/>
      </w:pPr>
      <w:r>
        <w:t> </w:t>
      </w:r>
    </w:p>
    <w:p w:rsidR="00E37EEF" w:rsidRDefault="00E37EEF" w:rsidP="00E37EEF">
      <w:pPr>
        <w:pStyle w:val="Normlnweb"/>
      </w:pPr>
      <w:r>
        <w:t> </w:t>
      </w:r>
    </w:p>
    <w:p w:rsidR="00E37EEF" w:rsidRDefault="00E37EEF" w:rsidP="00E37EEF">
      <w:pPr>
        <w:pStyle w:val="Normlnweb"/>
      </w:pPr>
      <w:r>
        <w:t>Datum: 23. ledna 2017</w:t>
      </w:r>
    </w:p>
    <w:p w:rsidR="00E37EEF" w:rsidRDefault="00E37EEF" w:rsidP="00E37EEF">
      <w:pPr>
        <w:pStyle w:val="Normlnweb"/>
      </w:pPr>
      <w:r>
        <w:t> </w:t>
      </w:r>
    </w:p>
    <w:p w:rsidR="00E37EEF" w:rsidRDefault="00E37EEF" w:rsidP="00E37EEF">
      <w:pPr>
        <w:pStyle w:val="Normlnweb"/>
      </w:pPr>
      <w:r>
        <w:br/>
      </w:r>
      <w:r>
        <w:br/>
      </w:r>
      <w:r>
        <w:br/>
        <w:t> </w:t>
      </w:r>
    </w:p>
    <w:p w:rsidR="00E37EEF" w:rsidRDefault="00E37EEF" w:rsidP="00E37EEF">
      <w:pPr>
        <w:pStyle w:val="Normlnweb"/>
      </w:pPr>
      <w:r>
        <w:t> </w:t>
      </w:r>
    </w:p>
    <w:p w:rsidR="00E37EEF" w:rsidRDefault="00E37EEF" w:rsidP="00E37EEF">
      <w:pPr>
        <w:pStyle w:val="Normlnweb"/>
      </w:pPr>
      <w:r>
        <w:t> </w:t>
      </w:r>
    </w:p>
    <w:p w:rsidR="00E37EEF" w:rsidRDefault="00E37EEF" w:rsidP="00E37EEF">
      <w:pPr>
        <w:pStyle w:val="Normlnweb"/>
      </w:pPr>
      <w:r>
        <w:t>…………………………                                                                   …………………………</w:t>
      </w:r>
    </w:p>
    <w:p w:rsidR="00E37EEF" w:rsidRDefault="00E37EEF" w:rsidP="00E37EEF">
      <w:pPr>
        <w:pStyle w:val="Normlnweb"/>
      </w:pPr>
      <w:r>
        <w:t>         Prodávající                                                                                     Kupující</w:t>
      </w:r>
    </w:p>
    <w:p w:rsidR="002A1504" w:rsidRPr="00E37EEF" w:rsidRDefault="002A1504" w:rsidP="00E37EEF">
      <w:pPr>
        <w:rPr>
          <w:szCs w:val="24"/>
        </w:rPr>
      </w:pPr>
    </w:p>
    <w:sectPr w:rsidR="002A1504" w:rsidRPr="00E37EEF" w:rsidSect="00E37EE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4DD"/>
    <w:multiLevelType w:val="multilevel"/>
    <w:tmpl w:val="6F989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332A5"/>
    <w:multiLevelType w:val="multilevel"/>
    <w:tmpl w:val="686EDB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4A4847"/>
    <w:multiLevelType w:val="multilevel"/>
    <w:tmpl w:val="1F90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02C2F"/>
    <w:multiLevelType w:val="multilevel"/>
    <w:tmpl w:val="92C0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0B3CEC"/>
    <w:multiLevelType w:val="multilevel"/>
    <w:tmpl w:val="B5D0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501D19"/>
    <w:multiLevelType w:val="multilevel"/>
    <w:tmpl w:val="F9864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076C23"/>
    <w:multiLevelType w:val="multilevel"/>
    <w:tmpl w:val="79FC52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4E01A6"/>
    <w:multiLevelType w:val="multilevel"/>
    <w:tmpl w:val="FB0C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6507B9"/>
    <w:multiLevelType w:val="multilevel"/>
    <w:tmpl w:val="EBD63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791764"/>
    <w:multiLevelType w:val="multilevel"/>
    <w:tmpl w:val="FCCA6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465ECA"/>
    <w:multiLevelType w:val="multilevel"/>
    <w:tmpl w:val="CAD26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0E2B5E"/>
    <w:multiLevelType w:val="multilevel"/>
    <w:tmpl w:val="CA36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8B63E3"/>
    <w:multiLevelType w:val="multilevel"/>
    <w:tmpl w:val="9AE0F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22325D"/>
    <w:multiLevelType w:val="multilevel"/>
    <w:tmpl w:val="A522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D66A5B"/>
    <w:multiLevelType w:val="multilevel"/>
    <w:tmpl w:val="D57E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804C52"/>
    <w:multiLevelType w:val="multilevel"/>
    <w:tmpl w:val="4CBC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5231B0"/>
    <w:multiLevelType w:val="multilevel"/>
    <w:tmpl w:val="F27E6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5F042C"/>
    <w:multiLevelType w:val="multilevel"/>
    <w:tmpl w:val="6682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7B078A"/>
    <w:multiLevelType w:val="multilevel"/>
    <w:tmpl w:val="D0F4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95699C"/>
    <w:multiLevelType w:val="multilevel"/>
    <w:tmpl w:val="9B44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ED21EB"/>
    <w:multiLevelType w:val="multilevel"/>
    <w:tmpl w:val="CCCA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C425B1"/>
    <w:multiLevelType w:val="multilevel"/>
    <w:tmpl w:val="741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16"/>
  </w:num>
  <w:num w:numId="4">
    <w:abstractNumId w:val="12"/>
  </w:num>
  <w:num w:numId="5">
    <w:abstractNumId w:val="1"/>
  </w:num>
  <w:num w:numId="6">
    <w:abstractNumId w:val="18"/>
  </w:num>
  <w:num w:numId="7">
    <w:abstractNumId w:val="7"/>
  </w:num>
  <w:num w:numId="8">
    <w:abstractNumId w:val="17"/>
  </w:num>
  <w:num w:numId="9">
    <w:abstractNumId w:val="11"/>
  </w:num>
  <w:num w:numId="10">
    <w:abstractNumId w:val="3"/>
  </w:num>
  <w:num w:numId="11">
    <w:abstractNumId w:val="13"/>
  </w:num>
  <w:num w:numId="12">
    <w:abstractNumId w:val="21"/>
  </w:num>
  <w:num w:numId="13">
    <w:abstractNumId w:val="0"/>
  </w:num>
  <w:num w:numId="14">
    <w:abstractNumId w:val="8"/>
  </w:num>
  <w:num w:numId="15">
    <w:abstractNumId w:val="5"/>
  </w:num>
  <w:num w:numId="16">
    <w:abstractNumId w:val="9"/>
  </w:num>
  <w:num w:numId="17">
    <w:abstractNumId w:val="2"/>
  </w:num>
  <w:num w:numId="18">
    <w:abstractNumId w:val="6"/>
  </w:num>
  <w:num w:numId="19">
    <w:abstractNumId w:val="15"/>
  </w:num>
  <w:num w:numId="20">
    <w:abstractNumId w:val="19"/>
  </w:num>
  <w:num w:numId="21">
    <w:abstractNumId w:val="4"/>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A1504"/>
    <w:rsid w:val="000010BD"/>
    <w:rsid w:val="001448B7"/>
    <w:rsid w:val="002A1504"/>
    <w:rsid w:val="0032676A"/>
    <w:rsid w:val="00445303"/>
    <w:rsid w:val="00461DEC"/>
    <w:rsid w:val="005B6058"/>
    <w:rsid w:val="005F3972"/>
    <w:rsid w:val="00663DD5"/>
    <w:rsid w:val="00694689"/>
    <w:rsid w:val="00710BAA"/>
    <w:rsid w:val="007462D3"/>
    <w:rsid w:val="00855F91"/>
    <w:rsid w:val="00870BE0"/>
    <w:rsid w:val="008A1081"/>
    <w:rsid w:val="00955AD6"/>
    <w:rsid w:val="00992431"/>
    <w:rsid w:val="009E0CB2"/>
    <w:rsid w:val="00A661EA"/>
    <w:rsid w:val="00B70E78"/>
    <w:rsid w:val="00C02C87"/>
    <w:rsid w:val="00D11ADD"/>
    <w:rsid w:val="00D2469A"/>
    <w:rsid w:val="00D42DC8"/>
    <w:rsid w:val="00E37E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108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A150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A1504"/>
    <w:rPr>
      <w:b/>
      <w:bCs/>
    </w:rPr>
  </w:style>
  <w:style w:type="character" w:styleId="Zvraznn">
    <w:name w:val="Emphasis"/>
    <w:basedOn w:val="Standardnpsmoodstavce"/>
    <w:uiPriority w:val="20"/>
    <w:qFormat/>
    <w:rsid w:val="002A1504"/>
    <w:rPr>
      <w:i/>
      <w:iCs/>
    </w:rPr>
  </w:style>
  <w:style w:type="character" w:styleId="Hypertextovodkaz">
    <w:name w:val="Hyperlink"/>
    <w:basedOn w:val="Standardnpsmoodstavce"/>
    <w:uiPriority w:val="99"/>
    <w:semiHidden/>
    <w:unhideWhenUsed/>
    <w:rsid w:val="002A1504"/>
    <w:rPr>
      <w:color w:val="0000FF"/>
      <w:u w:val="single"/>
    </w:rPr>
  </w:style>
  <w:style w:type="paragraph" w:customStyle="1" w:styleId="Normln1">
    <w:name w:val="Normální1"/>
    <w:basedOn w:val="Normln"/>
    <w:rsid w:val="007462D3"/>
    <w:pPr>
      <w:snapToGrid w:val="0"/>
      <w:spacing w:after="0" w:line="240" w:lineRule="auto"/>
    </w:pPr>
    <w:rPr>
      <w:rFonts w:ascii="Times New Roman" w:hAnsi="Times New Roman" w:cs="Times New Roman"/>
      <w:sz w:val="24"/>
      <w:szCs w:val="24"/>
      <w:lang w:eastAsia="cs-CZ"/>
    </w:rPr>
  </w:style>
  <w:style w:type="paragraph" w:styleId="Odstavecseseznamem">
    <w:name w:val="List Paragraph"/>
    <w:basedOn w:val="Normln"/>
    <w:uiPriority w:val="34"/>
    <w:qFormat/>
    <w:rsid w:val="007462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115727">
      <w:bodyDiv w:val="1"/>
      <w:marLeft w:val="0"/>
      <w:marRight w:val="0"/>
      <w:marTop w:val="0"/>
      <w:marBottom w:val="0"/>
      <w:divBdr>
        <w:top w:val="none" w:sz="0" w:space="0" w:color="auto"/>
        <w:left w:val="none" w:sz="0" w:space="0" w:color="auto"/>
        <w:bottom w:val="none" w:sz="0" w:space="0" w:color="auto"/>
        <w:right w:val="none" w:sz="0" w:space="0" w:color="auto"/>
      </w:divBdr>
    </w:div>
    <w:div w:id="871379961">
      <w:bodyDiv w:val="1"/>
      <w:marLeft w:val="0"/>
      <w:marRight w:val="0"/>
      <w:marTop w:val="0"/>
      <w:marBottom w:val="0"/>
      <w:divBdr>
        <w:top w:val="none" w:sz="0" w:space="0" w:color="auto"/>
        <w:left w:val="none" w:sz="0" w:space="0" w:color="auto"/>
        <w:bottom w:val="none" w:sz="0" w:space="0" w:color="auto"/>
        <w:right w:val="none" w:sz="0" w:space="0" w:color="auto"/>
      </w:divBdr>
    </w:div>
    <w:div w:id="14224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od-pap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ka.zakova@wood-paper.cz" TargetMode="External"/><Relationship Id="rId5" Type="http://schemas.openxmlformats.org/officeDocument/2006/relationships/hyperlink" Target="http://www.wood-paper.cz"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3310</Words>
  <Characters>19535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vladka.brhlikova</dc:creator>
  <cp:lastModifiedBy>vladka.brhlikova</cp:lastModifiedBy>
  <cp:revision>3</cp:revision>
  <dcterms:created xsi:type="dcterms:W3CDTF">2017-03-29T08:37:00Z</dcterms:created>
  <dcterms:modified xsi:type="dcterms:W3CDTF">2017-03-29T08:46:00Z</dcterms:modified>
</cp:coreProperties>
</file>