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8E76" w14:textId="77777777" w:rsidR="00A538C7" w:rsidRDefault="004F0A13">
      <w:pPr>
        <w:pStyle w:val="Vchoz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40" w:after="120" w:line="240" w:lineRule="auto"/>
        <w:jc w:val="center"/>
        <w:rPr>
          <w:rFonts w:ascii="Arial" w:eastAsia="Arial" w:hAnsi="Arial" w:cs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Smlouva</w:t>
      </w:r>
      <w:proofErr w:type="spellEnd"/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pořádání</w:t>
      </w:r>
      <w:proofErr w:type="spellEnd"/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divadelního</w:t>
      </w:r>
      <w:proofErr w:type="spellEnd"/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</w:p>
    <w:p w14:paraId="2B86364F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uzavřená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souladu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§ 1746, </w:t>
      </w: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2 </w:t>
      </w: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zákona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89/2012 Sb., </w:t>
      </w: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občanského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zákoníku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mezi</w:t>
      </w:r>
      <w:proofErr w:type="spellEnd"/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56DE4ED6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83554A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Cirk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Putyka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o.p.s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Šumavská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21/1048, 120 00, Praha 2</w:t>
      </w:r>
      <w:r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IČO: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28968468</w:t>
      </w:r>
      <w:r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DIČ: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CZ28968468 </w:t>
      </w:r>
    </w:p>
    <w:p w14:paraId="2E6BC0CA" w14:textId="05D07776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="00951ECC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xxxxx</w:t>
      </w:r>
      <w:proofErr w:type="spellEnd"/>
      <w:r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MgA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Rostislavem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Novákem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ml. </w:t>
      </w:r>
      <w:r>
        <w:rPr>
          <w:rFonts w:ascii="Arial Unicode MS" w:hAnsi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76CFD51A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2F50D7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14:paraId="183D0E77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60B435" w14:textId="1F75F14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b/>
          <w:bCs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Kulturní zařízení města Jičín</w:t>
      </w:r>
      <w:r w:rsidR="00DE6039">
        <w:rPr>
          <w:rFonts w:ascii="Arial" w:hAnsi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14:paraId="0DEE5250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Husova 206, 506 01 Jičín</w:t>
      </w:r>
    </w:p>
    <w:p w14:paraId="0AD880B0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13584430</w:t>
      </w:r>
    </w:p>
    <w:p w14:paraId="2ECD8734" w14:textId="7A18E8B3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DIČ: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CZ</w:t>
      </w: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13584430</w:t>
      </w:r>
      <w:r w:rsidR="00DE6039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v </w:t>
      </w:r>
      <w:proofErr w:type="spellStart"/>
      <w:r w:rsidR="00DE6039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kulturní</w:t>
      </w:r>
      <w:proofErr w:type="spellEnd"/>
      <w:r w:rsidR="00DE6039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DE6039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činnosti</w:t>
      </w:r>
      <w:proofErr w:type="spellEnd"/>
      <w:r w:rsidR="00DE6039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DE6039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osvobozena</w:t>
      </w:r>
      <w:proofErr w:type="spellEnd"/>
      <w:r w:rsidR="00DE6039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DPH</w:t>
      </w:r>
    </w:p>
    <w:p w14:paraId="1DC89043" w14:textId="303CA00D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Bc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Pavlem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Nožičkou</w:t>
      </w:r>
      <w:proofErr w:type="spellEnd"/>
    </w:p>
    <w:p w14:paraId="325320EC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3A22DB9F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502D17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DEAC64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I.</w:t>
      </w:r>
    </w:p>
    <w:p w14:paraId="7588346B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Předmět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</w:p>
    <w:p w14:paraId="054FE0A4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69991E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touto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poskytnout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uhradit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poskytnutí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uvedených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podmínek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stanovených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223EDD0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Předmětem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zajištění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níže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specifikovaného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názvem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Isole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souboru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Cirk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Putyka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to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níže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specifikovaných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podmínek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7671D33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D82929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3540" w:hanging="283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Místo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Masarykovo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divadlo Jičín</w:t>
      </w:r>
    </w:p>
    <w:p w14:paraId="04AFD8A6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17081B" w14:textId="77777777" w:rsidR="00A538C7" w:rsidRDefault="004F0A13" w:rsidP="00DE603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firstLine="705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Datum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4. 11. 2021</w:t>
      </w:r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(set up),</w:t>
      </w:r>
      <w:r>
        <w:rPr>
          <w:rFonts w:ascii="Arial Unicode MS" w:hAnsi="Arial Unicode MS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eastAsia="Arial" w:hAnsi="Arial" w:cs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15. 11. 2021 </w:t>
      </w:r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</w:t>
      </w:r>
      <w:proofErr w:type="spellStart"/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339EEFAB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35D3043" w14:textId="16E3148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firstLine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Začátek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19:00</w:t>
      </w:r>
    </w:p>
    <w:p w14:paraId="59115C92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192BFA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firstLine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02B8CE9F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firstLine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DB511A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II.</w:t>
      </w:r>
    </w:p>
    <w:p w14:paraId="26C313C9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Odměna</w:t>
      </w:r>
      <w:proofErr w:type="spellEnd"/>
    </w:p>
    <w:p w14:paraId="24DADF7A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BC1143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provedené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uhradí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8EF39E6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8D2D36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416" w:hanging="1416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a)</w:t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ěnu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včetně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autorských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144 364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Kč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slovy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sto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čtyřicet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čtyři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tisíc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tři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šedesát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čtyři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proofErr w:type="gram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korun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)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Uvedená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osvobozena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DPH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§ 61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písm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e)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zákona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235/2004 Sb.; </w:t>
      </w:r>
    </w:p>
    <w:p w14:paraId="1F0C1F73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416" w:hanging="1416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1F4669" w14:textId="77777777" w:rsidR="00A538C7" w:rsidRDefault="004F0A13">
      <w:pPr>
        <w:pStyle w:val="Vchoz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 w:hanging="709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stanoví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II.1)a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stanovena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dohodnutý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počet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I. 2).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mít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zájem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dalších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rámci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smluvených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termínů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povinen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tom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nejpozději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15. 10. 2021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informovat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Stanovení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více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termínu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předchozí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věty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možné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nestanoví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-li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jinak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každé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další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nad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rámec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dohodnutých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termínů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I.2)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náleží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dodatečná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50.000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Kč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+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náklady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spojené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navýšením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pronájmu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II,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1) b). </w:t>
      </w:r>
    </w:p>
    <w:p w14:paraId="5DDCF67F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416" w:hanging="1416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E94380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odstavce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II.1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uhrazena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najednou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bezhotovostním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převodem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základě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faktury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vystavené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splatností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14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dnů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Závazek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zaplatit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provedené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splněn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dnem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připsání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účet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uvedený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záhlaví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FCF456B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zdanitelného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plnění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datum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I.2.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DA6CB07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prodlení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úhradou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faktury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oprávněn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požadovat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úhradu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úroků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prodlení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0,1 %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denně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dlužné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částky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až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úplného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zaplacení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2C79084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FFE64A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328E45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III.</w:t>
      </w:r>
    </w:p>
    <w:p w14:paraId="0E88C616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Práva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povinnosti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</w:t>
      </w:r>
      <w:proofErr w:type="spellEnd"/>
    </w:p>
    <w:p w14:paraId="3023E561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23743B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účelem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bezvadného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poskytnutí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poskytnout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veškerou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součinnost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nutnou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zajištění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řádného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poskytnutí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zejména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mu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tyto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účely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včas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veškeré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potřebné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informace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které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požádá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72EEBE7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oprávněn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použít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spolupracující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subdodavatele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takovém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však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odpovídá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stejném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rozsahu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sám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E1CC91F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Oznámí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-li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kterákoli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služeb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nedojde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důvodů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které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nejsou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závislé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vůli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jedné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např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válečný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stav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nemoc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dopravní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nehoda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epidemie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živelné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pohroma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jiná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vyšší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nevznikne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jedné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nárok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úhradu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vzniklých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škod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ani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nárok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zaplacení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došlo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zaplacení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zálohy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povinen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vrátit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tuto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zálohu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účely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vyšší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moc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považují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opatření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vyhlášená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vládou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a/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příslušnými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orgány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veřejné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správy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omezující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kulturních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akcí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souvislosti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pandemii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Covid-19,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zejména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zákaz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shromažďování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omezení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kulturních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akcí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15C79B0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dodržovat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mlčenlivost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všech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skutečnostech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informacích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nichž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dozvěděly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tj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jsou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povinny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zdržet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jakéhokoli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sdělování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těchto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skutečností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informací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třetím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osobám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porušení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povinnosti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jednou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zakládá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druhé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pokutu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10 %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stanovené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II.1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Zaplacením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pokuty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nezaniká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omezen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nárok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náhradu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škody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3B51D19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oprávněn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pořizovat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fotografický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audiovizuální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záznam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pouze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výslovném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souhlasu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přes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udělený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souhlas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však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oprávněn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pořízený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záznam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využít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jakékoli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obchodní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marketingové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účely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neudělí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-li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takovému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užití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svůj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výslovný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souhlas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629F87D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2E93ED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EDADA3" w14:textId="481D8979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2FC405" w14:textId="337FBE39" w:rsidR="004F0A13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B15258" w14:textId="77777777" w:rsidR="004F0A13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2B0514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6EB951" w14:textId="77777777" w:rsidR="00A538C7" w:rsidRDefault="00A538C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C8253A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IV.</w:t>
      </w:r>
    </w:p>
    <w:p w14:paraId="714902E0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Další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ujednání</w:t>
      </w:r>
      <w:proofErr w:type="spellEnd"/>
    </w:p>
    <w:p w14:paraId="19003F4B" w14:textId="77777777" w:rsidR="00A538C7" w:rsidRDefault="00A538C7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88D3B9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bezplatně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poskytnout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materiály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propagaci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individuální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dohody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chtít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zaslaných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materiálů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jakkoliv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zasahovat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měnit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jejich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obsah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povinen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upravený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materiál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další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distribucí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jakýmkoli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jiným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užitím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zaslat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schválení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Bez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předchozího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schválení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oprávněn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upravený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materiál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použít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12F31E1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vlastní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náklady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místo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podmínky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souladu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zaslaným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technickým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riderem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předchozí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domluvy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základě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požadavků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elektronická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komunikace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každou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zastávku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vždy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4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pomocné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kteří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výpomocni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bere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současně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vědomí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zajištění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podmínek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rideru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nezbytným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předpokladem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řádnou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nezajistí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veškeré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vybavení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kvantitě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kvalitě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rideru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nezajistí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jakékoli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jiné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podmínky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specifikované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rideru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A995E21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a)</w:t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rozhodnout</w:t>
      </w:r>
      <w:proofErr w:type="spellEnd"/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nedojde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důvodů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neboť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nedostatky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podmínkách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jsou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neodstranitelné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Upřesňuje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takovém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právo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úhradu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nezaniká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nebo</w:t>
      </w:r>
      <w:proofErr w:type="spellEnd"/>
    </w:p>
    <w:p w14:paraId="08BCE638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b) </w:t>
      </w:r>
      <w:proofErr w:type="spellStart"/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rozhodnout</w:t>
      </w:r>
      <w:proofErr w:type="spellEnd"/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nedostatky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podmínkách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náklady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sám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takovém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současně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oprávněn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účtovat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pokutu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10.000,-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Kč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pokuta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předchozí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věty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splatná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společně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II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1D897BB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určené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vstup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prostoru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to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color w:val="EE220C"/>
          <w:u w:color="EE220C"/>
          <w14:textOutline w14:w="12700" w14:cap="flat" w14:cmpd="sng" w14:algn="ctr">
            <w14:noFill/>
            <w14:prstDash w14:val="solid"/>
            <w14:miter w14:lim="400000"/>
          </w14:textOutline>
        </w:rPr>
        <w:t>14.</w:t>
      </w:r>
      <w:r>
        <w:rPr>
          <w:rFonts w:ascii="Arial" w:hAnsi="Arial"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11. 2021 a 15. 11. 2021, </w:t>
      </w:r>
      <w:proofErr w:type="spellStart"/>
      <w:r>
        <w:rPr>
          <w:rFonts w:ascii="Arial" w:hAnsi="Arial"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vždy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</w:t>
      </w:r>
      <w:r>
        <w:rPr>
          <w:rFonts w:ascii="Arial" w:hAnsi="Arial"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10:00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hodin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za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účelem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zkoušky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technické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přípravy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prostoru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D41D345" w14:textId="19A31193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D173F0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malé</w:t>
      </w:r>
      <w:proofErr w:type="spellEnd"/>
      <w:r w:rsidR="00D173F0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D173F0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občerstvení</w:t>
      </w:r>
      <w:proofErr w:type="spellEnd"/>
      <w:r w:rsidR="00D173F0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12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formou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studeného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bufetu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6153054F" w14:textId="5295CD8E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účinkující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další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pověřené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zajištění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realizace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celkovém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počtu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b/>
          <w:bCs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ubytování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docházkové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vzdálenosti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místa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období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14. 11. 2021 do 1</w:t>
      </w:r>
      <w:r w:rsidR="00D173F0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11. 2021.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aby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úroveň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ubytování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odpovídala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alespoň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kategorii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komfort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tzv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3hvězdičkové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ubytování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48FFA2A8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rovněž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zajistit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účinkující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ev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další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vhodné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zázemí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místě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článku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I. 2,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které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dostatečně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prostorné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uzamykatelné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20FE3A5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poskytnout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b/>
          <w:bCs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ks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volných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vstupenek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69CF7E7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8)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zrušení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které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oznámeno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r>
        <w:rPr>
          <w:rFonts w:ascii="Arial" w:hAnsi="Arial"/>
          <w:color w:val="EE220C"/>
          <w:u w:color="EE220C"/>
          <w14:textOutline w14:w="12700" w14:cap="flat" w14:cmpd="sng" w14:algn="ctr">
            <w14:noFill/>
            <w14:prstDash w14:val="solid"/>
            <w14:miter w14:lim="400000"/>
          </w14:textOutline>
        </w:rPr>
        <w:t>15</w:t>
      </w:r>
      <w:r>
        <w:rPr>
          <w:rFonts w:ascii="Arial" w:hAnsi="Arial"/>
          <w:color w:val="EE220C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. 10</w:t>
      </w:r>
      <w:r>
        <w:rPr>
          <w:rFonts w:ascii="Arial" w:hAnsi="Arial"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. 2021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2019 do 12.00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hodin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uhradit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80 %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odměny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článku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II.1.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nejpozději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15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dnů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plánovaném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termínu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EDF0CEB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V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případě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zrušení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které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oznámeno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r>
        <w:rPr>
          <w:rFonts w:ascii="Arial" w:hAnsi="Arial"/>
          <w:color w:val="EE220C"/>
          <w:u w:color="EE220C"/>
          <w14:textOutline w14:w="12700" w14:cap="flat" w14:cmpd="sng" w14:algn="ctr">
            <w14:noFill/>
            <w14:prstDash w14:val="solid"/>
            <w14:miter w14:lim="400000"/>
          </w14:textOutline>
        </w:rPr>
        <w:t>15</w:t>
      </w:r>
      <w:r>
        <w:rPr>
          <w:rFonts w:ascii="Arial" w:hAnsi="Arial"/>
          <w:color w:val="EE220C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ascii="Arial" w:hAnsi="Arial"/>
          <w:color w:val="FF2D21"/>
          <w:u w:color="FF2D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10. 2021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12.00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hodin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uhradit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objednateli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částku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výši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20.000,-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Kč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pokrytí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vzniklých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nákladů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to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nejpozději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15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dnů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plánovaném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termínu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konání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představení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DFF6F75" w14:textId="77777777" w:rsidR="00A538C7" w:rsidRDefault="00A538C7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63BE69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V.</w:t>
      </w:r>
    </w:p>
    <w:p w14:paraId="2C8C92FE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Závěrečná</w:t>
      </w:r>
      <w:proofErr w:type="spellEnd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ustanovení</w:t>
      </w:r>
      <w:proofErr w:type="spellEnd"/>
    </w:p>
    <w:p w14:paraId="27EFF3BD" w14:textId="77777777" w:rsidR="00A538C7" w:rsidRDefault="00A538C7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666EDB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1)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Pokud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kterékoliv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ustanovení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stane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neplatným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nevymahatelným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ostatní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ustanovení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zůstávají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platnosti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účinnosti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zavazují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nahradit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toto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neplatné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nebo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nevymahatelné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ustanovení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jiným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ustanovením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jež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bude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nejvíce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blížit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původnímu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záměru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3B78F30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Jakékoli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změny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dodatky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musí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být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provedeny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písemně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3FD1728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Tato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vyhotovena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dvou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originálech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z 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nichž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každá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obdrží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jednom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6F6E1087" w14:textId="77777777" w:rsidR="00A538C7" w:rsidRDefault="004F0A13">
      <w:pPr>
        <w:pStyle w:val="Vchoz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4)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Tato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nabývá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platnosti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dnem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podepsání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oběma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stranami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je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vyhotovena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dvou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stejnopisech</w:t>
      </w:r>
      <w:proofErr w:type="spell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C7CF151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042AE62" w14:textId="77777777" w:rsidR="00A538C7" w:rsidRDefault="004F0A13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prohlašují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svobodně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dohodly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obsahu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této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důkaz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toho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připojují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své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podpisy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Současně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prohlašují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smlouvu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přečetly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že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tato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obsahuje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úplnou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dohodu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jejím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předmětu</w:t>
      </w:r>
      <w:proofErr w:type="spellEnd"/>
      <w:r>
        <w:rPr>
          <w:rFonts w:ascii="Arial" w:hAnsi="Arial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928A61D" w14:textId="77777777" w:rsidR="00A538C7" w:rsidRDefault="004F0A1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tbl>
      <w:tblPr>
        <w:tblStyle w:val="TableNormal"/>
        <w:tblW w:w="9242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A538C7" w14:paraId="7F226825" w14:textId="77777777">
        <w:trPr>
          <w:trHeight w:val="2628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8F6F" w14:textId="0662C772" w:rsidR="00A538C7" w:rsidRDefault="004F0A13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 </w:t>
            </w:r>
            <w:proofErr w:type="spellStart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Jičíně</w:t>
            </w:r>
            <w:proofErr w:type="spellEnd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dne</w:t>
            </w:r>
            <w:proofErr w:type="spellEnd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D807A8D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4EA5C45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DE2B661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D7B960E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93889B9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9087AF7" w14:textId="77777777" w:rsidR="00A538C7" w:rsidRDefault="004F0A13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________________________________</w:t>
            </w:r>
          </w:p>
          <w:p w14:paraId="156219C5" w14:textId="61F2A61B" w:rsidR="00A538C7" w:rsidRDefault="004F0A13" w:rsidP="004F0A13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Za </w:t>
            </w:r>
            <w:proofErr w:type="spellStart"/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objednatele</w:t>
            </w:r>
            <w:proofErr w:type="spellEnd"/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:rFonts w:ascii="Arial Unicode MS" w:hAnsi="Arial Unicode MS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proofErr w:type="spellStart"/>
            <w:r w:rsidRPr="004F0A13">
              <w:rPr>
                <w:b/>
                <w:bCs/>
              </w:rPr>
              <w:t>Bc</w:t>
            </w:r>
            <w:proofErr w:type="spellEnd"/>
            <w:r w:rsidRPr="004F0A13">
              <w:rPr>
                <w:b/>
                <w:bCs/>
              </w:rPr>
              <w:t>. Pavel Nožička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4B58" w14:textId="77777777" w:rsidR="00A538C7" w:rsidRDefault="004F0A13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 …………</w:t>
            </w:r>
            <w:proofErr w:type="gramStart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…..</w:t>
            </w:r>
            <w:proofErr w:type="gramEnd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dne</w:t>
            </w:r>
            <w:proofErr w:type="spellEnd"/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.......................</w:t>
            </w:r>
          </w:p>
          <w:p w14:paraId="1AEE5254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3D90E99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911D241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BBBFD2D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5EC810A" w14:textId="77777777" w:rsidR="00A538C7" w:rsidRDefault="00A538C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D1F205E" w14:textId="77777777" w:rsidR="00A538C7" w:rsidRDefault="004F0A13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________________________________</w:t>
            </w:r>
          </w:p>
          <w:p w14:paraId="3E2997C8" w14:textId="77777777" w:rsidR="00A538C7" w:rsidRDefault="004F0A13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Za </w:t>
            </w:r>
            <w:proofErr w:type="spellStart"/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poskytovatele</w:t>
            </w:r>
            <w:proofErr w:type="spellEnd"/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</w:p>
          <w:p w14:paraId="5CB0A121" w14:textId="77777777" w:rsidR="00A538C7" w:rsidRDefault="004F0A13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hint="eastAsia"/>
              </w:rPr>
            </w:pPr>
            <w:proofErr w:type="spellStart"/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Vít</w:t>
            </w:r>
            <w:proofErr w:type="spellEnd"/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Novák</w:t>
            </w:r>
            <w:proofErr w:type="spellEnd"/>
          </w:p>
        </w:tc>
      </w:tr>
    </w:tbl>
    <w:p w14:paraId="660248A1" w14:textId="77777777" w:rsidR="00A538C7" w:rsidRDefault="00A538C7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18" w:hanging="118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A925A1" w14:textId="77777777" w:rsidR="00A538C7" w:rsidRDefault="00A538C7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0" w:hanging="10"/>
        <w:rPr>
          <w:rFonts w:hint="eastAsia"/>
        </w:rPr>
      </w:pPr>
    </w:p>
    <w:sectPr w:rsidR="00A538C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E995" w14:textId="77777777" w:rsidR="00AE4252" w:rsidRDefault="004F0A13">
      <w:r>
        <w:separator/>
      </w:r>
    </w:p>
  </w:endnote>
  <w:endnote w:type="continuationSeparator" w:id="0">
    <w:p w14:paraId="24C85950" w14:textId="77777777" w:rsidR="00AE4252" w:rsidRDefault="004F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8B79" w14:textId="77777777" w:rsidR="00A538C7" w:rsidRDefault="00A53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3C7F" w14:textId="77777777" w:rsidR="00AE4252" w:rsidRDefault="004F0A13">
      <w:r>
        <w:separator/>
      </w:r>
    </w:p>
  </w:footnote>
  <w:footnote w:type="continuationSeparator" w:id="0">
    <w:p w14:paraId="48A65BC7" w14:textId="77777777" w:rsidR="00AE4252" w:rsidRDefault="004F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CE76" w14:textId="77777777" w:rsidR="00A538C7" w:rsidRDefault="00A538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C7"/>
    <w:rsid w:val="004F0A13"/>
    <w:rsid w:val="00951ECC"/>
    <w:rsid w:val="00A538C7"/>
    <w:rsid w:val="00AE4252"/>
    <w:rsid w:val="00D173F0"/>
    <w:rsid w:val="00DE6039"/>
    <w:rsid w:val="00E2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0C13"/>
  <w15:docId w15:val="{54F5A7EF-6343-470E-AE97-71FDC2CF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1302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Vejnárková</dc:creator>
  <cp:lastModifiedBy>vondrak</cp:lastModifiedBy>
  <cp:revision>5</cp:revision>
  <cp:lastPrinted>2021-09-29T09:08:00Z</cp:lastPrinted>
  <dcterms:created xsi:type="dcterms:W3CDTF">2021-09-21T17:34:00Z</dcterms:created>
  <dcterms:modified xsi:type="dcterms:W3CDTF">2021-10-22T11:21:00Z</dcterms:modified>
</cp:coreProperties>
</file>