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02" w:h="441" w:wrap="none" w:hAnchor="page" w:x="8192" w:y="-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SMLOUVA REGISTROVÁNA</w:t>
      </w:r>
    </w:p>
    <w:p>
      <w:pPr>
        <w:widowControl w:val="0"/>
        <w:spacing w:after="391" w:line="1" w:lineRule="exact"/>
      </w:pP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66" w:left="1375" w:right="538" w:bottom="188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788670" distR="114300" simplePos="0" relativeHeight="125829378" behindDoc="0" locked="0" layoutInCell="1" allowOverlap="1">
            <wp:simplePos x="0" y="0"/>
            <wp:positionH relativeFrom="page">
              <wp:posOffset>5881370</wp:posOffset>
            </wp:positionH>
            <wp:positionV relativeFrom="paragraph">
              <wp:posOffset>12700</wp:posOffset>
            </wp:positionV>
            <wp:extent cx="237490" cy="23749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749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50800</wp:posOffset>
                </wp:positionV>
                <wp:extent cx="529590" cy="1524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95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0.pt;margin-top:4.pt;width:41.700000000000003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č.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20" w:line="264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03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 zastoupená statutárním zástupcem: Ing. Radovanem Necidem - ředitelem organizace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028" w:val="left"/>
        </w:tabs>
        <w:bidi w:val="0"/>
        <w:spacing w:before="0" w:after="0" w:line="259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 _</w:t>
        <w:tab/>
        <w:t>- vedoucí výrobního oddělení Pelhřimov,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55" w:val="left"/>
        </w:tabs>
        <w:bidi w:val="0"/>
        <w:spacing w:before="0" w:after="0" w:line="259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663" w:val="left"/>
        </w:tabs>
        <w:bidi w:val="0"/>
        <w:spacing w:before="0" w:after="520" w:line="259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pan vedoucí cestmistrovství Pelhřimov, tel.</w:t>
        <w:tab/>
        <w:t>mob.</w:t>
      </w:r>
    </w:p>
    <w:p>
      <w:pPr>
        <w:pStyle w:val="Style16"/>
        <w:keepNext/>
        <w:keepLines/>
        <w:widowControl w:val="0"/>
        <w:shd w:val="clear" w:color="auto" w:fill="auto"/>
        <w:tabs>
          <w:tab w:pos="1407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Nemocnice Pelhřimov, příspěvková organizace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Slovanského bratrství 710, 393 38 Pelhřimov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Mgr. Ing. Michalem Kozárem, MBA - ředitelem nemocnice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555" w:val="left"/>
        </w:tabs>
        <w:bidi w:val="0"/>
        <w:spacing w:before="0" w:after="0" w:line="264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00511951</w:t>
        <w:tab/>
        <w:t>DIČ: CZ00511951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20" w:line="264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MONETA Money bank, č.účtu: zástupce oprávněný jednat ve věcech technických: vedoucí technického oddělení, tel.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05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23" w:val="left"/>
        </w:tabs>
        <w:bidi w:val="0"/>
        <w:spacing w:before="0" w:after="280" w:line="262" w:lineRule="auto"/>
        <w:ind w:left="0" w:right="0" w:firstLine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2021/2022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 a s ohledem na množství skladových zásob prodávajícího.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52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6" w:val="left"/>
        </w:tabs>
        <w:bidi w:val="0"/>
        <w:spacing w:before="0" w:after="52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1.11.2021 do 31.3.2022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6" w:val="left"/>
        </w:tabs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předmětu smlouvy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3.500,-Kč za 1 tunu soli bez DPH (4.235,-Kč/t s DPH)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26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2" w:val="left"/>
        </w:tabs>
        <w:bidi w:val="0"/>
        <w:spacing w:before="0" w:after="5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0,2 % z dlužné částky za každý den prodlení. Tím není dotčeno právo na náhradu škody a úhradu běžného úroku.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after="5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ujednám týkající se smlouvy.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6" w:val="left"/>
        </w:tabs>
        <w:bidi w:val="0"/>
        <w:spacing w:before="0" w:after="2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sepsána ve dvou vyhotoveních, z nichž každá smluvní strana obdrží po jednom.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300" w:line="264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600" w:val="left"/>
        </w:tabs>
        <w:bidi w:val="0"/>
        <w:spacing w:before="0" w:after="560" w:line="240" w:lineRule="auto"/>
        <w:ind w:left="2140" w:right="0" w:firstLine="0"/>
        <w:jc w:val="left"/>
        <w:rPr>
          <w:sz w:val="30"/>
          <w:szCs w:val="30"/>
        </w:rPr>
      </w:pPr>
      <w:r>
        <mc:AlternateContent>
          <mc:Choice Requires="wps">
            <w:drawing>
              <wp:anchor distT="0" distB="541020" distL="114300" distR="114300" simplePos="0" relativeHeight="125829379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margin">
                  <wp:posOffset>38100</wp:posOffset>
                </wp:positionV>
                <wp:extent cx="1962150" cy="20193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2150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2 1. 10. 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.849999999999994pt;margin-top:3.pt;width:154.5pt;height:15.9pt;z-index:-125829374;mso-wrap-distance-left:9.pt;mso-wrap-distance-right:9.pt;mso-wrap-distance-bottom:42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2 1. 10. 2021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46735" distB="0" distL="116205" distR="1306830" simplePos="0" relativeHeight="125829381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margin">
                  <wp:posOffset>584835</wp:posOffset>
                </wp:positionV>
                <wp:extent cx="767715" cy="19621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7715" cy="196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1.pt;margin-top:46.049999999999997pt;width:60.450000000000003pt;height:15.449999999999999pt;z-index:-125829372;mso-wrap-distance-left:9.1500000000000004pt;mso-wrap-distance-top:43.049999999999997pt;mso-wrap-distance-right:102.9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Pelhřimově dne:</w:t>
        <w:tab/>
      </w:r>
      <w:r>
        <w:rPr>
          <w:rFonts w:ascii="Arial" w:eastAsia="Arial" w:hAnsi="Arial" w:cs="Arial"/>
          <w:i/>
          <w:iCs/>
          <w:color w:val="4F4A86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. /(J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6" w:left="1321" w:right="1387" w:bottom="189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8" w:left="0" w:right="0" w:bottom="138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12700</wp:posOffset>
                </wp:positionV>
                <wp:extent cx="1920240" cy="37909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0240" cy="379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Ing. Michal Kozár, MBA ředitel nemocnice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14999999999998pt;margin-top:1.pt;width:151.19999999999999pt;height:29.85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Ing. Michal Kozár, MBA ředitel nemocnice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 Krajská správa a údržba silnic Vysočiny, p.o.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8" w:left="1417" w:right="6082" w:bottom="138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254635</wp:posOffset>
              </wp:positionV>
              <wp:extent cx="1986915" cy="1047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6915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KF&lt;AJSKÁ SPRÁVA 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64999999999998pt;margin-top:20.050000000000001pt;width:156.44999999999999pt;height:8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KF&lt;AJSKÁ SPRÁVA 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obrázku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7">
    <w:name w:val="Nadpis #3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spacing w:after="27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