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SYSTEM CZ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- Židenice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E93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19930ED0" w14:textId="77777777"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39ABFBDC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 </w:t>
                      </w:r>
                      <w:r w:rsidR="0094172F">
                        <w:rPr>
                          <w:rFonts w:ascii="Times New Roman" w:hAnsi="Times New Roman" w:cs="Times New Roman"/>
                          <w:szCs w:val="24"/>
                        </w:rPr>
                        <w:t>SYSTE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14:paraId="15E9E68A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Ševčíka 840/10</w:t>
                      </w:r>
                    </w:p>
                    <w:p w14:paraId="493DF7C7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- Židenice</w:t>
                      </w:r>
                    </w:p>
                    <w:p w14:paraId="6957573F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6BAF070" w14:textId="77777777" w:rsidR="001A11C5" w:rsidRPr="00562180" w:rsidRDefault="006E761B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11. října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275/2021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dodávky originálního spotřebního materiálu pro nákladové středisko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Svitavy.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Ing. </w:t>
      </w:r>
      <w:proofErr w:type="spellStart"/>
      <w:proofErr w:type="gramStart"/>
      <w:r>
        <w:rPr>
          <w:rFonts w:ascii="Times New Roman" w:hAnsi="Times New Roman" w:cs="Times New Roman"/>
        </w:rPr>
        <w:t>xxxxxx</w:t>
      </w:r>
      <w:proofErr w:type="spellEnd"/>
      <w:r>
        <w:rPr>
          <w:rFonts w:ascii="Times New Roman" w:hAnsi="Times New Roman" w:cs="Times New Roman"/>
        </w:rPr>
        <w:t>,  tel.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>, e-mail: xxxxxx@uradprace.cz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212.178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říjen 2021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Objednávka přijata.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19.10.2021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C SYSTÉM CZ a.s.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69D6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733BD53A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596FFF51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9444-91C8-47DD-9C9E-5DCB3846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4</cp:revision>
  <cp:lastPrinted>2021-10-18T10:46:00Z</cp:lastPrinted>
  <dcterms:created xsi:type="dcterms:W3CDTF">2021-10-21T10:13:00Z</dcterms:created>
  <dcterms:modified xsi:type="dcterms:W3CDTF">2021-10-21T10:56:00Z</dcterms:modified>
</cp:coreProperties>
</file>