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CC" w:rsidRDefault="00E3051E">
      <w:pPr>
        <w:pStyle w:val="Nadpis"/>
        <w:widowControl w:val="0"/>
        <w:jc w:val="center"/>
        <w:rPr>
          <w:sz w:val="32"/>
          <w:szCs w:val="32"/>
        </w:rPr>
      </w:pPr>
      <w:r>
        <w:rPr>
          <w:sz w:val="32"/>
          <w:szCs w:val="32"/>
        </w:rPr>
        <w:t>Smlouva o využití výsledků</w:t>
      </w:r>
    </w:p>
    <w:p w:rsidR="00ED42CC" w:rsidRDefault="00E3051E">
      <w:pPr>
        <w:jc w:val="center"/>
      </w:pPr>
      <w:r>
        <w:rPr>
          <w:b/>
          <w:bCs/>
        </w:rPr>
        <w:t>TAČR Epsilon</w:t>
      </w:r>
      <w:r>
        <w:rPr>
          <w:b/>
          <w:bCs/>
          <w:i/>
          <w:iCs/>
        </w:rPr>
        <w:t xml:space="preserve"> </w:t>
      </w:r>
      <w:bookmarkStart w:id="0" w:name="_Hlk80348986"/>
      <w:r>
        <w:rPr>
          <w:b/>
          <w:bCs/>
        </w:rPr>
        <w:t>TH02010990</w:t>
      </w:r>
      <w:bookmarkEnd w:id="0"/>
      <w:r>
        <w:rPr>
          <w:b/>
          <w:bCs/>
        </w:rPr>
        <w:t xml:space="preserve"> - </w:t>
      </w:r>
      <w:bookmarkStart w:id="1" w:name="_Hlk80348999"/>
      <w:proofErr w:type="spellStart"/>
      <w:r>
        <w:rPr>
          <w:b/>
          <w:bCs/>
        </w:rPr>
        <w:t>Ludus</w:t>
      </w:r>
      <w:proofErr w:type="spellEnd"/>
      <w:r>
        <w:rPr>
          <w:b/>
          <w:bCs/>
        </w:rPr>
        <w:t xml:space="preserve">: </w:t>
      </w:r>
      <w:proofErr w:type="spellStart"/>
      <w:r>
        <w:rPr>
          <w:b/>
          <w:bCs/>
        </w:rPr>
        <w:t>Kolaborativní</w:t>
      </w:r>
      <w:proofErr w:type="spellEnd"/>
      <w:r>
        <w:rPr>
          <w:b/>
          <w:bCs/>
        </w:rPr>
        <w:t xml:space="preserve"> obrana proti internetovým útokům pomocí </w:t>
      </w:r>
      <w:proofErr w:type="spellStart"/>
      <w:r>
        <w:rPr>
          <w:b/>
          <w:bCs/>
        </w:rPr>
        <w:t>stojového</w:t>
      </w:r>
      <w:proofErr w:type="spellEnd"/>
      <w:r>
        <w:rPr>
          <w:b/>
          <w:bCs/>
        </w:rPr>
        <w:t xml:space="preserve"> učení a teorie her</w:t>
      </w:r>
      <w:bookmarkEnd w:id="1"/>
    </w:p>
    <w:p w:rsidR="00ED42CC" w:rsidRDefault="00ED42CC">
      <w:pPr>
        <w:widowControl w:val="0"/>
      </w:pPr>
    </w:p>
    <w:p w:rsidR="00ED42CC" w:rsidRDefault="00E3051E">
      <w:pPr>
        <w:widowControl w:val="0"/>
        <w:rPr>
          <w:b/>
          <w:bCs/>
        </w:rPr>
      </w:pPr>
      <w:r>
        <w:rPr>
          <w:b/>
          <w:bCs/>
        </w:rPr>
        <w:t>Smluvní strany:</w:t>
      </w:r>
    </w:p>
    <w:p w:rsidR="00ED42CC" w:rsidRDefault="00ED42CC">
      <w:pPr>
        <w:widowControl w:val="0"/>
      </w:pPr>
    </w:p>
    <w:p w:rsidR="00ED42CC" w:rsidRDefault="00ED42CC">
      <w:pPr>
        <w:widowControl w:val="0"/>
      </w:pPr>
    </w:p>
    <w:p w:rsidR="00ED42CC" w:rsidRDefault="00E3051E">
      <w:pPr>
        <w:widowControl w:val="0"/>
        <w:rPr>
          <w:b/>
          <w:bCs/>
        </w:rPr>
      </w:pPr>
      <w:proofErr w:type="gramStart"/>
      <w:r>
        <w:rPr>
          <w:b/>
          <w:bCs/>
        </w:rPr>
        <w:t>CZ.NIC</w:t>
      </w:r>
      <w:proofErr w:type="gramEnd"/>
      <w:r>
        <w:rPr>
          <w:b/>
          <w:bCs/>
        </w:rPr>
        <w:t xml:space="preserve">, z. s. p. o. </w:t>
      </w:r>
    </w:p>
    <w:p w:rsidR="00ED42CC" w:rsidRDefault="00E3051E">
      <w:pPr>
        <w:widowControl w:val="0"/>
        <w:rPr>
          <w:b/>
          <w:bCs/>
        </w:rPr>
      </w:pPr>
      <w:r>
        <w:rPr>
          <w:b/>
          <w:bCs/>
        </w:rPr>
        <w:t xml:space="preserve">Milešovská 1136/5 </w:t>
      </w:r>
    </w:p>
    <w:p w:rsidR="00ED42CC" w:rsidRDefault="00E3051E">
      <w:pPr>
        <w:widowControl w:val="0"/>
        <w:rPr>
          <w:b/>
          <w:bCs/>
        </w:rPr>
      </w:pPr>
      <w:r>
        <w:rPr>
          <w:b/>
          <w:bCs/>
        </w:rPr>
        <w:t xml:space="preserve">130 00 </w:t>
      </w:r>
    </w:p>
    <w:p w:rsidR="00ED42CC" w:rsidRDefault="00E3051E">
      <w:pPr>
        <w:widowControl w:val="0"/>
        <w:rPr>
          <w:b/>
          <w:bCs/>
        </w:rPr>
      </w:pPr>
      <w:r>
        <w:rPr>
          <w:b/>
          <w:bCs/>
        </w:rPr>
        <w:t xml:space="preserve">Praha 3 </w:t>
      </w:r>
    </w:p>
    <w:p w:rsidR="00ED42CC" w:rsidRDefault="00E3051E">
      <w:pPr>
        <w:widowControl w:val="0"/>
        <w:rPr>
          <w:b/>
          <w:bCs/>
        </w:rPr>
      </w:pPr>
      <w:r>
        <w:rPr>
          <w:b/>
          <w:bCs/>
        </w:rPr>
        <w:t xml:space="preserve">IČ: </w:t>
      </w:r>
      <w:proofErr w:type="spellStart"/>
      <w:r w:rsidR="00C133A8">
        <w:rPr>
          <w:b/>
          <w:bCs/>
        </w:rPr>
        <w:t>xxxxx</w:t>
      </w:r>
      <w:proofErr w:type="spellEnd"/>
    </w:p>
    <w:p w:rsidR="00ED42CC" w:rsidRDefault="00E3051E">
      <w:pPr>
        <w:widowControl w:val="0"/>
        <w:rPr>
          <w:b/>
          <w:bCs/>
        </w:rPr>
      </w:pPr>
      <w:r>
        <w:rPr>
          <w:b/>
          <w:bCs/>
        </w:rPr>
        <w:t xml:space="preserve">DIČ: </w:t>
      </w:r>
      <w:proofErr w:type="spellStart"/>
      <w:r w:rsidR="00C133A8">
        <w:rPr>
          <w:b/>
          <w:bCs/>
        </w:rPr>
        <w:t>xxxxx</w:t>
      </w:r>
      <w:proofErr w:type="spellEnd"/>
    </w:p>
    <w:p w:rsidR="00ED42CC" w:rsidRDefault="00E3051E">
      <w:pPr>
        <w:widowControl w:val="0"/>
      </w:pPr>
      <w:r>
        <w:t>na straně druhé (dále jen „</w:t>
      </w:r>
      <w:r>
        <w:rPr>
          <w:b/>
          <w:bCs/>
        </w:rPr>
        <w:t>Příjemce</w:t>
      </w:r>
      <w:r>
        <w:t>”)</w:t>
      </w:r>
    </w:p>
    <w:p w:rsidR="00ED42CC" w:rsidRDefault="00ED42CC">
      <w:pPr>
        <w:widowControl w:val="0"/>
      </w:pPr>
    </w:p>
    <w:p w:rsidR="00ED42CC" w:rsidRDefault="00E3051E">
      <w:pPr>
        <w:widowControl w:val="0"/>
      </w:pPr>
      <w:r>
        <w:t>a</w:t>
      </w:r>
    </w:p>
    <w:p w:rsidR="00ED42CC" w:rsidRDefault="00ED42CC">
      <w:pPr>
        <w:widowControl w:val="0"/>
      </w:pPr>
    </w:p>
    <w:p w:rsidR="00ED42CC" w:rsidRDefault="00E3051E">
      <w:pPr>
        <w:widowControl w:val="0"/>
        <w:rPr>
          <w:b/>
          <w:bCs/>
        </w:rPr>
      </w:pPr>
      <w:r>
        <w:rPr>
          <w:b/>
          <w:bCs/>
        </w:rPr>
        <w:t>České vysoké učení technické v Praze</w:t>
      </w:r>
    </w:p>
    <w:p w:rsidR="00ED42CC" w:rsidRDefault="00E3051E">
      <w:pPr>
        <w:widowControl w:val="0"/>
      </w:pPr>
      <w:r>
        <w:t>se sídlem Jugoslávských partyzánů 1580/3, 160 00, Praha 6 - Dejvice</w:t>
      </w:r>
    </w:p>
    <w:p w:rsidR="00C133A8" w:rsidRDefault="00C133A8">
      <w:pPr>
        <w:widowControl w:val="0"/>
      </w:pPr>
      <w:r>
        <w:t>IČO:</w:t>
      </w:r>
      <w:r>
        <w:tab/>
      </w:r>
      <w:proofErr w:type="spellStart"/>
      <w:r>
        <w:t>xxxxx</w:t>
      </w:r>
      <w:proofErr w:type="spellEnd"/>
    </w:p>
    <w:p w:rsidR="00ED42CC" w:rsidRDefault="00E3051E">
      <w:pPr>
        <w:widowControl w:val="0"/>
      </w:pPr>
      <w:r>
        <w:t>DIČ:</w:t>
      </w:r>
      <w:r>
        <w:tab/>
      </w:r>
      <w:proofErr w:type="spellStart"/>
      <w:r w:rsidR="00C133A8">
        <w:t>xxxxx</w:t>
      </w:r>
      <w:proofErr w:type="spellEnd"/>
    </w:p>
    <w:p w:rsidR="00ED42CC" w:rsidRDefault="00E3051E">
      <w:pPr>
        <w:widowControl w:val="0"/>
      </w:pPr>
      <w:r>
        <w:t xml:space="preserve">zastoupená doc. </w:t>
      </w:r>
      <w:r w:rsidRPr="005A21FD">
        <w:t>RNDr. Vojtěchem Petráčkem, CSc.</w:t>
      </w:r>
    </w:p>
    <w:p w:rsidR="00ED42CC" w:rsidRDefault="00ED42CC">
      <w:pPr>
        <w:widowControl w:val="0"/>
      </w:pPr>
    </w:p>
    <w:p w:rsidR="00ED42CC" w:rsidRDefault="00E3051E">
      <w:pPr>
        <w:widowControl w:val="0"/>
      </w:pPr>
      <w:r>
        <w:t>na straně jedné (dále jen „</w:t>
      </w:r>
      <w:r>
        <w:rPr>
          <w:b/>
          <w:bCs/>
        </w:rPr>
        <w:t>Partner</w:t>
      </w:r>
      <w:r>
        <w:t>”),</w:t>
      </w:r>
    </w:p>
    <w:p w:rsidR="00ED42CC" w:rsidRDefault="00ED42CC">
      <w:pPr>
        <w:widowControl w:val="0"/>
      </w:pPr>
    </w:p>
    <w:p w:rsidR="00ED42CC" w:rsidRDefault="00E3051E">
      <w:pPr>
        <w:widowControl w:val="0"/>
      </w:pPr>
      <w:r>
        <w:t>(Partner a Příjemce dále také jen „</w:t>
      </w:r>
      <w:r>
        <w:rPr>
          <w:b/>
          <w:bCs/>
        </w:rPr>
        <w:t>Smluvní strana</w:t>
      </w:r>
      <w:r>
        <w:t>“, „</w:t>
      </w:r>
      <w:r>
        <w:rPr>
          <w:b/>
          <w:bCs/>
        </w:rPr>
        <w:t>Smluvní strany</w:t>
      </w:r>
      <w:r>
        <w:t>“)</w:t>
      </w:r>
    </w:p>
    <w:p w:rsidR="00ED42CC" w:rsidRDefault="00ED42CC">
      <w:pPr>
        <w:widowControl w:val="0"/>
      </w:pPr>
    </w:p>
    <w:p w:rsidR="00ED42CC" w:rsidRDefault="00E3051E">
      <w:pPr>
        <w:widowControl w:val="0"/>
      </w:pPr>
      <w:r>
        <w:t>uzavřeli níže uvedeného dne, měsíce a roku smlouvu o využití výsledků ve smyslu ustanovení § 11 zákona č. 130/2002 Sb., o podpoře výzkumu, experimentálního vývoje a inovací z veřejných prostředků a o změně některých souvisejících zákonů (zákon o podpoře výzkumu, experimentálního vývoje a inovací), ve znění pozdějších předpisů (dále jen „</w:t>
      </w:r>
      <w:r>
        <w:rPr>
          <w:b/>
          <w:bCs/>
        </w:rPr>
        <w:t>ZPVV</w:t>
      </w:r>
      <w:r>
        <w:t>“):</w:t>
      </w:r>
    </w:p>
    <w:p w:rsidR="00ED42CC" w:rsidRDefault="00ED42CC">
      <w:pPr>
        <w:widowControl w:val="0"/>
      </w:pPr>
    </w:p>
    <w:p w:rsidR="00ED42CC" w:rsidRDefault="00ED42CC">
      <w:pPr>
        <w:widowControl w:val="0"/>
      </w:pPr>
    </w:p>
    <w:p w:rsidR="00ED42CC" w:rsidRDefault="00ED42CC">
      <w:pPr>
        <w:widowControl w:val="0"/>
      </w:pPr>
    </w:p>
    <w:p w:rsidR="00ED42CC" w:rsidRDefault="00E3051E">
      <w:pPr>
        <w:pStyle w:val="Nadpis1"/>
        <w:keepNext w:val="0"/>
        <w:widowControl w:val="0"/>
        <w:numPr>
          <w:ilvl w:val="0"/>
          <w:numId w:val="2"/>
        </w:numPr>
      </w:pPr>
      <w:r>
        <w:t>Účel a předmět Smlouvy, název a identifikačních údaje Projektu</w:t>
      </w:r>
    </w:p>
    <w:p w:rsidR="00ED42CC" w:rsidRDefault="00ED42CC">
      <w:pPr>
        <w:widowControl w:val="0"/>
      </w:pPr>
    </w:p>
    <w:p w:rsidR="00ED42CC" w:rsidRDefault="00E3051E">
      <w:pPr>
        <w:pStyle w:val="Nadpis2"/>
        <w:keepNext w:val="0"/>
        <w:widowControl w:val="0"/>
        <w:numPr>
          <w:ilvl w:val="1"/>
          <w:numId w:val="2"/>
        </w:numPr>
      </w:pPr>
      <w:r>
        <w:t xml:space="preserve">Účelem a předmětem této smlouvy o využití výsledků (dále jen </w:t>
      </w:r>
      <w:r>
        <w:rPr>
          <w:b/>
          <w:bCs/>
        </w:rPr>
        <w:t>„Smlouva“</w:t>
      </w:r>
      <w:r>
        <w:t xml:space="preserve">) je upravit způsob </w:t>
      </w:r>
      <w:r>
        <w:lastRenderedPageBreak/>
        <w:t>využití výsledků projektu s označením „</w:t>
      </w:r>
      <w:proofErr w:type="spellStart"/>
      <w:r>
        <w:t>Ludus</w:t>
      </w:r>
      <w:proofErr w:type="spellEnd"/>
      <w:r>
        <w:t xml:space="preserve">: </w:t>
      </w:r>
      <w:proofErr w:type="spellStart"/>
      <w:r>
        <w:t>Kolaborativní</w:t>
      </w:r>
      <w:proofErr w:type="spellEnd"/>
      <w:r>
        <w:t xml:space="preserve"> obrana proti internetovým útokům pomocí </w:t>
      </w:r>
      <w:proofErr w:type="spellStart"/>
      <w:r>
        <w:t>stojového</w:t>
      </w:r>
      <w:proofErr w:type="spellEnd"/>
      <w:r>
        <w:t xml:space="preserve"> učení a teorie </w:t>
      </w:r>
      <w:proofErr w:type="gramStart"/>
      <w:r>
        <w:t>her“ , identifikační</w:t>
      </w:r>
      <w:proofErr w:type="gramEnd"/>
      <w:r>
        <w:t xml:space="preserve"> údaje Projektu: </w:t>
      </w:r>
      <w:r>
        <w:rPr>
          <w:b/>
          <w:bCs/>
        </w:rPr>
        <w:t>TH02010990</w:t>
      </w:r>
      <w:r>
        <w:rPr>
          <w:b/>
          <w:bCs/>
          <w:lang w:val="en-US"/>
        </w:rPr>
        <w:t xml:space="preserve"> </w:t>
      </w:r>
      <w:r>
        <w:t>(dále jen „</w:t>
      </w:r>
      <w:r>
        <w:rPr>
          <w:b/>
          <w:bCs/>
        </w:rPr>
        <w:t>Projekt</w:t>
      </w:r>
      <w:r>
        <w:t xml:space="preserve">“) v souladu se Smlouvou o poskytnutí dotace č. 2016TH02010990 ze dne </w:t>
      </w:r>
      <w:r>
        <w:rPr>
          <w:lang w:val="en-US"/>
        </w:rPr>
        <w:t>11/</w:t>
      </w:r>
      <w:r>
        <w:t>2016, (dále jen „</w:t>
      </w:r>
      <w:r>
        <w:rPr>
          <w:b/>
          <w:bCs/>
        </w:rPr>
        <w:t>Smlouva o poskytnutí dotace</w:t>
      </w:r>
      <w:r>
        <w:t>“) uzavřenou/vydaným Technologickou agenturou České republiky (dále jen „</w:t>
      </w:r>
      <w:r>
        <w:rPr>
          <w:b/>
          <w:bCs/>
        </w:rPr>
        <w:t>Poskytovatel“</w:t>
      </w:r>
      <w:r>
        <w:t>) v rámci Programu na podporu aplikovaného výzkumu a experimentálního vývoje EPSILON (dále jen „</w:t>
      </w:r>
      <w:r>
        <w:rPr>
          <w:b/>
          <w:bCs/>
        </w:rPr>
        <w:t>Výzva</w:t>
      </w:r>
      <w:r>
        <w:t>“ nebo „</w:t>
      </w:r>
      <w:r>
        <w:rPr>
          <w:b/>
          <w:bCs/>
        </w:rPr>
        <w:t>Program</w:t>
      </w:r>
      <w:r>
        <w:t>“).</w:t>
      </w:r>
    </w:p>
    <w:p w:rsidR="00ED42CC" w:rsidRDefault="00ED42CC">
      <w:pPr>
        <w:widowControl w:val="0"/>
      </w:pPr>
    </w:p>
    <w:p w:rsidR="00ED42CC" w:rsidRDefault="00E3051E">
      <w:pPr>
        <w:pStyle w:val="Nadpis1"/>
        <w:keepNext w:val="0"/>
        <w:widowControl w:val="0"/>
        <w:numPr>
          <w:ilvl w:val="0"/>
          <w:numId w:val="2"/>
        </w:numPr>
      </w:pPr>
      <w:r>
        <w:t>Vymezení výsledků a jejich srovnání s cíli Projektu</w:t>
      </w:r>
    </w:p>
    <w:p w:rsidR="00ED42CC" w:rsidRDefault="00ED42CC">
      <w:pPr>
        <w:widowControl w:val="0"/>
      </w:pPr>
    </w:p>
    <w:p w:rsidR="00ED42CC" w:rsidRDefault="00E3051E">
      <w:pPr>
        <w:pStyle w:val="Nadpis2"/>
        <w:keepNext w:val="0"/>
        <w:widowControl w:val="0"/>
        <w:numPr>
          <w:ilvl w:val="1"/>
          <w:numId w:val="2"/>
        </w:numPr>
      </w:pPr>
      <w:r>
        <w:t>Výsledky dosažené v rámci Projektu (dále jen „</w:t>
      </w:r>
      <w:r>
        <w:rPr>
          <w:b/>
          <w:bCs/>
        </w:rPr>
        <w:t>Výsledky</w:t>
      </w:r>
      <w:r>
        <w:t>“), podíl Smluvních stran a srovnání s cíli Projektu jsou vymezeny v Příloze č. 1 Smlouvy.</w:t>
      </w:r>
    </w:p>
    <w:p w:rsidR="00ED42CC" w:rsidRDefault="00ED42CC">
      <w:pPr>
        <w:widowControl w:val="0"/>
      </w:pPr>
    </w:p>
    <w:p w:rsidR="00ED42CC" w:rsidRDefault="00E3051E">
      <w:pPr>
        <w:pStyle w:val="Nadpis1"/>
        <w:keepNext w:val="0"/>
        <w:widowControl w:val="0"/>
        <w:numPr>
          <w:ilvl w:val="0"/>
          <w:numId w:val="2"/>
        </w:numPr>
      </w:pPr>
      <w:r>
        <w:t>Úprava vlastnických a užívacích práv k Výsledkům</w:t>
      </w:r>
    </w:p>
    <w:p w:rsidR="00ED42CC" w:rsidRDefault="00ED42CC">
      <w:pPr>
        <w:widowControl w:val="0"/>
      </w:pPr>
    </w:p>
    <w:p w:rsidR="00ED42CC" w:rsidRDefault="00E3051E">
      <w:pPr>
        <w:pStyle w:val="Nadpis2"/>
        <w:keepNext w:val="0"/>
        <w:widowControl w:val="0"/>
        <w:numPr>
          <w:ilvl w:val="1"/>
          <w:numId w:val="2"/>
        </w:numPr>
      </w:pPr>
      <w:r>
        <w:t>Smluvní strany se dohodly, že předměty průmyslového vlastnictví a duševní vlastnictví vzniklé při plnění úkolů v rámci Projektu jsou majetkem té Smluvní strany, jejíž pracovníci předměty průmyslového vlastnictví a/nebo duševní vlastnictví vytvořili. Smluvní strany si navzájem oznámí vytvoření předmětu průmyslového nebo duševního vlastnictví.</w:t>
      </w:r>
    </w:p>
    <w:p w:rsidR="00ED42CC" w:rsidRDefault="00E3051E">
      <w:pPr>
        <w:pStyle w:val="Nadpis2"/>
        <w:keepNext w:val="0"/>
        <w:widowControl w:val="0"/>
        <w:numPr>
          <w:ilvl w:val="1"/>
          <w:numId w:val="2"/>
        </w:numPr>
      </w:pPr>
      <w:r>
        <w:t xml:space="preserve">Smluvní strany dále prohlašují, že vlastnictví Výsledků a přístupová a užívací práva k Výsledkům vytvořeným v rámci Projektu společně partnery / účastníky / Příjemcem a </w:t>
      </w:r>
      <w:proofErr w:type="spellStart"/>
      <w:r>
        <w:t>spolupříjemci</w:t>
      </w:r>
      <w:proofErr w:type="spellEnd"/>
      <w:r>
        <w:t xml:space="preserve"> jsou upravena v souladu se smlouvou. Smluvní strany prohlašují, že jsou oprávněny dostát závazkům vyplývajícím z této Smlouvy. Podíl na Výsledcích je podrobněji vymezen v Příloze č. 1 Smlouvy.</w:t>
      </w:r>
    </w:p>
    <w:p w:rsidR="00ED42CC" w:rsidRDefault="00ED42CC">
      <w:pPr>
        <w:spacing w:before="0" w:after="0" w:line="240" w:lineRule="auto"/>
        <w:jc w:val="left"/>
      </w:pPr>
    </w:p>
    <w:p w:rsidR="00ED42CC" w:rsidRDefault="00E3051E">
      <w:pPr>
        <w:pStyle w:val="Nadpis2"/>
        <w:keepNext w:val="0"/>
        <w:widowControl w:val="0"/>
        <w:numPr>
          <w:ilvl w:val="1"/>
          <w:numId w:val="2"/>
        </w:numPr>
      </w:pPr>
      <w:r>
        <w:t>Jakékoliv budoucí postoupení práv k Výsledkům bude provedeno tak, aby byla dodržena pravidla vyplývající ze Smlouvy o poskytnutí podpory, z ustanovení § 16 Zákona a pravidla veřejné podpory ve smyslu čl. 107 Smlouvy o fungování Evropské unie.</w:t>
      </w:r>
    </w:p>
    <w:p w:rsidR="00ED42CC" w:rsidRDefault="00ED42CC">
      <w:pPr>
        <w:widowControl w:val="0"/>
      </w:pPr>
    </w:p>
    <w:p w:rsidR="00ED42CC" w:rsidRDefault="00E3051E">
      <w:pPr>
        <w:pStyle w:val="Nadpis1"/>
        <w:keepNext w:val="0"/>
        <w:widowControl w:val="0"/>
        <w:numPr>
          <w:ilvl w:val="0"/>
          <w:numId w:val="2"/>
        </w:numPr>
      </w:pPr>
      <w:r>
        <w:t>Způsob využití Výsledků a doba, ve které budou Výsledky využity</w:t>
      </w:r>
    </w:p>
    <w:p w:rsidR="00ED42CC" w:rsidRDefault="00ED42CC">
      <w:pPr>
        <w:widowControl w:val="0"/>
      </w:pPr>
    </w:p>
    <w:p w:rsidR="00ED42CC" w:rsidRDefault="00E3051E">
      <w:pPr>
        <w:pStyle w:val="Nadpis2"/>
        <w:keepNext w:val="0"/>
        <w:widowControl w:val="0"/>
        <w:numPr>
          <w:ilvl w:val="1"/>
          <w:numId w:val="2"/>
        </w:numPr>
      </w:pPr>
      <w:r>
        <w:t xml:space="preserve">Partner se zavazuje poskytnout Příjemci nezbytnou součinnost při tvorbě zpráv o implementaci pro Poskytovatele a je srozuměn s tím, že v případě neplnění povinností mohou být vůči Projektu ze strany Poskytovatele uděleny finanční sankce. </w:t>
      </w:r>
    </w:p>
    <w:p w:rsidR="00ED42CC" w:rsidRDefault="00E3051E">
      <w:pPr>
        <w:pStyle w:val="Nadpis2"/>
        <w:keepNext w:val="0"/>
        <w:widowControl w:val="0"/>
        <w:numPr>
          <w:ilvl w:val="1"/>
          <w:numId w:val="2"/>
        </w:numPr>
      </w:pPr>
      <w:r>
        <w:t>Smluvní strany prohlašují, že budou používat příjmy z komerčního využití Výsledků v souladu s pravidly veřejné podpory ve smyslu čl. 107 Smlouvy o fungování Evropské unie.</w:t>
      </w:r>
    </w:p>
    <w:p w:rsidR="00ED42CC" w:rsidRDefault="00ED42CC">
      <w:pPr>
        <w:widowControl w:val="0"/>
      </w:pPr>
    </w:p>
    <w:p w:rsidR="00ED42CC" w:rsidRDefault="00E3051E">
      <w:pPr>
        <w:pStyle w:val="Nadpis1"/>
        <w:keepNext w:val="0"/>
        <w:widowControl w:val="0"/>
        <w:numPr>
          <w:ilvl w:val="0"/>
          <w:numId w:val="2"/>
        </w:numPr>
      </w:pPr>
      <w:r>
        <w:lastRenderedPageBreak/>
        <w:t>Rozsah stupně důvěrnosti údajů a způsob nakládání s nimi</w:t>
      </w:r>
    </w:p>
    <w:p w:rsidR="00ED42CC" w:rsidRDefault="00ED42CC">
      <w:pPr>
        <w:widowControl w:val="0"/>
      </w:pPr>
    </w:p>
    <w:p w:rsidR="00ED42CC" w:rsidRDefault="00E3051E">
      <w:pPr>
        <w:pStyle w:val="Odrazka2"/>
        <w:widowControl w:val="0"/>
        <w:numPr>
          <w:ilvl w:val="1"/>
          <w:numId w:val="4"/>
        </w:numPr>
      </w:pPr>
      <w:r>
        <w:t xml:space="preserve">Žádný kód, data ani výsledky tohoto projektu nepodléhají utajení. Veškerý kód, data a výsledky jsou volně dostupné na internetu. Veškeré vytvořené nástroje byly publikovány s licencí GPL v3 </w:t>
      </w:r>
      <w:proofErr w:type="spellStart"/>
      <w:r w:rsidR="00C133A8">
        <w:t>xxxxx</w:t>
      </w:r>
      <w:proofErr w:type="spellEnd"/>
      <w:r>
        <w:t>.</w:t>
      </w:r>
    </w:p>
    <w:p w:rsidR="00ED42CC" w:rsidRDefault="00E3051E">
      <w:pPr>
        <w:pStyle w:val="Nadpis1"/>
        <w:keepNext w:val="0"/>
        <w:widowControl w:val="0"/>
        <w:numPr>
          <w:ilvl w:val="1"/>
          <w:numId w:val="5"/>
        </w:numPr>
      </w:pPr>
      <w:r>
        <w:t xml:space="preserve">Sankce </w:t>
      </w:r>
    </w:p>
    <w:p w:rsidR="00ED42CC" w:rsidRDefault="00ED42CC">
      <w:pPr>
        <w:widowControl w:val="0"/>
        <w:ind w:left="720"/>
      </w:pPr>
    </w:p>
    <w:p w:rsidR="00ED42CC" w:rsidRDefault="00E3051E">
      <w:pPr>
        <w:pStyle w:val="Nadpis2"/>
        <w:keepNext w:val="0"/>
        <w:widowControl w:val="0"/>
        <w:numPr>
          <w:ilvl w:val="2"/>
          <w:numId w:val="2"/>
        </w:numPr>
      </w:pPr>
      <w:r>
        <w:t>V případě, že v důsledku neplnění povinností bude ze strany Poskytovatele Příjemci udělena jakákoliv sankce, je Partner povinen odpovídající část plné výše sankce (včetně účtovaných úroků, smluvních sankcí, odvodů za porušení rozpočtové kázně apod.) Příjemci uhradit dle výše způsobilých výdajů na projektu a míře, jakou přispěli k udělení sankce Příjemci. V pochybnostech se má za to, že se všechny strany podílely na udělení sankce stejnou měrou.</w:t>
      </w:r>
    </w:p>
    <w:p w:rsidR="00ED42CC" w:rsidRDefault="00E3051E">
      <w:pPr>
        <w:pStyle w:val="Nadpis2"/>
        <w:keepNext w:val="0"/>
        <w:widowControl w:val="0"/>
        <w:numPr>
          <w:ilvl w:val="2"/>
          <w:numId w:val="2"/>
        </w:numPr>
      </w:pPr>
      <w:r>
        <w:t>V případě neplnění povinností podle této Smlouvy je druhá smluvní strana 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druhé smluvní straně smluvní pokutu ve výši 0,1 % způsobilých nákladů Projektu připadajících dle projektové žádosti na tuto smluvní stranu porušující povinnosti dle Smlouvy za každý den trvání porušení povinnosti a/nebo stavu vzniklého porušením povinnosti, a to až do celkové výše 20 % způsobilých nákladů Projektu připadajících dle projektové žádosti na tuto smluvní stranu.</w:t>
      </w:r>
    </w:p>
    <w:p w:rsidR="00ED42CC" w:rsidRDefault="00E3051E">
      <w:pPr>
        <w:pStyle w:val="Nadpis2"/>
        <w:numPr>
          <w:ilvl w:val="2"/>
          <w:numId w:val="2"/>
        </w:numPr>
      </w:pPr>
      <w:r>
        <w:t>Zaplacením smluvní pokuty nejsou dotčeny nároky smluvních stran na náhradu škody v částce převyšující hodnotu zaplacené smluvní pokuty.</w:t>
      </w:r>
    </w:p>
    <w:p w:rsidR="00ED42CC" w:rsidRDefault="00ED42CC"/>
    <w:p w:rsidR="00ED42CC" w:rsidRDefault="00E3051E">
      <w:pPr>
        <w:pStyle w:val="Nadpis1"/>
        <w:keepNext w:val="0"/>
        <w:widowControl w:val="0"/>
        <w:numPr>
          <w:ilvl w:val="0"/>
          <w:numId w:val="2"/>
        </w:numPr>
      </w:pPr>
      <w:r>
        <w:t>Závěrečná ustanovení</w:t>
      </w:r>
    </w:p>
    <w:p w:rsidR="00ED42CC" w:rsidRDefault="00ED42CC">
      <w:pPr>
        <w:widowControl w:val="0"/>
      </w:pPr>
    </w:p>
    <w:p w:rsidR="00ED42CC" w:rsidRDefault="00E3051E">
      <w:pPr>
        <w:pStyle w:val="Nadpis2"/>
        <w:keepNext w:val="0"/>
        <w:widowControl w:val="0"/>
        <w:numPr>
          <w:ilvl w:val="1"/>
          <w:numId w:val="2"/>
        </w:numPr>
      </w:pPr>
      <w:r>
        <w:t>Smluvní strany jsou povinny vzájemně se písemně informovat o každé změně údajů uvedených ve Smlouvě či jejích přílohách jakož i o jakýchkoliv skutečnostech relevantních pro plnění Implementačního plánu a postupu Poskytovatele vůči Příjemci ve vztahu k Projektu.</w:t>
      </w:r>
    </w:p>
    <w:p w:rsidR="00ED42CC" w:rsidRDefault="00E3051E">
      <w:pPr>
        <w:pStyle w:val="Nadpis2"/>
        <w:keepNext w:val="0"/>
        <w:widowControl w:val="0"/>
        <w:numPr>
          <w:ilvl w:val="1"/>
          <w:numId w:val="2"/>
        </w:numPr>
      </w:pPr>
      <w:r>
        <w:t xml:space="preserve">Změny a doplňky Smlouvy mohou být prováděny pouze dohodou smluvních stran ve formě číslovaných písemných dodatků k této Smlouvě. </w:t>
      </w:r>
    </w:p>
    <w:p w:rsidR="00ED42CC" w:rsidRDefault="00E3051E">
      <w:pPr>
        <w:pStyle w:val="Nadpis2"/>
        <w:keepNext w:val="0"/>
        <w:widowControl w:val="0"/>
        <w:numPr>
          <w:ilvl w:val="1"/>
          <w:numId w:val="2"/>
        </w:numPr>
      </w:pPr>
      <w:r>
        <w:t>Vztahy neupravené Smlouvou se řídí ZPVV a Občanským zákoníkem.</w:t>
      </w:r>
    </w:p>
    <w:p w:rsidR="00ED42CC" w:rsidRDefault="00E3051E">
      <w:pPr>
        <w:pStyle w:val="Nadpis2"/>
        <w:keepNext w:val="0"/>
        <w:widowControl w:val="0"/>
        <w:numPr>
          <w:ilvl w:val="1"/>
          <w:numId w:val="2"/>
        </w:numPr>
      </w:pPr>
      <w:r>
        <w:t xml:space="preserve">Tato Smlouva je vyhotovena ve třech stejnopisech, z nichž každá ze smluvních stran obdrží po jednom vyhotovení a třetí obdrží příjemce za účelem poskytnutí Poskytovateli. </w:t>
      </w:r>
    </w:p>
    <w:p w:rsidR="00ED42CC" w:rsidRDefault="00E3051E">
      <w:pPr>
        <w:pStyle w:val="Nadpis2"/>
        <w:keepNext w:val="0"/>
        <w:widowControl w:val="0"/>
        <w:tabs>
          <w:tab w:val="left" w:pos="1844"/>
        </w:tabs>
        <w:ind w:left="567" w:hanging="567"/>
      </w:pPr>
      <w:r>
        <w:t xml:space="preserve">7.5.    Smlouva nabývá účinnosti dnem jejího podpisu zástupci obou smluvních stran a uzavírá se na dobu nejzazšího termínu stanoveného Implementačním plánem. Ustanovení článků 4., 5. a 6. zůstávají platná a účinná i po skončení doby, na kterou je Smlouva uzavřena. Stejně tak </w:t>
      </w:r>
      <w:r>
        <w:lastRenderedPageBreak/>
        <w:t>zachovávají platná a účinná i jakákoliv dalších ustanovení Smlouvy, u nichž je zřejmé, že bylo úmyslem smluvních stran, aby nepozbyly platnosti a účinnosti okamžikem uplynutí doby, na kterou je Smlouva uzavřena.</w:t>
      </w:r>
    </w:p>
    <w:p w:rsidR="00ED42CC" w:rsidRDefault="00E3051E">
      <w:pPr>
        <w:spacing w:line="240" w:lineRule="atLeast"/>
        <w:ind w:left="567" w:hanging="567"/>
      </w:pPr>
      <w:r>
        <w:rPr>
          <w:b/>
          <w:bCs/>
        </w:rPr>
        <w:t>7. 6.</w:t>
      </w:r>
      <w:r>
        <w:rPr>
          <w:b/>
          <w:bCs/>
        </w:rPr>
        <w:tab/>
        <w:t xml:space="preserve"> </w:t>
      </w:r>
      <w:r>
        <w:t xml:space="preserve">Smluvní strany souhlasí s uveřejněním Smlouvy v registru smluv podle zákona č. 340/2015 Sb., o zvláštních podmínkách účinnosti některých smluv, uveřejňování těchto smluv a o registru smluv, které zajistí Partner; pro účely jejího uveřejnění nepovažují smluvní strany  nic z obsahu této smlouvy ani z </w:t>
      </w:r>
      <w:proofErr w:type="spellStart"/>
      <w:r>
        <w:t>metadat</w:t>
      </w:r>
      <w:proofErr w:type="spellEnd"/>
      <w:r>
        <w:t xml:space="preserve"> k ní se vážících za vyloučené z uveřejnění.</w:t>
      </w:r>
    </w:p>
    <w:p w:rsidR="00ED42CC" w:rsidRDefault="00ED42CC"/>
    <w:p w:rsidR="00ED42CC" w:rsidRDefault="00ED42CC"/>
    <w:p w:rsidR="00ED42CC" w:rsidRDefault="00E3051E">
      <w:pPr>
        <w:rPr>
          <w:b/>
          <w:bCs/>
        </w:rPr>
      </w:pPr>
      <w:r>
        <w:rPr>
          <w:b/>
          <w:bCs/>
        </w:rPr>
        <w:t>Přílohy:</w:t>
      </w:r>
    </w:p>
    <w:p w:rsidR="00ED42CC" w:rsidRDefault="00E3051E">
      <w:pPr>
        <w:ind w:left="1418" w:hanging="1418"/>
      </w:pPr>
      <w:r>
        <w:t xml:space="preserve">Příloha č. 1 </w:t>
      </w:r>
      <w:r>
        <w:tab/>
        <w:t>Vymezení Výsledků a podílu na Výsledcích</w:t>
      </w:r>
    </w:p>
    <w:p w:rsidR="00ED42CC" w:rsidRDefault="00ED42CC"/>
    <w:p w:rsidR="00ED42CC" w:rsidRDefault="00E3051E">
      <w:r>
        <w:t xml:space="preserve">V  Praze dne </w:t>
      </w:r>
      <w:proofErr w:type="gramStart"/>
      <w:r w:rsidR="005A21FD">
        <w:t>29.9.2021</w:t>
      </w:r>
      <w:proofErr w:type="gramEnd"/>
    </w:p>
    <w:p w:rsidR="00ED42CC" w:rsidRDefault="00ED42CC"/>
    <w:p w:rsidR="00ED42CC" w:rsidRDefault="00ED42CC"/>
    <w:p w:rsidR="00ED42CC" w:rsidRDefault="00ED42CC"/>
    <w:tbl>
      <w:tblPr>
        <w:tblStyle w:val="TableNormal"/>
        <w:tblW w:w="89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709"/>
        <w:gridCol w:w="4184"/>
      </w:tblGrid>
      <w:tr w:rsidR="00ED42CC">
        <w:trPr>
          <w:trHeight w:val="568"/>
        </w:trPr>
        <w:tc>
          <w:tcPr>
            <w:tcW w:w="4077" w:type="dxa"/>
            <w:tcBorders>
              <w:top w:val="single" w:sz="4" w:space="0" w:color="000000"/>
              <w:left w:val="nil"/>
              <w:bottom w:val="nil"/>
              <w:right w:val="nil"/>
            </w:tcBorders>
            <w:shd w:val="clear" w:color="auto" w:fill="auto"/>
            <w:tcMar>
              <w:top w:w="80" w:type="dxa"/>
              <w:left w:w="80" w:type="dxa"/>
              <w:bottom w:w="80" w:type="dxa"/>
              <w:right w:w="80" w:type="dxa"/>
            </w:tcMar>
          </w:tcPr>
          <w:p w:rsidR="00ED42CC" w:rsidRDefault="00E3051E">
            <w:pPr>
              <w:jc w:val="center"/>
            </w:pPr>
            <w:r>
              <w:rPr>
                <w:b/>
                <w:bCs/>
                <w:lang w:val="en-US"/>
              </w:rPr>
              <w:t>CZNIC</w:t>
            </w:r>
          </w:p>
        </w:tc>
        <w:tc>
          <w:tcPr>
            <w:tcW w:w="709" w:type="dxa"/>
            <w:tcBorders>
              <w:top w:val="nil"/>
              <w:left w:val="nil"/>
              <w:bottom w:val="nil"/>
              <w:right w:val="nil"/>
            </w:tcBorders>
            <w:shd w:val="clear" w:color="auto" w:fill="auto"/>
            <w:tcMar>
              <w:top w:w="80" w:type="dxa"/>
              <w:left w:w="80" w:type="dxa"/>
              <w:bottom w:w="80" w:type="dxa"/>
              <w:right w:w="80" w:type="dxa"/>
            </w:tcMar>
          </w:tcPr>
          <w:p w:rsidR="00ED42CC" w:rsidRDefault="00ED42CC"/>
        </w:tc>
        <w:tc>
          <w:tcPr>
            <w:tcW w:w="4184" w:type="dxa"/>
            <w:tcBorders>
              <w:top w:val="single" w:sz="4" w:space="0" w:color="000000"/>
              <w:left w:val="nil"/>
              <w:bottom w:val="nil"/>
              <w:right w:val="nil"/>
            </w:tcBorders>
            <w:shd w:val="clear" w:color="auto" w:fill="auto"/>
            <w:tcMar>
              <w:top w:w="80" w:type="dxa"/>
              <w:left w:w="80" w:type="dxa"/>
              <w:bottom w:w="80" w:type="dxa"/>
              <w:right w:w="80" w:type="dxa"/>
            </w:tcMar>
          </w:tcPr>
          <w:p w:rsidR="00ED42CC" w:rsidRDefault="00E3051E">
            <w:pPr>
              <w:widowControl w:val="0"/>
            </w:pPr>
            <w:r>
              <w:rPr>
                <w:b/>
                <w:bCs/>
              </w:rPr>
              <w:t xml:space="preserve">                     České vysoké učení v Praze</w:t>
            </w:r>
          </w:p>
        </w:tc>
      </w:tr>
      <w:tr w:rsidR="00ED42CC">
        <w:trPr>
          <w:trHeight w:val="211"/>
        </w:trPr>
        <w:tc>
          <w:tcPr>
            <w:tcW w:w="4077" w:type="dxa"/>
            <w:tcBorders>
              <w:top w:val="nil"/>
              <w:left w:val="nil"/>
              <w:bottom w:val="nil"/>
              <w:right w:val="nil"/>
            </w:tcBorders>
            <w:shd w:val="clear" w:color="auto" w:fill="auto"/>
            <w:tcMar>
              <w:top w:w="80" w:type="dxa"/>
              <w:left w:w="80" w:type="dxa"/>
              <w:bottom w:w="80" w:type="dxa"/>
              <w:right w:w="80" w:type="dxa"/>
            </w:tcMar>
          </w:tcPr>
          <w:p w:rsidR="00ED42CC" w:rsidRDefault="00E3051E" w:rsidP="00C133A8">
            <w:r>
              <w:t xml:space="preserve">jméno: </w:t>
            </w:r>
            <w:proofErr w:type="spellStart"/>
            <w:r w:rsidR="00C133A8">
              <w:t>xxxxx</w:t>
            </w:r>
            <w:proofErr w:type="spellEnd"/>
          </w:p>
        </w:tc>
        <w:tc>
          <w:tcPr>
            <w:tcW w:w="709" w:type="dxa"/>
            <w:tcBorders>
              <w:top w:val="nil"/>
              <w:left w:val="nil"/>
              <w:bottom w:val="nil"/>
              <w:right w:val="nil"/>
            </w:tcBorders>
            <w:shd w:val="clear" w:color="auto" w:fill="auto"/>
            <w:tcMar>
              <w:top w:w="80" w:type="dxa"/>
              <w:left w:w="80" w:type="dxa"/>
              <w:bottom w:w="80" w:type="dxa"/>
              <w:right w:w="80" w:type="dxa"/>
            </w:tcMar>
          </w:tcPr>
          <w:p w:rsidR="00ED42CC" w:rsidRDefault="00ED42CC"/>
        </w:tc>
        <w:tc>
          <w:tcPr>
            <w:tcW w:w="4184" w:type="dxa"/>
            <w:tcBorders>
              <w:top w:val="nil"/>
              <w:left w:val="nil"/>
              <w:bottom w:val="nil"/>
              <w:right w:val="nil"/>
            </w:tcBorders>
            <w:shd w:val="clear" w:color="auto" w:fill="auto"/>
            <w:tcMar>
              <w:top w:w="80" w:type="dxa"/>
              <w:left w:w="80" w:type="dxa"/>
              <w:bottom w:w="80" w:type="dxa"/>
              <w:right w:w="80" w:type="dxa"/>
            </w:tcMar>
          </w:tcPr>
          <w:p w:rsidR="00ED42CC" w:rsidRDefault="00E3051E" w:rsidP="00C133A8">
            <w:r>
              <w:t>jméno:</w:t>
            </w:r>
            <w:r w:rsidRPr="005A21FD">
              <w:t xml:space="preserve"> </w:t>
            </w:r>
            <w:r w:rsidR="00C133A8">
              <w:t>xxxxx</w:t>
            </w:r>
            <w:bookmarkStart w:id="2" w:name="_GoBack"/>
            <w:bookmarkEnd w:id="2"/>
          </w:p>
        </w:tc>
      </w:tr>
      <w:tr w:rsidR="00ED42CC">
        <w:trPr>
          <w:trHeight w:val="503"/>
        </w:trPr>
        <w:tc>
          <w:tcPr>
            <w:tcW w:w="4077" w:type="dxa"/>
            <w:tcBorders>
              <w:top w:val="nil"/>
              <w:left w:val="nil"/>
              <w:bottom w:val="nil"/>
              <w:right w:val="nil"/>
            </w:tcBorders>
            <w:shd w:val="clear" w:color="auto" w:fill="auto"/>
            <w:tcMar>
              <w:top w:w="80" w:type="dxa"/>
              <w:left w:w="80" w:type="dxa"/>
              <w:bottom w:w="80" w:type="dxa"/>
              <w:right w:w="80" w:type="dxa"/>
            </w:tcMar>
          </w:tcPr>
          <w:p w:rsidR="00ED42CC" w:rsidRDefault="00E3051E">
            <w:r>
              <w:t>funkce: Vedoucí oddělení výzkumu a vývoje</w:t>
            </w:r>
          </w:p>
        </w:tc>
        <w:tc>
          <w:tcPr>
            <w:tcW w:w="709" w:type="dxa"/>
            <w:tcBorders>
              <w:top w:val="nil"/>
              <w:left w:val="nil"/>
              <w:bottom w:val="nil"/>
              <w:right w:val="nil"/>
            </w:tcBorders>
            <w:shd w:val="clear" w:color="auto" w:fill="auto"/>
            <w:tcMar>
              <w:top w:w="80" w:type="dxa"/>
              <w:left w:w="80" w:type="dxa"/>
              <w:bottom w:w="80" w:type="dxa"/>
              <w:right w:w="80" w:type="dxa"/>
            </w:tcMar>
          </w:tcPr>
          <w:p w:rsidR="00ED42CC" w:rsidRDefault="00ED42CC"/>
        </w:tc>
        <w:tc>
          <w:tcPr>
            <w:tcW w:w="4184" w:type="dxa"/>
            <w:tcBorders>
              <w:top w:val="nil"/>
              <w:left w:val="nil"/>
              <w:bottom w:val="nil"/>
              <w:right w:val="nil"/>
            </w:tcBorders>
            <w:shd w:val="clear" w:color="auto" w:fill="auto"/>
            <w:tcMar>
              <w:top w:w="80" w:type="dxa"/>
              <w:left w:w="80" w:type="dxa"/>
              <w:bottom w:w="80" w:type="dxa"/>
              <w:right w:w="80" w:type="dxa"/>
            </w:tcMar>
          </w:tcPr>
          <w:p w:rsidR="00ED42CC" w:rsidRDefault="00E3051E">
            <w:r>
              <w:t>funkce: rektor</w:t>
            </w:r>
          </w:p>
        </w:tc>
      </w:tr>
    </w:tbl>
    <w:p w:rsidR="00ED42CC" w:rsidRDefault="00ED42CC">
      <w:pPr>
        <w:widowControl w:val="0"/>
        <w:spacing w:line="240" w:lineRule="auto"/>
      </w:pPr>
    </w:p>
    <w:p w:rsidR="00ED42CC" w:rsidRDefault="00ED42CC">
      <w:pPr>
        <w:sectPr w:rsidR="00ED42CC">
          <w:headerReference w:type="default" r:id="rId7"/>
          <w:footerReference w:type="default" r:id="rId8"/>
          <w:headerReference w:type="first" r:id="rId9"/>
          <w:footerReference w:type="first" r:id="rId10"/>
          <w:pgSz w:w="11900" w:h="16840"/>
          <w:pgMar w:top="1276" w:right="1276" w:bottom="1438" w:left="1800" w:header="709" w:footer="709" w:gutter="0"/>
          <w:cols w:space="708"/>
          <w:titlePg/>
        </w:sectPr>
      </w:pPr>
    </w:p>
    <w:p w:rsidR="00ED42CC" w:rsidRDefault="00E3051E">
      <w:pPr>
        <w:jc w:val="center"/>
        <w:rPr>
          <w:b/>
          <w:bCs/>
        </w:rPr>
      </w:pPr>
      <w:r>
        <w:rPr>
          <w:b/>
          <w:bCs/>
        </w:rPr>
        <w:lastRenderedPageBreak/>
        <w:t>Příloha č. 1</w:t>
      </w:r>
    </w:p>
    <w:p w:rsidR="00ED42CC" w:rsidRDefault="00E3051E">
      <w:pPr>
        <w:jc w:val="center"/>
        <w:rPr>
          <w:b/>
          <w:bCs/>
        </w:rPr>
      </w:pPr>
      <w:r>
        <w:rPr>
          <w:b/>
          <w:bCs/>
        </w:rPr>
        <w:t>Vymezení Výsledků a podílu na Výsledcích</w:t>
      </w:r>
    </w:p>
    <w:p w:rsidR="00ED42CC" w:rsidRDefault="00ED42CC"/>
    <w:p w:rsidR="00ED42CC" w:rsidRDefault="00E3051E">
      <w:r>
        <w:t>Podíl na výsledcích projektu je vymezen následujícím způsobem:</w:t>
      </w:r>
    </w:p>
    <w:p w:rsidR="00ED42CC" w:rsidRDefault="00ED42CC"/>
    <w:tbl>
      <w:tblPr>
        <w:tblStyle w:val="TableNormal"/>
        <w:tblW w:w="91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1"/>
        <w:gridCol w:w="1394"/>
        <w:gridCol w:w="3251"/>
      </w:tblGrid>
      <w:tr w:rsidR="00ED42CC">
        <w:trPr>
          <w:trHeight w:val="513"/>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b/>
                <w:bCs/>
              </w:rPr>
              <w:t>Vymezení Výsledku</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b/>
                <w:bCs/>
              </w:rPr>
              <w:t xml:space="preserve">Kategorie Výsledku </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b/>
                <w:bCs/>
              </w:rPr>
              <w:t xml:space="preserve">Podíl Smluvních stran </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TH02010990-V2</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TH02010990-V3</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TH02010990-V4</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TH02010990-V7</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TH02010990-V8</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TH02010990-V10</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software</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TH02010990-V11</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rPr>
                <w:lang w:val="en-US"/>
              </w:rPr>
              <w:t>Other</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r w:rsidR="00ED42CC">
        <w:trPr>
          <w:trHeight w:val="221"/>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left"/>
            </w:pPr>
            <w:r>
              <w:t>TH02010990-V12</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software</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42CC" w:rsidRDefault="00E3051E">
            <w:pPr>
              <w:jc w:val="center"/>
            </w:pPr>
            <w:r>
              <w:t xml:space="preserve">Příjemce: </w:t>
            </w:r>
            <w:r>
              <w:rPr>
                <w:lang w:val="en-US"/>
              </w:rPr>
              <w:t>50</w:t>
            </w:r>
            <w:r>
              <w:t xml:space="preserve">%,  Partner: </w:t>
            </w:r>
            <w:r>
              <w:rPr>
                <w:lang w:val="en-US"/>
              </w:rPr>
              <w:t>50</w:t>
            </w:r>
            <w:r>
              <w:t>%</w:t>
            </w:r>
          </w:p>
        </w:tc>
      </w:tr>
    </w:tbl>
    <w:p w:rsidR="00ED42CC" w:rsidRDefault="00ED42CC">
      <w:pPr>
        <w:widowControl w:val="0"/>
        <w:spacing w:line="240" w:lineRule="auto"/>
      </w:pPr>
    </w:p>
    <w:p w:rsidR="00ED42CC" w:rsidRDefault="00ED42CC"/>
    <w:sectPr w:rsidR="00ED42CC">
      <w:headerReference w:type="default" r:id="rId11"/>
      <w:headerReference w:type="first" r:id="rId12"/>
      <w:pgSz w:w="11900" w:h="16840"/>
      <w:pgMar w:top="1800" w:right="1276" w:bottom="1276" w:left="1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4C" w:rsidRDefault="00132E4C">
      <w:pPr>
        <w:spacing w:before="0" w:after="0" w:line="240" w:lineRule="auto"/>
      </w:pPr>
      <w:r>
        <w:separator/>
      </w:r>
    </w:p>
  </w:endnote>
  <w:endnote w:type="continuationSeparator" w:id="0">
    <w:p w:rsidR="00132E4C" w:rsidRDefault="00132E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3051E">
    <w:pPr>
      <w:pStyle w:val="Zpat"/>
      <w:jc w:val="center"/>
    </w:pPr>
    <w:r>
      <w:fldChar w:fldCharType="begin"/>
    </w:r>
    <w:r>
      <w:instrText xml:space="preserve"> PAGE </w:instrText>
    </w:r>
    <w:r>
      <w:fldChar w:fldCharType="separate"/>
    </w:r>
    <w:r w:rsidR="00C133A8">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D42C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4C" w:rsidRDefault="00132E4C">
      <w:pPr>
        <w:spacing w:before="0" w:after="0" w:line="240" w:lineRule="auto"/>
      </w:pPr>
      <w:r>
        <w:separator/>
      </w:r>
    </w:p>
  </w:footnote>
  <w:footnote w:type="continuationSeparator" w:id="0">
    <w:p w:rsidR="00132E4C" w:rsidRDefault="00132E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D42C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D42C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D42CC">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CC" w:rsidRDefault="00ED42C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D27"/>
    <w:multiLevelType w:val="hybridMultilevel"/>
    <w:tmpl w:val="F42A8002"/>
    <w:numStyleLink w:val="ImportedStyle2"/>
  </w:abstractNum>
  <w:abstractNum w:abstractNumId="1" w15:restartNumberingAfterBreak="0">
    <w:nsid w:val="0E300C78"/>
    <w:multiLevelType w:val="multilevel"/>
    <w:tmpl w:val="B260C208"/>
    <w:styleLink w:val="ImportedStyle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90" w:hanging="17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90" w:hanging="17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9" w:hanging="21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673" w:hanging="21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177" w:hanging="25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753" w:hanging="28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940055"/>
    <w:multiLevelType w:val="hybridMultilevel"/>
    <w:tmpl w:val="F42A8002"/>
    <w:styleLink w:val="ImportedStyle2"/>
    <w:lvl w:ilvl="0" w:tplc="41DCE054">
      <w:start w:val="1"/>
      <w:numFmt w:val="lowerLetter"/>
      <w:lvlText w:val="%1)"/>
      <w:lvlJc w:val="left"/>
      <w:pPr>
        <w:tabs>
          <w:tab w:val="left" w:pos="794"/>
          <w:tab w:val="left" w:pos="1701"/>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7D6C11EA">
      <w:start w:val="1"/>
      <w:numFmt w:val="lowerRoman"/>
      <w:lvlText w:val="(%2)"/>
      <w:lvlJc w:val="left"/>
      <w:pPr>
        <w:tabs>
          <w:tab w:val="left" w:pos="397"/>
          <w:tab w:val="left" w:pos="794"/>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D92CFF4">
      <w:start w:val="1"/>
      <w:numFmt w:val="lowerRoman"/>
      <w:lvlText w:val="(%3)"/>
      <w:lvlJc w:val="left"/>
      <w:pPr>
        <w:tabs>
          <w:tab w:val="left" w:pos="397"/>
          <w:tab w:val="left" w:pos="794"/>
          <w:tab w:val="left" w:pos="1701"/>
        </w:tabs>
        <w:ind w:left="2623"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80EA17F6">
      <w:start w:val="1"/>
      <w:numFmt w:val="decimal"/>
      <w:lvlText w:val="%4."/>
      <w:lvlJc w:val="left"/>
      <w:pPr>
        <w:tabs>
          <w:tab w:val="left" w:pos="397"/>
          <w:tab w:val="left" w:pos="794"/>
          <w:tab w:val="left" w:pos="1701"/>
        </w:tabs>
        <w:ind w:left="3545"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94AC2E20">
      <w:start w:val="1"/>
      <w:numFmt w:val="lowerLetter"/>
      <w:lvlText w:val="%5."/>
      <w:lvlJc w:val="left"/>
      <w:pPr>
        <w:tabs>
          <w:tab w:val="left" w:pos="397"/>
          <w:tab w:val="left" w:pos="794"/>
          <w:tab w:val="left" w:pos="1701"/>
        </w:tabs>
        <w:ind w:left="4254" w:hanging="277"/>
      </w:pPr>
      <w:rPr>
        <w:rFonts w:hAnsi="Arial Unicode MS"/>
        <w:caps w:val="0"/>
        <w:smallCaps w:val="0"/>
        <w:strike w:val="0"/>
        <w:dstrike w:val="0"/>
        <w:outline w:val="0"/>
        <w:emboss w:val="0"/>
        <w:imprint w:val="0"/>
        <w:spacing w:val="0"/>
        <w:w w:val="100"/>
        <w:kern w:val="0"/>
        <w:position w:val="0"/>
        <w:highlight w:val="none"/>
        <w:vertAlign w:val="baseline"/>
      </w:rPr>
    </w:lvl>
    <w:lvl w:ilvl="5" w:tplc="EA182154">
      <w:start w:val="1"/>
      <w:numFmt w:val="lowerRoman"/>
      <w:lvlText w:val="%6."/>
      <w:lvlJc w:val="left"/>
      <w:pPr>
        <w:tabs>
          <w:tab w:val="left" w:pos="397"/>
          <w:tab w:val="left" w:pos="794"/>
          <w:tab w:val="left" w:pos="1701"/>
        </w:tabs>
        <w:ind w:left="4963" w:hanging="208"/>
      </w:pPr>
      <w:rPr>
        <w:rFonts w:hAnsi="Arial Unicode MS"/>
        <w:caps w:val="0"/>
        <w:smallCaps w:val="0"/>
        <w:strike w:val="0"/>
        <w:dstrike w:val="0"/>
        <w:outline w:val="0"/>
        <w:emboss w:val="0"/>
        <w:imprint w:val="0"/>
        <w:spacing w:val="0"/>
        <w:w w:val="100"/>
        <w:kern w:val="0"/>
        <w:position w:val="0"/>
        <w:highlight w:val="none"/>
        <w:vertAlign w:val="baseline"/>
      </w:rPr>
    </w:lvl>
    <w:lvl w:ilvl="6" w:tplc="FE28F17E">
      <w:start w:val="1"/>
      <w:numFmt w:val="decimal"/>
      <w:lvlText w:val="%7."/>
      <w:lvlJc w:val="left"/>
      <w:pPr>
        <w:tabs>
          <w:tab w:val="left" w:pos="397"/>
          <w:tab w:val="left" w:pos="794"/>
          <w:tab w:val="left" w:pos="1701"/>
        </w:tabs>
        <w:ind w:left="5672" w:hanging="255"/>
      </w:pPr>
      <w:rPr>
        <w:rFonts w:hAnsi="Arial Unicode MS"/>
        <w:caps w:val="0"/>
        <w:smallCaps w:val="0"/>
        <w:strike w:val="0"/>
        <w:dstrike w:val="0"/>
        <w:outline w:val="0"/>
        <w:emboss w:val="0"/>
        <w:imprint w:val="0"/>
        <w:spacing w:val="0"/>
        <w:w w:val="100"/>
        <w:kern w:val="0"/>
        <w:position w:val="0"/>
        <w:highlight w:val="none"/>
        <w:vertAlign w:val="baseline"/>
      </w:rPr>
    </w:lvl>
    <w:lvl w:ilvl="7" w:tplc="2132BCB2">
      <w:start w:val="1"/>
      <w:numFmt w:val="lowerLetter"/>
      <w:lvlText w:val="%8."/>
      <w:lvlJc w:val="left"/>
      <w:pPr>
        <w:tabs>
          <w:tab w:val="left" w:pos="397"/>
          <w:tab w:val="left" w:pos="794"/>
          <w:tab w:val="left" w:pos="1701"/>
        </w:tabs>
        <w:ind w:left="6381" w:hanging="244"/>
      </w:pPr>
      <w:rPr>
        <w:rFonts w:hAnsi="Arial Unicode MS"/>
        <w:caps w:val="0"/>
        <w:smallCaps w:val="0"/>
        <w:strike w:val="0"/>
        <w:dstrike w:val="0"/>
        <w:outline w:val="0"/>
        <w:emboss w:val="0"/>
        <w:imprint w:val="0"/>
        <w:spacing w:val="0"/>
        <w:w w:val="100"/>
        <w:kern w:val="0"/>
        <w:position w:val="0"/>
        <w:highlight w:val="none"/>
        <w:vertAlign w:val="baseline"/>
      </w:rPr>
    </w:lvl>
    <w:lvl w:ilvl="8" w:tplc="8294CB9A">
      <w:start w:val="1"/>
      <w:numFmt w:val="lowerRoman"/>
      <w:suff w:val="nothing"/>
      <w:lvlText w:val="%9."/>
      <w:lvlJc w:val="left"/>
      <w:pPr>
        <w:tabs>
          <w:tab w:val="left" w:pos="397"/>
          <w:tab w:val="left" w:pos="794"/>
          <w:tab w:val="left" w:pos="1701"/>
        </w:tabs>
        <w:ind w:left="7090" w:hanging="1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235ECA"/>
    <w:multiLevelType w:val="multilevel"/>
    <w:tmpl w:val="B260C208"/>
    <w:numStyleLink w:val="ImportedStyle1"/>
  </w:abstractNum>
  <w:num w:numId="1">
    <w:abstractNumId w:val="1"/>
  </w:num>
  <w:num w:numId="2">
    <w:abstractNumId w:val="3"/>
  </w:num>
  <w:num w:numId="3">
    <w:abstractNumId w:val="2"/>
  </w:num>
  <w:num w:numId="4">
    <w:abstractNumId w:val="0"/>
  </w:num>
  <w:num w:numId="5">
    <w:abstractNumId w:val="3"/>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CC"/>
    <w:rsid w:val="00132E4C"/>
    <w:rsid w:val="004C07B8"/>
    <w:rsid w:val="004E167F"/>
    <w:rsid w:val="005A21FD"/>
    <w:rsid w:val="00C133A8"/>
    <w:rsid w:val="00E3051E"/>
    <w:rsid w:val="00ED4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FEF3"/>
  <w15:docId w15:val="{E90FAD8F-F082-4E16-A307-A54C88B6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before="60" w:after="60" w:line="276" w:lineRule="auto"/>
      <w:jc w:val="both"/>
    </w:pPr>
    <w:rPr>
      <w:rFonts w:ascii="Calibri" w:hAnsi="Calibri" w:cs="Arial Unicode MS"/>
      <w:color w:val="000000"/>
      <w:sz w:val="22"/>
      <w:szCs w:val="22"/>
      <w:u w:color="000000"/>
    </w:rPr>
  </w:style>
  <w:style w:type="paragraph" w:styleId="Nadpis1">
    <w:name w:val="heading 1"/>
    <w:next w:val="Normln"/>
    <w:pPr>
      <w:keepNext/>
      <w:spacing w:before="240" w:after="60" w:line="276" w:lineRule="auto"/>
      <w:jc w:val="both"/>
      <w:outlineLvl w:val="0"/>
    </w:pPr>
    <w:rPr>
      <w:rFonts w:ascii="Calibri" w:hAnsi="Calibri" w:cs="Arial Unicode MS"/>
      <w:b/>
      <w:bCs/>
      <w:color w:val="000000"/>
      <w:sz w:val="22"/>
      <w:szCs w:val="22"/>
      <w:u w:color="000000"/>
    </w:rPr>
  </w:style>
  <w:style w:type="paragraph" w:styleId="Nadpis2">
    <w:name w:val="heading 2"/>
    <w:next w:val="Normln"/>
    <w:pPr>
      <w:keepNext/>
      <w:spacing w:before="240" w:after="60" w:line="276" w:lineRule="auto"/>
      <w:jc w:val="both"/>
      <w:outlineLvl w:val="1"/>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pacing w:before="60" w:after="60" w:line="276" w:lineRule="auto"/>
      <w:jc w:val="both"/>
    </w:pPr>
    <w:rPr>
      <w:rFonts w:ascii="Calibri" w:hAnsi="Calibri" w:cs="Arial Unicode MS"/>
      <w:color w:val="000000"/>
      <w:sz w:val="22"/>
      <w:szCs w:val="22"/>
      <w:u w:color="000000"/>
    </w:rPr>
  </w:style>
  <w:style w:type="paragraph" w:customStyle="1" w:styleId="Nadpis">
    <w:name w:val="Nadpis"/>
    <w:next w:val="Normln"/>
    <w:pPr>
      <w:spacing w:before="240" w:after="60" w:line="276" w:lineRule="auto"/>
      <w:jc w:val="both"/>
      <w:outlineLvl w:val="0"/>
    </w:pPr>
    <w:rPr>
      <w:rFonts w:ascii="Calibri" w:hAnsi="Calibri" w:cs="Arial Unicode MS"/>
      <w:b/>
      <w:bCs/>
      <w:color w:val="000000"/>
      <w:kern w:val="28"/>
      <w:sz w:val="22"/>
      <w:szCs w:val="22"/>
      <w:u w:color="000000"/>
    </w:rPr>
  </w:style>
  <w:style w:type="numbering" w:customStyle="1" w:styleId="ImportedStyle1">
    <w:name w:val="Imported Style 1"/>
    <w:pPr>
      <w:numPr>
        <w:numId w:val="1"/>
      </w:numPr>
    </w:pPr>
  </w:style>
  <w:style w:type="paragraph" w:customStyle="1" w:styleId="Odrazka2">
    <w:name w:val="Odrazka 2"/>
    <w:pPr>
      <w:tabs>
        <w:tab w:val="left" w:pos="397"/>
        <w:tab w:val="left" w:pos="794"/>
      </w:tabs>
      <w:spacing w:before="60" w:after="60" w:line="276" w:lineRule="auto"/>
      <w:ind w:left="283" w:hanging="283"/>
      <w:jc w:val="both"/>
    </w:pPr>
    <w:rPr>
      <w:rFonts w:ascii="Calibri" w:hAnsi="Calibri" w:cs="Arial Unicode MS"/>
      <w:color w:val="000000"/>
      <w:sz w:val="22"/>
      <w:szCs w:val="22"/>
      <w:u w:color="000000"/>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1059</Words>
  <Characters>6253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Máj</dc:creator>
  <cp:lastModifiedBy>Bambousova, Karolina</cp:lastModifiedBy>
  <cp:revision>4</cp:revision>
  <dcterms:created xsi:type="dcterms:W3CDTF">2021-09-29T05:56:00Z</dcterms:created>
  <dcterms:modified xsi:type="dcterms:W3CDTF">2021-10-21T11:21:00Z</dcterms:modified>
</cp:coreProperties>
</file>