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72" w:rsidRPr="004E331E" w:rsidRDefault="00642F72" w:rsidP="00642F72">
      <w:pPr>
        <w:pStyle w:val="Zkladntext2"/>
        <w:spacing w:after="0" w:line="240" w:lineRule="auto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Příloha č. 3</w:t>
      </w:r>
    </w:p>
    <w:p w:rsidR="00DA5104" w:rsidRPr="004E331E" w:rsidRDefault="00DA5104" w:rsidP="00642F72">
      <w:pPr>
        <w:pStyle w:val="Zkladntext2"/>
        <w:spacing w:after="0" w:line="240" w:lineRule="auto"/>
        <w:rPr>
          <w:rFonts w:asciiTheme="minorHAnsi" w:hAnsiTheme="minorHAnsi" w:cstheme="minorHAnsi"/>
        </w:rPr>
      </w:pPr>
    </w:p>
    <w:p w:rsidR="00642F72" w:rsidRPr="004E331E" w:rsidRDefault="00642F72" w:rsidP="00642F72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4E331E">
        <w:rPr>
          <w:rFonts w:asciiTheme="minorHAnsi" w:hAnsiTheme="minorHAnsi" w:cstheme="minorHAnsi"/>
          <w:b/>
          <w:szCs w:val="20"/>
        </w:rPr>
        <w:t>KUPNÍ SMLOUVA č.</w:t>
      </w:r>
      <w:r w:rsidR="00B119C8">
        <w:rPr>
          <w:rFonts w:asciiTheme="minorHAnsi" w:hAnsiTheme="minorHAnsi" w:cstheme="minorHAnsi"/>
          <w:b/>
          <w:szCs w:val="20"/>
        </w:rPr>
        <w:t xml:space="preserve">         /</w:t>
      </w:r>
      <w:r w:rsidRPr="004E331E">
        <w:rPr>
          <w:rFonts w:asciiTheme="minorHAnsi" w:hAnsiTheme="minorHAnsi" w:cstheme="minorHAnsi"/>
          <w:b/>
          <w:szCs w:val="20"/>
        </w:rPr>
        <w:t xml:space="preserve"> </w:t>
      </w:r>
      <w:r w:rsidR="00A41175">
        <w:rPr>
          <w:rFonts w:asciiTheme="minorHAnsi" w:hAnsiTheme="minorHAnsi" w:cstheme="minorHAnsi"/>
          <w:b/>
          <w:szCs w:val="20"/>
        </w:rPr>
        <w:t>2021</w:t>
      </w:r>
    </w:p>
    <w:p w:rsidR="00642F72" w:rsidRPr="004F2CFD" w:rsidRDefault="00642F72" w:rsidP="00642F72">
      <w:pPr>
        <w:spacing w:after="60" w:line="276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4F2CFD">
        <w:rPr>
          <w:rFonts w:asciiTheme="minorHAnsi" w:hAnsiTheme="minorHAnsi" w:cstheme="minorHAnsi"/>
          <w:sz w:val="22"/>
          <w:szCs w:val="20"/>
        </w:rPr>
        <w:t>(dále jen „smlouva“)</w:t>
      </w:r>
      <w:r w:rsidR="00A0382C" w:rsidRPr="004F2CFD">
        <w:rPr>
          <w:rFonts w:asciiTheme="minorHAnsi" w:hAnsiTheme="minorHAnsi" w:cstheme="minorHAnsi"/>
          <w:sz w:val="22"/>
          <w:szCs w:val="20"/>
        </w:rPr>
        <w:t xml:space="preserve"> </w:t>
      </w:r>
    </w:p>
    <w:p w:rsidR="00642F72" w:rsidRPr="004F2CFD" w:rsidRDefault="00642F72" w:rsidP="00642F72">
      <w:pPr>
        <w:spacing w:after="60" w:line="276" w:lineRule="auto"/>
        <w:jc w:val="center"/>
        <w:rPr>
          <w:rFonts w:asciiTheme="minorHAnsi" w:hAnsiTheme="minorHAnsi" w:cstheme="minorHAnsi"/>
          <w:i/>
          <w:sz w:val="18"/>
          <w:szCs w:val="16"/>
        </w:rPr>
      </w:pPr>
      <w:r w:rsidRPr="004F2CFD">
        <w:rPr>
          <w:rFonts w:asciiTheme="minorHAnsi" w:hAnsiTheme="minorHAnsi" w:cstheme="minorHAnsi"/>
          <w:i/>
          <w:sz w:val="18"/>
          <w:szCs w:val="16"/>
        </w:rPr>
        <w:t xml:space="preserve">uzavřená ve smyslu § </w:t>
      </w:r>
      <w:r w:rsidR="00D10B55" w:rsidRPr="004F2CFD">
        <w:rPr>
          <w:rFonts w:asciiTheme="minorHAnsi" w:hAnsiTheme="minorHAnsi" w:cstheme="minorHAnsi"/>
          <w:i/>
          <w:sz w:val="18"/>
          <w:szCs w:val="16"/>
        </w:rPr>
        <w:t>2079 a násl. zákona č. 89/2012</w:t>
      </w:r>
      <w:r w:rsidRPr="004F2CFD">
        <w:rPr>
          <w:rFonts w:asciiTheme="minorHAnsi" w:hAnsiTheme="minorHAnsi" w:cstheme="minorHAnsi"/>
          <w:i/>
          <w:sz w:val="18"/>
          <w:szCs w:val="16"/>
        </w:rPr>
        <w:t xml:space="preserve"> Sb., </w:t>
      </w:r>
      <w:r w:rsidR="00D10B55" w:rsidRPr="004F2CFD">
        <w:rPr>
          <w:rFonts w:asciiTheme="minorHAnsi" w:hAnsiTheme="minorHAnsi" w:cstheme="minorHAnsi"/>
          <w:i/>
          <w:sz w:val="18"/>
          <w:szCs w:val="16"/>
        </w:rPr>
        <w:t>občanský zákoník, ve znění pozdějších předpisů</w:t>
      </w:r>
    </w:p>
    <w:p w:rsidR="00642F72" w:rsidRPr="004E331E" w:rsidRDefault="00642F72" w:rsidP="00642F72">
      <w:pPr>
        <w:spacing w:after="60"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642F72" w:rsidRPr="004E331E" w:rsidRDefault="00642F72" w:rsidP="00EE3346">
      <w:pPr>
        <w:pStyle w:val="Nadpis1"/>
        <w:rPr>
          <w:b w:val="0"/>
        </w:rPr>
      </w:pPr>
      <w:r w:rsidRPr="004E331E">
        <w:t>Smluvní strany</w:t>
      </w:r>
    </w:p>
    <w:p w:rsidR="00642F72" w:rsidRPr="004E331E" w:rsidRDefault="00642F72" w:rsidP="00F85BC4">
      <w:pPr>
        <w:pStyle w:val="Nadpis2"/>
      </w:pPr>
      <w:r w:rsidRPr="004E331E">
        <w:t>Kupující:</w:t>
      </w:r>
      <w:r w:rsidRPr="004E331E">
        <w:tab/>
      </w:r>
      <w:r w:rsidR="00A41175">
        <w:tab/>
      </w:r>
      <w:r w:rsidR="00A41175">
        <w:tab/>
      </w:r>
      <w:r w:rsidR="00713D21">
        <w:tab/>
      </w:r>
      <w:r w:rsidR="00A41175" w:rsidRPr="00713D21">
        <w:rPr>
          <w:b/>
        </w:rPr>
        <w:t>Ústav informatiky</w:t>
      </w:r>
      <w:r w:rsidR="00092D7F" w:rsidRPr="00713D21">
        <w:rPr>
          <w:b/>
        </w:rPr>
        <w:t xml:space="preserve"> AV ČR</w:t>
      </w:r>
      <w:r w:rsidRPr="00713D21">
        <w:rPr>
          <w:b/>
        </w:rPr>
        <w:t>,</w:t>
      </w:r>
      <w:r w:rsidR="00092D7F" w:rsidRPr="00713D21">
        <w:rPr>
          <w:b/>
        </w:rPr>
        <w:t xml:space="preserve"> </w:t>
      </w:r>
      <w:r w:rsidRPr="00713D21">
        <w:rPr>
          <w:b/>
        </w:rPr>
        <w:t>v. v. i.</w:t>
      </w:r>
      <w:r w:rsidRPr="004E331E">
        <w:t xml:space="preserve">   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Sídlo:</w:t>
      </w:r>
      <w:r w:rsidRPr="004E331E">
        <w:rPr>
          <w:rFonts w:asciiTheme="minorHAnsi" w:hAnsiTheme="minorHAnsi" w:cstheme="minorHAnsi"/>
          <w:sz w:val="24"/>
        </w:rPr>
        <w:tab/>
      </w:r>
      <w:r w:rsidRPr="004E331E">
        <w:rPr>
          <w:rFonts w:asciiTheme="minorHAnsi" w:hAnsiTheme="minorHAnsi" w:cstheme="minorHAnsi"/>
          <w:sz w:val="24"/>
        </w:rPr>
        <w:tab/>
      </w:r>
      <w:r w:rsidR="00A41175" w:rsidRPr="00713D21">
        <w:rPr>
          <w:sz w:val="24"/>
          <w:szCs w:val="20"/>
        </w:rPr>
        <w:t>Pod Vodárenskou věží 271/2</w:t>
      </w:r>
    </w:p>
    <w:p w:rsidR="00642F72" w:rsidRPr="004E331E" w:rsidRDefault="00642F72" w:rsidP="00642F72">
      <w:pPr>
        <w:spacing w:after="60" w:line="276" w:lineRule="auto"/>
        <w:ind w:left="1797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Zastoupený:</w:t>
      </w:r>
      <w:r w:rsidRPr="004E331E">
        <w:rPr>
          <w:rFonts w:asciiTheme="minorHAnsi" w:hAnsiTheme="minorHAnsi" w:cstheme="minorHAnsi"/>
        </w:rPr>
        <w:tab/>
      </w:r>
      <w:r w:rsidR="00A41175">
        <w:rPr>
          <w:szCs w:val="20"/>
        </w:rPr>
        <w:t>Prof. Ing. Emil Pelikán, CSc., ředitel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797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bank. spojení:</w:t>
      </w:r>
      <w:r w:rsidRPr="004E331E">
        <w:rPr>
          <w:rFonts w:asciiTheme="minorHAnsi" w:hAnsiTheme="minorHAnsi" w:cstheme="minorHAnsi"/>
          <w:sz w:val="24"/>
        </w:rPr>
        <w:tab/>
        <w:t xml:space="preserve"> </w:t>
      </w:r>
      <w:r w:rsidR="00DD01E7" w:rsidRPr="00DD01E7">
        <w:rPr>
          <w:rFonts w:asciiTheme="minorHAnsi" w:hAnsiTheme="minorHAnsi" w:cstheme="minorHAnsi"/>
          <w:sz w:val="24"/>
        </w:rPr>
        <w:t>ČSOB, a.s., Praha 8, Ke Stírce 50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číslo účtu:</w:t>
      </w:r>
      <w:r w:rsidR="004F349C" w:rsidRPr="004E331E">
        <w:rPr>
          <w:rFonts w:asciiTheme="minorHAnsi" w:hAnsiTheme="minorHAnsi" w:cstheme="minorHAnsi"/>
          <w:sz w:val="24"/>
        </w:rPr>
        <w:tab/>
      </w:r>
      <w:r w:rsidR="00F35733">
        <w:rPr>
          <w:rFonts w:asciiTheme="minorHAnsi" w:hAnsiTheme="minorHAnsi" w:cstheme="minorHAnsi"/>
          <w:sz w:val="24"/>
        </w:rPr>
        <w:t xml:space="preserve"> </w:t>
      </w:r>
      <w:r w:rsidR="00F35733">
        <w:rPr>
          <w:rFonts w:asciiTheme="minorHAnsi" w:hAnsiTheme="minorHAnsi" w:cstheme="minorHAnsi"/>
          <w:sz w:val="24"/>
        </w:rPr>
        <w:tab/>
      </w:r>
      <w:r w:rsidR="00223451" w:rsidRPr="00223451">
        <w:rPr>
          <w:rFonts w:asciiTheme="minorHAnsi" w:hAnsiTheme="minorHAnsi" w:cstheme="minorHAnsi"/>
          <w:sz w:val="24"/>
          <w:highlight w:val="black"/>
        </w:rPr>
        <w:t>xxxxxxxxx</w:t>
      </w:r>
      <w:r w:rsidR="00DD01E7" w:rsidRPr="00223451">
        <w:rPr>
          <w:rFonts w:asciiTheme="minorHAnsi" w:hAnsiTheme="minorHAnsi" w:cstheme="minorHAnsi"/>
          <w:sz w:val="24"/>
          <w:highlight w:val="black"/>
        </w:rPr>
        <w:t>/</w:t>
      </w:r>
      <w:r w:rsidR="00223451" w:rsidRPr="00223451">
        <w:rPr>
          <w:rFonts w:asciiTheme="minorHAnsi" w:hAnsiTheme="minorHAnsi" w:cstheme="minorHAnsi"/>
          <w:sz w:val="24"/>
          <w:highlight w:val="black"/>
        </w:rPr>
        <w:t>xxxx</w:t>
      </w:r>
      <w:r w:rsidRPr="00DD01E7">
        <w:rPr>
          <w:rFonts w:asciiTheme="minorHAnsi" w:hAnsiTheme="minorHAnsi" w:cstheme="minorHAnsi"/>
          <w:sz w:val="24"/>
        </w:rPr>
        <w:tab/>
      </w:r>
      <w:r w:rsidRPr="004E331E">
        <w:rPr>
          <w:rFonts w:asciiTheme="minorHAnsi" w:hAnsiTheme="minorHAnsi" w:cstheme="minorHAnsi"/>
          <w:sz w:val="24"/>
        </w:rPr>
        <w:t xml:space="preserve"> </w:t>
      </w:r>
    </w:p>
    <w:p w:rsidR="00642F72" w:rsidRPr="004E331E" w:rsidRDefault="00642F72" w:rsidP="00642F72">
      <w:pPr>
        <w:spacing w:after="60" w:line="276" w:lineRule="auto"/>
        <w:ind w:left="1800" w:hanging="384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ab/>
        <w:t>IČ:</w:t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="00092D7F" w:rsidRPr="004E331E">
        <w:rPr>
          <w:rFonts w:asciiTheme="minorHAnsi" w:hAnsiTheme="minorHAnsi" w:cstheme="minorHAnsi"/>
        </w:rPr>
        <w:t>67985</w:t>
      </w:r>
      <w:r w:rsidR="00A41175">
        <w:rPr>
          <w:rFonts w:asciiTheme="minorHAnsi" w:hAnsiTheme="minorHAnsi" w:cstheme="minorHAnsi"/>
        </w:rPr>
        <w:t>807</w:t>
      </w:r>
    </w:p>
    <w:p w:rsidR="00092D7F" w:rsidRPr="004E331E" w:rsidRDefault="00642F72" w:rsidP="00092D7F">
      <w:pPr>
        <w:spacing w:after="60" w:line="276" w:lineRule="auto"/>
        <w:ind w:left="1800" w:hanging="384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ab/>
        <w:t>DIČ:</w:t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  <w:t>CZ</w:t>
      </w:r>
      <w:r w:rsidR="00A41175" w:rsidRPr="004E331E">
        <w:rPr>
          <w:rFonts w:asciiTheme="minorHAnsi" w:hAnsiTheme="minorHAnsi" w:cstheme="minorHAnsi"/>
        </w:rPr>
        <w:t>67985</w:t>
      </w:r>
      <w:r w:rsidR="00A41175">
        <w:rPr>
          <w:rFonts w:asciiTheme="minorHAnsi" w:hAnsiTheme="minorHAnsi" w:cstheme="minorHAnsi"/>
        </w:rPr>
        <w:t>807</w:t>
      </w:r>
    </w:p>
    <w:p w:rsidR="00642F72" w:rsidRPr="004E331E" w:rsidRDefault="00642F72" w:rsidP="00642F72">
      <w:pPr>
        <w:spacing w:after="60" w:line="276" w:lineRule="auto"/>
        <w:ind w:left="1800" w:hanging="384"/>
        <w:rPr>
          <w:rFonts w:asciiTheme="minorHAnsi" w:hAnsiTheme="minorHAnsi" w:cstheme="minorHAnsi"/>
        </w:rPr>
      </w:pPr>
    </w:p>
    <w:p w:rsidR="00642F72" w:rsidRPr="004E331E" w:rsidRDefault="00642F72" w:rsidP="00642F72">
      <w:pPr>
        <w:spacing w:after="60" w:line="276" w:lineRule="auto"/>
        <w:ind w:left="1800" w:hanging="384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ab/>
        <w:t>(dále jen „kupující“) na straně jedné</w:t>
      </w:r>
    </w:p>
    <w:p w:rsidR="00642F72" w:rsidRPr="004E331E" w:rsidRDefault="00642F72" w:rsidP="00DA5104">
      <w:pPr>
        <w:pStyle w:val="Textkoment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E331E">
        <w:rPr>
          <w:rFonts w:asciiTheme="minorHAnsi" w:hAnsiTheme="minorHAnsi" w:cstheme="minorHAnsi"/>
          <w:sz w:val="24"/>
          <w:szCs w:val="24"/>
        </w:rPr>
        <w:t>a</w:t>
      </w:r>
    </w:p>
    <w:p w:rsidR="00642F72" w:rsidRPr="00F85BC4" w:rsidRDefault="00642F72" w:rsidP="00713D21">
      <w:pPr>
        <w:pStyle w:val="Nadpis2"/>
        <w:rPr>
          <w:highlight w:val="yellow"/>
        </w:rPr>
      </w:pPr>
      <w:r w:rsidRPr="00F85BC4">
        <w:t>Prodávající:</w:t>
      </w:r>
      <w:r w:rsidRPr="00F85BC4">
        <w:tab/>
      </w:r>
      <w:r w:rsidR="00713D21">
        <w:tab/>
      </w:r>
      <w:r w:rsidR="00713D21">
        <w:tab/>
      </w:r>
      <w:r w:rsidRPr="00F85BC4">
        <w:t xml:space="preserve"> </w:t>
      </w:r>
      <w:r w:rsidR="009B24C1" w:rsidRPr="009B24C1">
        <w:t>MYPA design spol. s r.o.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3600" w:hanging="1800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Sídlo:</w:t>
      </w:r>
      <w:r w:rsidRPr="004E331E">
        <w:rPr>
          <w:rFonts w:asciiTheme="minorHAnsi" w:hAnsiTheme="minorHAnsi" w:cstheme="minorHAnsi"/>
          <w:sz w:val="24"/>
        </w:rPr>
        <w:tab/>
      </w:r>
      <w:r w:rsidR="009B24C1">
        <w:rPr>
          <w:rStyle w:val="platne1"/>
          <w:rFonts w:asciiTheme="minorHAnsi" w:hAnsiTheme="minorHAnsi" w:cstheme="minorHAnsi"/>
          <w:sz w:val="24"/>
        </w:rPr>
        <w:t>Pražská 1430/36, 102 00 Praha 10 - Hostivař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3600" w:hanging="1800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Zastoupený:</w:t>
      </w:r>
      <w:r w:rsidRPr="004E331E">
        <w:rPr>
          <w:rFonts w:asciiTheme="minorHAnsi" w:hAnsiTheme="minorHAnsi" w:cstheme="minorHAnsi"/>
          <w:sz w:val="24"/>
        </w:rPr>
        <w:tab/>
      </w:r>
      <w:r w:rsidR="009B24C1">
        <w:rPr>
          <w:rFonts w:asciiTheme="minorHAnsi" w:hAnsiTheme="minorHAnsi" w:cstheme="minorHAnsi"/>
          <w:sz w:val="24"/>
        </w:rPr>
        <w:t>Ing. Lukáš VNUK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bank. spojení:</w:t>
      </w:r>
      <w:r w:rsidRPr="004E331E">
        <w:rPr>
          <w:rFonts w:asciiTheme="minorHAnsi" w:hAnsiTheme="minorHAnsi" w:cstheme="minorHAnsi"/>
          <w:sz w:val="24"/>
        </w:rPr>
        <w:tab/>
      </w:r>
      <w:r w:rsidR="009B24C1">
        <w:rPr>
          <w:rFonts w:asciiTheme="minorHAnsi" w:hAnsiTheme="minorHAnsi" w:cstheme="minorHAnsi"/>
          <w:sz w:val="24"/>
        </w:rPr>
        <w:t>ČSOB a.s.</w:t>
      </w:r>
    </w:p>
    <w:p w:rsidR="00642F72" w:rsidRPr="004E331E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Theme="minorHAnsi" w:hAnsiTheme="minorHAnsi" w:cstheme="minorHAnsi"/>
          <w:sz w:val="24"/>
        </w:rPr>
      </w:pPr>
      <w:r w:rsidRPr="004E331E">
        <w:rPr>
          <w:rFonts w:asciiTheme="minorHAnsi" w:hAnsiTheme="minorHAnsi" w:cstheme="minorHAnsi"/>
          <w:sz w:val="24"/>
        </w:rPr>
        <w:t>číslo účtu:</w:t>
      </w:r>
      <w:r w:rsidRPr="004E331E">
        <w:rPr>
          <w:rFonts w:asciiTheme="minorHAnsi" w:hAnsiTheme="minorHAnsi" w:cstheme="minorHAnsi"/>
          <w:sz w:val="24"/>
        </w:rPr>
        <w:tab/>
      </w:r>
      <w:r w:rsidR="009B24C1">
        <w:rPr>
          <w:rFonts w:asciiTheme="minorHAnsi" w:hAnsiTheme="minorHAnsi" w:cstheme="minorHAnsi"/>
          <w:sz w:val="24"/>
        </w:rPr>
        <w:tab/>
      </w:r>
      <w:r w:rsidR="00223451" w:rsidRPr="00223451">
        <w:rPr>
          <w:rFonts w:asciiTheme="minorHAnsi" w:hAnsiTheme="minorHAnsi" w:cstheme="minorHAnsi"/>
          <w:sz w:val="24"/>
          <w:highlight w:val="black"/>
        </w:rPr>
        <w:t>xxxxxxxxx</w:t>
      </w:r>
      <w:r w:rsidR="009B24C1" w:rsidRPr="00223451">
        <w:rPr>
          <w:rFonts w:asciiTheme="minorHAnsi" w:hAnsiTheme="minorHAnsi" w:cstheme="minorHAnsi"/>
          <w:sz w:val="24"/>
          <w:highlight w:val="black"/>
        </w:rPr>
        <w:t>/</w:t>
      </w:r>
      <w:r w:rsidR="00223451" w:rsidRPr="00223451">
        <w:rPr>
          <w:rFonts w:asciiTheme="minorHAnsi" w:hAnsiTheme="minorHAnsi" w:cstheme="minorHAnsi"/>
          <w:sz w:val="24"/>
          <w:highlight w:val="black"/>
        </w:rPr>
        <w:t>xxxx</w:t>
      </w:r>
    </w:p>
    <w:p w:rsidR="00642F72" w:rsidRPr="004E331E" w:rsidRDefault="00642F72" w:rsidP="00642F72">
      <w:pPr>
        <w:spacing w:after="60" w:line="276" w:lineRule="auto"/>
        <w:ind w:left="1800" w:firstLine="24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IČ:</w:t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="009B24C1">
        <w:rPr>
          <w:rFonts w:asciiTheme="minorHAnsi" w:hAnsiTheme="minorHAnsi" w:cstheme="minorHAnsi"/>
        </w:rPr>
        <w:tab/>
        <w:t>25104659</w:t>
      </w:r>
    </w:p>
    <w:p w:rsidR="00642F72" w:rsidRPr="004E331E" w:rsidRDefault="00642F72" w:rsidP="00642F72">
      <w:pPr>
        <w:spacing w:after="60" w:line="276" w:lineRule="auto"/>
        <w:ind w:left="1800" w:firstLine="24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DIČ:</w:t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="009B24C1">
        <w:rPr>
          <w:rFonts w:asciiTheme="minorHAnsi" w:hAnsiTheme="minorHAnsi" w:cstheme="minorHAnsi"/>
        </w:rPr>
        <w:t>CZ25104659</w:t>
      </w:r>
    </w:p>
    <w:p w:rsidR="00642F72" w:rsidRPr="004E331E" w:rsidRDefault="00642F72" w:rsidP="00642F72">
      <w:pPr>
        <w:spacing w:after="60" w:line="276" w:lineRule="auto"/>
        <w:ind w:left="1800" w:firstLine="24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 xml:space="preserve">zapsaný v OR vedeném </w:t>
      </w:r>
      <w:r w:rsidR="00F15AAA">
        <w:rPr>
          <w:rFonts w:asciiTheme="minorHAnsi" w:hAnsiTheme="minorHAnsi" w:cstheme="minorHAnsi"/>
        </w:rPr>
        <w:t xml:space="preserve">MOS v Praze, </w:t>
      </w:r>
      <w:r w:rsidRPr="004E331E">
        <w:rPr>
          <w:rFonts w:asciiTheme="minorHAnsi" w:hAnsiTheme="minorHAnsi" w:cstheme="minorHAnsi"/>
        </w:rPr>
        <w:t xml:space="preserve">oddíl </w:t>
      </w:r>
      <w:r w:rsidR="00F15AAA">
        <w:rPr>
          <w:rFonts w:asciiTheme="minorHAnsi" w:hAnsiTheme="minorHAnsi" w:cstheme="minorHAnsi"/>
        </w:rPr>
        <w:t xml:space="preserve">C, </w:t>
      </w:r>
      <w:r w:rsidRPr="004E331E">
        <w:rPr>
          <w:rFonts w:asciiTheme="minorHAnsi" w:hAnsiTheme="minorHAnsi" w:cstheme="minorHAnsi"/>
        </w:rPr>
        <w:t xml:space="preserve">vložka </w:t>
      </w:r>
      <w:r w:rsidR="00F15AAA">
        <w:rPr>
          <w:rFonts w:asciiTheme="minorHAnsi" w:hAnsiTheme="minorHAnsi" w:cstheme="minorHAnsi"/>
        </w:rPr>
        <w:t>49990.</w:t>
      </w:r>
    </w:p>
    <w:p w:rsidR="00642F72" w:rsidRPr="004E331E" w:rsidRDefault="00642F72" w:rsidP="00DA5104">
      <w:pPr>
        <w:spacing w:after="120" w:line="276" w:lineRule="auto"/>
        <w:ind w:left="1800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(dále jen „prodávající“) na straně druhé</w:t>
      </w:r>
      <w:r w:rsidR="00A0382C" w:rsidRPr="004E331E">
        <w:rPr>
          <w:rFonts w:asciiTheme="minorHAnsi" w:hAnsiTheme="minorHAnsi" w:cstheme="minorHAnsi"/>
        </w:rPr>
        <w:t>,</w:t>
      </w:r>
      <w:r w:rsidRPr="004E331E">
        <w:rPr>
          <w:rFonts w:asciiTheme="minorHAnsi" w:hAnsiTheme="minorHAnsi" w:cstheme="minorHAnsi"/>
        </w:rPr>
        <w:t xml:space="preserve"> </w:t>
      </w:r>
    </w:p>
    <w:p w:rsidR="00642F72" w:rsidRPr="004E331E" w:rsidRDefault="00642F72" w:rsidP="00A0382C">
      <w:pPr>
        <w:spacing w:after="60" w:line="276" w:lineRule="auto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(společně dále také jako „smluvní strany“)</w:t>
      </w:r>
      <w:r w:rsidR="00A0382C" w:rsidRPr="004E331E">
        <w:rPr>
          <w:rFonts w:asciiTheme="minorHAnsi" w:hAnsiTheme="minorHAnsi" w:cstheme="minorHAnsi"/>
        </w:rPr>
        <w:t xml:space="preserve">, </w:t>
      </w:r>
      <w:r w:rsidRPr="004E331E">
        <w:rPr>
          <w:rFonts w:asciiTheme="minorHAnsi" w:hAnsiTheme="minorHAnsi" w:cstheme="minorHAnsi"/>
        </w:rPr>
        <w:t xml:space="preserve">uzavírají na základě výsledku zadávacího řízení k plnění veřejné zakázky s názvem </w:t>
      </w:r>
      <w:r w:rsidRPr="004E331E">
        <w:rPr>
          <w:rFonts w:asciiTheme="minorHAnsi" w:hAnsiTheme="minorHAnsi" w:cstheme="minorHAnsi"/>
          <w:caps/>
        </w:rPr>
        <w:t>„</w:t>
      </w:r>
      <w:r w:rsidR="00BC666F" w:rsidRPr="004E331E">
        <w:rPr>
          <w:rFonts w:asciiTheme="minorHAnsi" w:hAnsiTheme="minorHAnsi" w:cstheme="minorHAnsi"/>
          <w:b/>
        </w:rPr>
        <w:t xml:space="preserve">Dodávka </w:t>
      </w:r>
      <w:r w:rsidR="00A41175">
        <w:rPr>
          <w:rFonts w:asciiTheme="minorHAnsi" w:hAnsiTheme="minorHAnsi" w:cstheme="minorHAnsi"/>
          <w:b/>
        </w:rPr>
        <w:t xml:space="preserve">kancelářského </w:t>
      </w:r>
      <w:r w:rsidR="00A54D0F">
        <w:rPr>
          <w:rFonts w:asciiTheme="minorHAnsi" w:hAnsiTheme="minorHAnsi" w:cstheme="minorHAnsi"/>
          <w:b/>
        </w:rPr>
        <w:t>nábytku</w:t>
      </w:r>
      <w:r w:rsidRPr="004E331E">
        <w:rPr>
          <w:rFonts w:asciiTheme="minorHAnsi" w:hAnsiTheme="minorHAnsi" w:cstheme="minorHAnsi"/>
          <w:caps/>
        </w:rPr>
        <w:t xml:space="preserve">“ </w:t>
      </w:r>
      <w:r w:rsidRPr="004E331E">
        <w:rPr>
          <w:rFonts w:asciiTheme="minorHAnsi" w:hAnsiTheme="minorHAnsi" w:cstheme="minorHAnsi"/>
        </w:rPr>
        <w:t>smlouvu následujícího znění:</w:t>
      </w:r>
    </w:p>
    <w:p w:rsidR="00642F72" w:rsidRPr="004E331E" w:rsidRDefault="00642F72" w:rsidP="00642F72">
      <w:pPr>
        <w:jc w:val="both"/>
        <w:rPr>
          <w:rFonts w:asciiTheme="minorHAnsi" w:hAnsiTheme="minorHAnsi" w:cstheme="minorHAnsi"/>
        </w:rPr>
      </w:pPr>
    </w:p>
    <w:p w:rsidR="00642F72" w:rsidRPr="00EE3346" w:rsidRDefault="00642F72" w:rsidP="00EE3346">
      <w:pPr>
        <w:pStyle w:val="Nadpis1"/>
      </w:pPr>
      <w:r w:rsidRPr="00713D21">
        <w:t>Předmět smlouvy</w:t>
      </w:r>
    </w:p>
    <w:p w:rsidR="00A41175" w:rsidRDefault="00642F72" w:rsidP="002D0144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A41175">
        <w:rPr>
          <w:rFonts w:asciiTheme="minorHAnsi" w:hAnsiTheme="minorHAnsi" w:cstheme="minorHAnsi"/>
        </w:rPr>
        <w:t xml:space="preserve">Předmětem smlouvy je dodávka </w:t>
      </w:r>
      <w:r w:rsidR="00A41175" w:rsidRPr="00A41175">
        <w:rPr>
          <w:rFonts w:asciiTheme="minorHAnsi" w:hAnsiTheme="minorHAnsi" w:cstheme="minorHAnsi"/>
        </w:rPr>
        <w:t xml:space="preserve">kancelářského </w:t>
      </w:r>
      <w:r w:rsidR="00CA2483">
        <w:rPr>
          <w:rFonts w:asciiTheme="minorHAnsi" w:hAnsiTheme="minorHAnsi" w:cstheme="minorHAnsi"/>
        </w:rPr>
        <w:t>nábytku</w:t>
      </w:r>
      <w:r w:rsidR="00A50B27">
        <w:rPr>
          <w:rFonts w:asciiTheme="minorHAnsi" w:hAnsiTheme="minorHAnsi" w:cstheme="minorHAnsi"/>
        </w:rPr>
        <w:t>.</w:t>
      </w:r>
    </w:p>
    <w:p w:rsidR="00642F72" w:rsidRPr="00A41175" w:rsidRDefault="00642F72" w:rsidP="002D0144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A41175">
        <w:rPr>
          <w:rFonts w:asciiTheme="minorHAnsi" w:hAnsiTheme="minorHAnsi" w:cstheme="minorHAnsi"/>
        </w:rPr>
        <w:t>Podrobná specifikace</w:t>
      </w:r>
      <w:r w:rsidR="00A41175">
        <w:rPr>
          <w:rFonts w:asciiTheme="minorHAnsi" w:hAnsiTheme="minorHAnsi" w:cstheme="minorHAnsi"/>
        </w:rPr>
        <w:t xml:space="preserve"> </w:t>
      </w:r>
      <w:r w:rsidR="00A50B27">
        <w:rPr>
          <w:rFonts w:asciiTheme="minorHAnsi" w:hAnsiTheme="minorHAnsi" w:cstheme="minorHAnsi"/>
        </w:rPr>
        <w:t>dodávaného zboží</w:t>
      </w:r>
      <w:r w:rsidR="00A41175">
        <w:rPr>
          <w:rFonts w:asciiTheme="minorHAnsi" w:hAnsiTheme="minorHAnsi" w:cstheme="minorHAnsi"/>
        </w:rPr>
        <w:t xml:space="preserve"> je uvedena v </w:t>
      </w:r>
      <w:r w:rsidRPr="00A41175">
        <w:rPr>
          <w:rFonts w:asciiTheme="minorHAnsi" w:hAnsiTheme="minorHAnsi" w:cstheme="minorHAnsi"/>
        </w:rPr>
        <w:t>Příloze č. 1, které nedílnou součástí této Smlouvy.</w:t>
      </w:r>
      <w:r w:rsidR="000E2389" w:rsidRPr="00A41175">
        <w:rPr>
          <w:rFonts w:asciiTheme="minorHAnsi" w:hAnsiTheme="minorHAnsi" w:cstheme="minorHAnsi"/>
        </w:rPr>
        <w:t xml:space="preserve"> </w:t>
      </w:r>
      <w:r w:rsidRPr="00A41175">
        <w:rPr>
          <w:rFonts w:asciiTheme="minorHAnsi" w:hAnsiTheme="minorHAnsi" w:cstheme="minorHAnsi"/>
        </w:rPr>
        <w:t xml:space="preserve">Nedílnou součástí předmětu smlouvy je </w:t>
      </w:r>
      <w:r w:rsidR="000E2389" w:rsidRPr="00A41175">
        <w:rPr>
          <w:rFonts w:asciiTheme="minorHAnsi" w:hAnsiTheme="minorHAnsi" w:cstheme="minorHAnsi"/>
        </w:rPr>
        <w:t xml:space="preserve">dále </w:t>
      </w:r>
      <w:r w:rsidRPr="00A41175">
        <w:rPr>
          <w:rFonts w:asciiTheme="minorHAnsi" w:hAnsiTheme="minorHAnsi" w:cstheme="minorHAnsi"/>
        </w:rPr>
        <w:t xml:space="preserve">dodávka </w:t>
      </w:r>
      <w:r w:rsidR="00CA2483">
        <w:rPr>
          <w:rFonts w:asciiTheme="minorHAnsi" w:hAnsiTheme="minorHAnsi" w:cstheme="minorHAnsi"/>
        </w:rPr>
        <w:t>a montáž zboží specifikovaného v příloze č.</w:t>
      </w:r>
      <w:r w:rsidR="00223451">
        <w:rPr>
          <w:rFonts w:asciiTheme="minorHAnsi" w:hAnsiTheme="minorHAnsi" w:cstheme="minorHAnsi"/>
        </w:rPr>
        <w:t xml:space="preserve"> </w:t>
      </w:r>
      <w:r w:rsidR="00CA2483">
        <w:rPr>
          <w:rFonts w:asciiTheme="minorHAnsi" w:hAnsiTheme="minorHAnsi" w:cstheme="minorHAnsi"/>
        </w:rPr>
        <w:t>1 v místě</w:t>
      </w:r>
      <w:r w:rsidRPr="00A41175">
        <w:rPr>
          <w:rFonts w:asciiTheme="minorHAnsi" w:hAnsiTheme="minorHAnsi" w:cstheme="minorHAnsi"/>
        </w:rPr>
        <w:t xml:space="preserve"> plnění veřejné</w:t>
      </w:r>
      <w:r w:rsidR="00A41175">
        <w:rPr>
          <w:rFonts w:asciiTheme="minorHAnsi" w:hAnsiTheme="minorHAnsi" w:cstheme="minorHAnsi"/>
        </w:rPr>
        <w:t xml:space="preserve"> zakázky</w:t>
      </w:r>
      <w:r w:rsidRPr="00A41175">
        <w:rPr>
          <w:rFonts w:asciiTheme="minorHAnsi" w:hAnsiTheme="minorHAnsi" w:cstheme="minorHAnsi"/>
        </w:rPr>
        <w:t>.</w:t>
      </w:r>
    </w:p>
    <w:p w:rsidR="00642F72" w:rsidRPr="004E331E" w:rsidRDefault="00642F72" w:rsidP="00642F72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42F72" w:rsidRPr="004E331E" w:rsidRDefault="00642F72" w:rsidP="000E2389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lastRenderedPageBreak/>
        <w:t>Kupující se zavazuje zboží dodané prodávajícím převzít a zaplatit za něj sjednanou kupní cenu způsobem a v termínu sjednan</w:t>
      </w:r>
      <w:r w:rsidR="000E2389" w:rsidRPr="004E331E">
        <w:rPr>
          <w:rFonts w:asciiTheme="minorHAnsi" w:hAnsiTheme="minorHAnsi" w:cstheme="minorHAnsi"/>
        </w:rPr>
        <w:t>é</w:t>
      </w:r>
      <w:r w:rsidRPr="004E331E">
        <w:rPr>
          <w:rFonts w:asciiTheme="minorHAnsi" w:hAnsiTheme="minorHAnsi" w:cstheme="minorHAnsi"/>
        </w:rPr>
        <w:t>m touto smlouvou.</w:t>
      </w:r>
    </w:p>
    <w:p w:rsidR="00DA5104" w:rsidRPr="004E331E" w:rsidRDefault="00DA5104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</w:p>
    <w:p w:rsidR="00642F72" w:rsidRPr="00EE3346" w:rsidRDefault="00642F72" w:rsidP="00EE3346">
      <w:pPr>
        <w:pStyle w:val="Nadpis1"/>
      </w:pPr>
      <w:r w:rsidRPr="00EE3346">
        <w:t>Doba a místo plnění</w:t>
      </w:r>
    </w:p>
    <w:p w:rsidR="000E2389" w:rsidRPr="004E331E" w:rsidRDefault="00642F72" w:rsidP="00F85BC4">
      <w:pPr>
        <w:pStyle w:val="Nadpis2"/>
      </w:pPr>
      <w:r w:rsidRPr="004E331E">
        <w:t xml:space="preserve">Prodávající se zavazuje, že předmět smlouvy dodá kupujícímu nejpozději do </w:t>
      </w:r>
      <w:r w:rsidR="00A41175">
        <w:t>6</w:t>
      </w:r>
      <w:r w:rsidR="00BC666F" w:rsidRPr="004E331E">
        <w:t xml:space="preserve"> </w:t>
      </w:r>
      <w:r w:rsidR="00092D7F" w:rsidRPr="004E331E">
        <w:t>týdnů</w:t>
      </w:r>
      <w:r w:rsidR="00966251" w:rsidRPr="004E331E">
        <w:t xml:space="preserve"> od podpisu smlouvy.</w:t>
      </w:r>
      <w:r w:rsidRPr="004E331E">
        <w:t xml:space="preserve"> V případě prodlení s termínem dodání dle tohoto článku smlouvy se prodávající zavazuje uhradit kupujícímu smluvní pokutu ve výši </w:t>
      </w:r>
      <w:r w:rsidR="00BC666F" w:rsidRPr="004E331E">
        <w:t xml:space="preserve">0.05% </w:t>
      </w:r>
      <w:r w:rsidR="00A50B27">
        <w:t>z</w:t>
      </w:r>
      <w:r w:rsidR="00BC666F" w:rsidRPr="004E331E">
        <w:t xml:space="preserve"> ceny nedodaného </w:t>
      </w:r>
      <w:r w:rsidR="00A50B27">
        <w:t>zboží</w:t>
      </w:r>
      <w:r w:rsidRPr="004E331E">
        <w:t xml:space="preserve"> za každý i započatý den prodlení. Celková v</w:t>
      </w:r>
      <w:r w:rsidR="000E2389" w:rsidRPr="004E331E">
        <w:t>ýše smluvní pokuty není omezena a jejím uhrazením není dotčeno právo na náhradu škody.</w:t>
      </w:r>
    </w:p>
    <w:p w:rsidR="00642F72" w:rsidRPr="004E331E" w:rsidRDefault="00642F72" w:rsidP="00F85BC4">
      <w:pPr>
        <w:pStyle w:val="Nadpis2"/>
      </w:pPr>
      <w:r w:rsidRPr="004E331E">
        <w:t>Zboží bude předáno prodávajícím a převzato kupujícím na základě oboustranně podepsaného předávacího protokolu.</w:t>
      </w:r>
    </w:p>
    <w:p w:rsidR="00642F72" w:rsidRPr="004E331E" w:rsidRDefault="00642F72" w:rsidP="00F85BC4">
      <w:pPr>
        <w:pStyle w:val="Nadpis2"/>
      </w:pPr>
      <w:r w:rsidRPr="004E331E">
        <w:t xml:space="preserve">Místem plnění je </w:t>
      </w:r>
      <w:r w:rsidR="00A50B27">
        <w:t>Ústav informatiky</w:t>
      </w:r>
      <w:r w:rsidR="00092D7F" w:rsidRPr="004E331E">
        <w:t xml:space="preserve"> AV ČR, v. v. i.</w:t>
      </w:r>
      <w:r w:rsidRPr="004E331E">
        <w:t>,</w:t>
      </w:r>
      <w:r w:rsidR="00092D7F" w:rsidRPr="004E331E">
        <w:t xml:space="preserve"> </w:t>
      </w:r>
      <w:r w:rsidR="00A50B27" w:rsidRPr="00A50B27">
        <w:rPr>
          <w:rFonts w:eastAsia="Times New Roman"/>
          <w:szCs w:val="24"/>
        </w:rPr>
        <w:t>Pod Vodárenskou věží 271/2</w:t>
      </w:r>
      <w:r w:rsidR="00092D7F" w:rsidRPr="004E331E">
        <w:t>,</w:t>
      </w:r>
      <w:r w:rsidRPr="004E331E">
        <w:t xml:space="preserve"> Česká republika.</w:t>
      </w:r>
    </w:p>
    <w:p w:rsidR="00642F72" w:rsidRPr="00EE3346" w:rsidRDefault="00D066C8" w:rsidP="00EE3346">
      <w:pPr>
        <w:pStyle w:val="Nadpis1"/>
      </w:pPr>
      <w:r w:rsidRPr="00EE3346">
        <w:t xml:space="preserve"> </w:t>
      </w:r>
      <w:r w:rsidR="00642F72" w:rsidRPr="00EE3346">
        <w:t>Cena a platební podmínky</w:t>
      </w:r>
    </w:p>
    <w:p w:rsidR="00642F72" w:rsidRPr="004E331E" w:rsidRDefault="00642F72" w:rsidP="00F85BC4">
      <w:pPr>
        <w:pStyle w:val="Nadpis2"/>
      </w:pPr>
      <w:r w:rsidRPr="004E331E">
        <w:t>Kupní cena za zboží v rozsahu dohodnutém v této smlouvě a za podmínek v ní uvedených je stanovena dohodou smluvních stran a vychází z cenové nabídky prodávajícího, kalkulované v rámci zadávacího řízení na předmět plnění této smlouvy.</w:t>
      </w:r>
    </w:p>
    <w:p w:rsidR="00642F72" w:rsidRPr="004E331E" w:rsidRDefault="000E2389" w:rsidP="00F85BC4">
      <w:pPr>
        <w:pStyle w:val="Nadpis2"/>
        <w:rPr>
          <w:i/>
        </w:rPr>
      </w:pPr>
      <w:r w:rsidRPr="004E331E">
        <w:t xml:space="preserve">4.2 </w:t>
      </w:r>
      <w:r w:rsidRPr="004E331E">
        <w:tab/>
      </w:r>
      <w:r w:rsidR="00642F72" w:rsidRPr="004E331E">
        <w:t>Kupující se zavazuje uhradit prodávajícímu za zboží dle čl. II smlouvy sjednanou ku</w:t>
      </w:r>
      <w:r w:rsidRPr="004E331E">
        <w:t>pní c</w:t>
      </w:r>
      <w:r w:rsidR="00642F72" w:rsidRPr="004E331E">
        <w:t xml:space="preserve">enu ve výši </w:t>
      </w:r>
      <w:r w:rsidR="000B5616">
        <w:t>275.294,-</w:t>
      </w:r>
      <w:r w:rsidR="00642F72" w:rsidRPr="004E331E">
        <w:t xml:space="preserve"> Kč bez DPH (slovy: </w:t>
      </w:r>
      <w:r w:rsidR="000B5616">
        <w:t xml:space="preserve">dvěstěsedmdesátpěttisícdvěstědevadesátčtyři </w:t>
      </w:r>
      <w:r w:rsidR="00642F72" w:rsidRPr="004E331E">
        <w:t xml:space="preserve">korun českých), DPH ve výši </w:t>
      </w:r>
      <w:r w:rsidR="000B5616">
        <w:t>21%</w:t>
      </w:r>
      <w:r w:rsidR="00642F72" w:rsidRPr="004E331E">
        <w:t xml:space="preserve"> činí </w:t>
      </w:r>
      <w:r w:rsidR="000B5616">
        <w:t>57.812,-</w:t>
      </w:r>
      <w:r w:rsidR="00642F72" w:rsidRPr="004E331E">
        <w:t xml:space="preserve"> Kč, kupní cena celkem včetně DPH činí </w:t>
      </w:r>
      <w:r w:rsidR="000B5616">
        <w:t xml:space="preserve">333.106,- </w:t>
      </w:r>
      <w:r w:rsidR="00642F72" w:rsidRPr="004E331E">
        <w:t>Kč.</w:t>
      </w:r>
      <w:r w:rsidR="00642F72" w:rsidRPr="000B5616">
        <w:rPr>
          <w:i/>
        </w:rPr>
        <w:t xml:space="preserve"> (uchazeči doplní údaj o nabídkové ceně v souladu s bodem 5.1 Zadávací dokumentace)</w:t>
      </w:r>
    </w:p>
    <w:p w:rsidR="00642F72" w:rsidRPr="004E331E" w:rsidRDefault="00F55C97" w:rsidP="00F85BC4">
      <w:pPr>
        <w:pStyle w:val="Nadpis2"/>
      </w:pPr>
      <w:r w:rsidRPr="004E331E">
        <w:t>4.3</w:t>
      </w:r>
      <w:r w:rsidRPr="004E331E">
        <w:tab/>
      </w:r>
      <w:r w:rsidR="00642F72" w:rsidRPr="004E331E">
        <w:t>Kupní cena je sjednána jako nejvýše přípustná, včetně všech poplatků a veškerých dalších nákladů spojených s plněním předmětu této smlouvy.</w:t>
      </w:r>
    </w:p>
    <w:p w:rsidR="00642F72" w:rsidRPr="004E331E" w:rsidRDefault="00F55C97" w:rsidP="00F85BC4">
      <w:pPr>
        <w:pStyle w:val="Nadpis2"/>
      </w:pPr>
      <w:r w:rsidRPr="004E331E">
        <w:t xml:space="preserve">4.3 </w:t>
      </w:r>
      <w:r w:rsidRPr="004E331E">
        <w:tab/>
      </w:r>
      <w:r w:rsidR="00642F72" w:rsidRPr="004E331E">
        <w:t>Kupní cenu je možné překročit pouze v souvislosti se změnou daňových předpisů týkajících se DPH.</w:t>
      </w:r>
      <w:r w:rsidRPr="004E331E">
        <w:t xml:space="preserve"> V případě změny použitelné sazby DPH bude prodávajícím fakturována kupní cena s DPH v platné výši ke dnu uskutečnění zdanitelného plnění.</w:t>
      </w:r>
    </w:p>
    <w:p w:rsidR="00642F72" w:rsidRPr="004E331E" w:rsidRDefault="00642F72" w:rsidP="00F85BC4">
      <w:pPr>
        <w:pStyle w:val="Nadpis2"/>
        <w:rPr>
          <w:color w:val="0070C0"/>
        </w:rPr>
      </w:pPr>
      <w:r w:rsidRPr="004E331E">
        <w:t>Kupní cena bude kupujícím uhrazena v české měně na základě daňového dokladu – faktury. Kupní cena za dodávku zboží dle této smlouvy bude prodávajícím fakturována do 14 dnů ode dne dodání zboží kupujícímu, tj. ode dne podpisu protokolu o předání a převzetí zboží oběma smluvními stranami.</w:t>
      </w:r>
      <w:r w:rsidR="004F349C" w:rsidRPr="004E331E">
        <w:t xml:space="preserve"> </w:t>
      </w:r>
    </w:p>
    <w:p w:rsidR="00642F72" w:rsidRPr="004E331E" w:rsidRDefault="00642F72" w:rsidP="00F85BC4">
      <w:pPr>
        <w:pStyle w:val="Nadpis2"/>
      </w:pPr>
      <w:r w:rsidRPr="004E331E">
        <w:t>Přílohou faktury musí být kopie protokolu o předání a převzetí předmětu plnění podepsaného oběma smluvními stranami.</w:t>
      </w:r>
    </w:p>
    <w:p w:rsidR="00642F72" w:rsidRPr="004E331E" w:rsidRDefault="00642F72" w:rsidP="00F85BC4">
      <w:pPr>
        <w:pStyle w:val="Nadpis2"/>
      </w:pPr>
      <w:r w:rsidRPr="004E331E">
        <w:t>Daňový doklad – faktura musí obsahovat všechny</w:t>
      </w:r>
      <w:r w:rsidR="00F55C97" w:rsidRPr="004E331E">
        <w:t xml:space="preserve"> náležitosti řádného účetního a </w:t>
      </w:r>
      <w:r w:rsidRPr="004E331E">
        <w:t>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</w:t>
      </w:r>
    </w:p>
    <w:p w:rsidR="00642F72" w:rsidRPr="004E331E" w:rsidRDefault="00642F72" w:rsidP="00F85BC4">
      <w:pPr>
        <w:pStyle w:val="Nadpis2"/>
      </w:pPr>
      <w:r w:rsidRPr="004E331E">
        <w:t>Kupující neposkytuje zálohy.</w:t>
      </w:r>
    </w:p>
    <w:p w:rsidR="00642F72" w:rsidRPr="004E331E" w:rsidRDefault="00642F72" w:rsidP="00F85BC4">
      <w:pPr>
        <w:pStyle w:val="Nadpis2"/>
      </w:pPr>
      <w:r w:rsidRPr="004E331E">
        <w:t>Kupující je oprávněn započíst jakoukoli smluvní pokutu, kterou je povinen uhradit prodávající, proti fakturované částce.</w:t>
      </w:r>
    </w:p>
    <w:p w:rsidR="00642F72" w:rsidRPr="004E331E" w:rsidRDefault="00642F72" w:rsidP="00642F7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42F72" w:rsidRPr="00EE3346" w:rsidRDefault="00642F72" w:rsidP="00EE3346">
      <w:pPr>
        <w:pStyle w:val="Nadpis1"/>
      </w:pPr>
      <w:r w:rsidRPr="00713D21">
        <w:lastRenderedPageBreak/>
        <w:t>Práva a povinnosti stran</w:t>
      </w:r>
    </w:p>
    <w:p w:rsidR="00642F72" w:rsidRPr="00F85BC4" w:rsidRDefault="00642F72" w:rsidP="00F85BC4">
      <w:pPr>
        <w:pStyle w:val="Nadpis2"/>
      </w:pPr>
      <w:r w:rsidRPr="00F85BC4">
        <w:t xml:space="preserve">Prodávající je povinen dodat zboží v dohodnutém množství, jakosti a provedení. </w:t>
      </w:r>
    </w:p>
    <w:p w:rsidR="00642F72" w:rsidRPr="00EE3346" w:rsidRDefault="00642F72" w:rsidP="00F85BC4">
      <w:pPr>
        <w:pStyle w:val="Nadpis2"/>
      </w:pPr>
      <w:r w:rsidRPr="00EE3346">
        <w:t xml:space="preserve">Předávací protokol může být podepsán nejdříve v okamžiku, kdy bude beze zbytku realizována dodávka zboží prodávajícím včetně souvisejících výkonů a služeb sjednaných touto smlouvou. </w:t>
      </w:r>
    </w:p>
    <w:p w:rsidR="00642F72" w:rsidRPr="00F85BC4" w:rsidRDefault="00642F72" w:rsidP="00F85BC4">
      <w:pPr>
        <w:pStyle w:val="Nadpis2"/>
      </w:pPr>
      <w:r w:rsidRPr="00F85BC4"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642F72" w:rsidRPr="00F85BC4" w:rsidRDefault="00642F72" w:rsidP="00F85BC4">
      <w:pPr>
        <w:pStyle w:val="Nadpis2"/>
      </w:pPr>
      <w:r w:rsidRPr="00F85BC4">
        <w:t>Prodávající je povinen po celou dobu trvání smlouvy disponovat kvalifikací, kterou prokázal v rámci zadávacího řízení před uzavřením této smlouvy. V případě porušení tohoto ustanovení má kupující právo od této smlouvy odstoupit.</w:t>
      </w:r>
    </w:p>
    <w:p w:rsidR="00642F72" w:rsidRPr="00F85BC4" w:rsidRDefault="00642F72" w:rsidP="00F85BC4">
      <w:pPr>
        <w:pStyle w:val="Nadpis2"/>
      </w:pPr>
      <w:r w:rsidRPr="00F85BC4">
        <w:t>Prodávající není oprávněn postoupit jakákoliv práva anebo povinnosti z této smlouvy na třetí osoby bez předchozího písemného souhlasu kupujícího.</w:t>
      </w:r>
    </w:p>
    <w:p w:rsidR="00642F72" w:rsidRPr="00F85BC4" w:rsidRDefault="00642F72" w:rsidP="00F85BC4">
      <w:pPr>
        <w:pStyle w:val="Nadpis2"/>
      </w:pPr>
      <w:r w:rsidRPr="00F85BC4">
        <w:t>Prodávající souhlasí s tím, že jakékoliv jeho pohledávky vůči kupujícímu, které vzniknou na základě této uzavřené smlouvy, nebude moci postoupit ani započítat jednostranným právním úkonem.</w:t>
      </w:r>
    </w:p>
    <w:p w:rsidR="00642F72" w:rsidRPr="00F85BC4" w:rsidRDefault="00642F72" w:rsidP="00F85BC4">
      <w:pPr>
        <w:pStyle w:val="Nadpis2"/>
      </w:pPr>
      <w:r w:rsidRPr="00F85BC4">
        <w:t>Prodávající odpovídá kupujícímu za škodu způsobenou porušením povinností podle této smlouvy nebo povinnosti stanovené obecně závazným právním předpisem.</w:t>
      </w:r>
    </w:p>
    <w:p w:rsidR="00642F72" w:rsidRPr="00EE3346" w:rsidRDefault="00642F72" w:rsidP="00EE3346">
      <w:pPr>
        <w:pStyle w:val="Nadpis1"/>
      </w:pPr>
      <w:r w:rsidRPr="00EE3346">
        <w:t>Záruka na zboží</w:t>
      </w:r>
    </w:p>
    <w:p w:rsidR="00642F72" w:rsidRPr="00F85BC4" w:rsidRDefault="00642F72" w:rsidP="00F85BC4">
      <w:pPr>
        <w:pStyle w:val="Nadpis2"/>
      </w:pPr>
      <w:r w:rsidRPr="00F85BC4">
        <w:t>Prodávající přebírá záruku za jakost zboží po dobu</w:t>
      </w:r>
      <w:r w:rsidR="002C06E5">
        <w:t xml:space="preserve"> minimálně 24</w:t>
      </w:r>
      <w:r w:rsidRPr="00F85BC4">
        <w:t xml:space="preserve"> měsíců. Záruční lhůta počíná běžet dnem dodání zboží kupujícímu, tj. dnem podpisu protokolu o předání a převzetí dodávky.</w:t>
      </w:r>
    </w:p>
    <w:p w:rsidR="00642F72" w:rsidRPr="00F85BC4" w:rsidRDefault="00642F72" w:rsidP="00F85BC4">
      <w:pPr>
        <w:pStyle w:val="Nadpis2"/>
      </w:pPr>
      <w:bookmarkStart w:id="1" w:name="_Ref275512114"/>
      <w:r w:rsidRPr="00F85BC4">
        <w:t>Kupující je povinen ohlásit prodávajícímu záruční vady neprodleně. Záruční opravy provede prodávající bezplatně a bezodkladně s ohledem na druh vady zboží.</w:t>
      </w:r>
    </w:p>
    <w:p w:rsidR="00642F72" w:rsidRPr="00F85BC4" w:rsidRDefault="00642F72" w:rsidP="00F85BC4">
      <w:pPr>
        <w:pStyle w:val="Nadpis2"/>
      </w:pPr>
      <w:r w:rsidRPr="00F85BC4">
        <w:t>V záruční lhůtě je prodávající povinen odstraňovat reklamované vady, popřípadě uspokojit jiný nárok kupujícího z vadného plnění, a to tak, že je prodávající povinen nastoupit na odstranění závady ve lhůtě 72 hodin od nahlášení závady</w:t>
      </w:r>
      <w:bookmarkEnd w:id="1"/>
      <w:r w:rsidR="002C23D0" w:rsidRPr="00F85BC4">
        <w:t>.</w:t>
      </w:r>
      <w:r w:rsidRPr="00F85BC4">
        <w:t xml:space="preserve"> </w:t>
      </w:r>
    </w:p>
    <w:p w:rsidR="00642F72" w:rsidRPr="00F85BC4" w:rsidRDefault="00642F72" w:rsidP="00F85BC4">
      <w:pPr>
        <w:pStyle w:val="Nadpis2"/>
      </w:pPr>
      <w:r w:rsidRPr="00F85BC4">
        <w:t xml:space="preserve">Reklamaci lze uplatnit nejpozději do posledního dne záruční lhůty, přičemž i reklamace </w:t>
      </w:r>
      <w:r w:rsidR="00FF423D" w:rsidRPr="00F85BC4">
        <w:t>nahlášená</w:t>
      </w:r>
      <w:r w:rsidRPr="00F85BC4">
        <w:t xml:space="preserve"> v poslední den záruční lhůty se považuje za včas uplatněnou.</w:t>
      </w:r>
    </w:p>
    <w:p w:rsidR="00642F72" w:rsidRPr="00EE3346" w:rsidRDefault="00642F72" w:rsidP="00EE3346">
      <w:pPr>
        <w:pStyle w:val="Nadpis1"/>
      </w:pPr>
      <w:r w:rsidRPr="00EE3346">
        <w:t>Platnost a účinnost smlouvy</w:t>
      </w:r>
    </w:p>
    <w:p w:rsidR="00642F72" w:rsidRPr="00F85BC4" w:rsidRDefault="00642F72" w:rsidP="00F85BC4">
      <w:pPr>
        <w:pStyle w:val="Nadpis2"/>
      </w:pPr>
      <w:r w:rsidRPr="00F85BC4">
        <w:t xml:space="preserve">Tato smlouva nabývá platnosti </w:t>
      </w:r>
      <w:r w:rsidR="00EE3346" w:rsidRPr="00F85BC4">
        <w:t xml:space="preserve">podpisem oběma smluvními stranami </w:t>
      </w:r>
      <w:r w:rsidRPr="00F85BC4">
        <w:t xml:space="preserve">a účinnosti dnem </w:t>
      </w:r>
      <w:r w:rsidR="00EE3346" w:rsidRPr="00F85BC4">
        <w:t>a účinnosti dnem uveřejnění v registru smluv dle zákona č.340/2015 Sb., o zvláštních podmínkách účinnosti některých smluv, uveřejňování těchto smluv a o registru smluv (zákona o registru smluv). Smluvní strany se zároveň dohodly, že uveřejnění této smlouvy dle zákona o registru smluv provede Kupující.</w:t>
      </w:r>
    </w:p>
    <w:p w:rsidR="00642F72" w:rsidRPr="00F85BC4" w:rsidRDefault="00642F72" w:rsidP="00F85BC4">
      <w:pPr>
        <w:pStyle w:val="Nadpis2"/>
      </w:pPr>
      <w:r w:rsidRPr="00F85BC4">
        <w:t>Odstoupit od smlouvy lze pouze z důvodů stanovených ve smlouvě nebo zákonem.</w:t>
      </w:r>
    </w:p>
    <w:p w:rsidR="00F85BC4" w:rsidRDefault="00642F72" w:rsidP="00F85BC4">
      <w:pPr>
        <w:pStyle w:val="Nadpis2"/>
      </w:pPr>
      <w:r w:rsidRPr="00F85BC4"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F85BC4" w:rsidRDefault="00642F72" w:rsidP="00F85BC4">
      <w:pPr>
        <w:pStyle w:val="Nadpis2"/>
        <w:numPr>
          <w:ilvl w:val="0"/>
          <w:numId w:val="38"/>
        </w:numPr>
      </w:pPr>
      <w:r w:rsidRPr="00F85BC4">
        <w:t>na straně prodávajícího, jestliže byť i část zboží nebude řádně dodána v dohodnutých termínech</w:t>
      </w:r>
      <w:r w:rsidR="00FF423D" w:rsidRPr="00F85BC4">
        <w:t>.</w:t>
      </w:r>
    </w:p>
    <w:p w:rsidR="00642F72" w:rsidRPr="00F85BC4" w:rsidRDefault="00642F72" w:rsidP="00F85BC4">
      <w:pPr>
        <w:pStyle w:val="Nadpis2"/>
      </w:pPr>
      <w:r w:rsidRPr="00F85BC4"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642F72" w:rsidRPr="00EE3346" w:rsidRDefault="00642F72" w:rsidP="00EE3346">
      <w:pPr>
        <w:pStyle w:val="Nadpis1"/>
      </w:pPr>
      <w:r w:rsidRPr="00EE3346">
        <w:t>Závěrečná ustanovení</w:t>
      </w:r>
    </w:p>
    <w:p w:rsidR="00642F72" w:rsidRPr="00F85BC4" w:rsidRDefault="00642F72" w:rsidP="00F85BC4">
      <w:pPr>
        <w:pStyle w:val="Nadpis2"/>
      </w:pPr>
      <w:r w:rsidRPr="004E331E">
        <w:rPr>
          <w:rFonts w:asciiTheme="minorHAnsi" w:hAnsiTheme="minorHAnsi" w:cstheme="minorHAnsi"/>
        </w:rPr>
        <w:tab/>
      </w:r>
      <w:r w:rsidRPr="00F85BC4">
        <w:t xml:space="preserve">Ve věcech smlouvou výslovně neupravených se právní vztahy z ní vznikající a vyplývající řídí příslušnými ustanoveními zákona č. </w:t>
      </w:r>
      <w:r w:rsidR="00D10B55" w:rsidRPr="00F85BC4">
        <w:t>89/2012</w:t>
      </w:r>
      <w:r w:rsidRPr="00F85BC4">
        <w:t xml:space="preserve"> Sb., </w:t>
      </w:r>
      <w:r w:rsidR="00D10B55" w:rsidRPr="00F85BC4">
        <w:t>občanský zákoník</w:t>
      </w:r>
      <w:r w:rsidRPr="00F85BC4">
        <w:t>, ve znění pozdějších předpisů, a ostatními obecně závaznými právními předpisy.</w:t>
      </w:r>
    </w:p>
    <w:p w:rsidR="00642F72" w:rsidRPr="00F85BC4" w:rsidRDefault="00642F72" w:rsidP="00F85BC4">
      <w:pPr>
        <w:pStyle w:val="Nadpis2"/>
      </w:pPr>
      <w:r w:rsidRPr="00F85BC4"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42F72" w:rsidRPr="00F85BC4" w:rsidRDefault="00642F72" w:rsidP="00F85BC4">
      <w:pPr>
        <w:pStyle w:val="Nadpis2"/>
      </w:pPr>
      <w:r w:rsidRPr="00F85BC4"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42F72" w:rsidRPr="00F85BC4" w:rsidRDefault="00642F72" w:rsidP="00F85BC4">
      <w:pPr>
        <w:pStyle w:val="Nadpis2"/>
      </w:pPr>
      <w:r w:rsidRPr="00F85BC4"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F85BC4" w:rsidRDefault="00642F72" w:rsidP="00F85BC4">
      <w:pPr>
        <w:pStyle w:val="Nadpis2"/>
      </w:pPr>
      <w:r w:rsidRPr="00F85BC4">
        <w:t xml:space="preserve">Smluvní strany budou vždy usilovat o </w:t>
      </w:r>
      <w:r w:rsidR="00A101E9" w:rsidRPr="00F85BC4">
        <w:t>smírné</w:t>
      </w:r>
      <w:r w:rsidRPr="00F85BC4">
        <w:t xml:space="preserve"> urovnání případných sporů vzniklých ze smlouvy. Pokud nebylo dosaženo </w:t>
      </w:r>
      <w:r w:rsidR="00A101E9" w:rsidRPr="00F85BC4">
        <w:t xml:space="preserve">smírného </w:t>
      </w:r>
      <w:r w:rsidRPr="00F85BC4">
        <w:t>urovnání sporu ani do 30 pracovních dnů po jeho prvním oznámení druhé straně, je kterákoliv ze smluvních stran oprávněna obrátit se svým nárokem k příslušnému soudu. Rozhodčí řízení je vyloučeno.</w:t>
      </w:r>
    </w:p>
    <w:p w:rsidR="00642F72" w:rsidRPr="00F85BC4" w:rsidRDefault="00642F72" w:rsidP="00F85BC4">
      <w:pPr>
        <w:pStyle w:val="Nadpis2"/>
      </w:pPr>
      <w:r w:rsidRPr="00F85BC4">
        <w:t>Smlouva se vyhotovuje ve 4 (čtyřech) stejnopisech, z nichž každý má platnost originálu. Každá ze smluvních stran obdrží po 2 (dvou) stejnopisech.</w:t>
      </w:r>
    </w:p>
    <w:p w:rsidR="00642F72" w:rsidRPr="00F85BC4" w:rsidRDefault="00642F72" w:rsidP="00F85BC4">
      <w:pPr>
        <w:pStyle w:val="Nadpis2"/>
      </w:pPr>
      <w:r w:rsidRPr="00F85BC4">
        <w:t>Nedílnou součástí této smlouvy jsou následující přílohy:</w:t>
      </w:r>
    </w:p>
    <w:p w:rsidR="00642F72" w:rsidRPr="004E331E" w:rsidRDefault="00642F72" w:rsidP="00642F7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 xml:space="preserve">Příloha č. 1 – Podrobná technická specifikace </w:t>
      </w:r>
      <w:r w:rsidR="00A101E9" w:rsidRPr="004E331E">
        <w:rPr>
          <w:rFonts w:asciiTheme="minorHAnsi" w:hAnsiTheme="minorHAnsi" w:cstheme="minorHAnsi"/>
        </w:rPr>
        <w:t>předmětu smlouvy</w:t>
      </w:r>
      <w:r w:rsidRPr="004E331E">
        <w:rPr>
          <w:rFonts w:asciiTheme="minorHAnsi" w:hAnsiTheme="minorHAnsi" w:cstheme="minorHAnsi"/>
        </w:rPr>
        <w:t>.</w:t>
      </w:r>
    </w:p>
    <w:p w:rsidR="00642F72" w:rsidRPr="004E331E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8.8</w:t>
      </w:r>
      <w:r w:rsidRPr="004E331E">
        <w:rPr>
          <w:rFonts w:asciiTheme="minorHAnsi" w:hAnsiTheme="minorHAnsi" w:cstheme="minorHAnsi"/>
        </w:rPr>
        <w:tab/>
      </w:r>
      <w:r w:rsidRPr="00F85BC4">
        <w:rPr>
          <w:rFonts w:ascii="Calibri" w:eastAsiaTheme="majorEastAsia" w:hAnsi="Calibri" w:cstheme="majorBidi"/>
          <w:color w:val="000000" w:themeColor="text1"/>
          <w:szCs w:val="26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42F72" w:rsidRPr="004E331E" w:rsidRDefault="00642F72" w:rsidP="00642F72">
      <w:pPr>
        <w:spacing w:line="276" w:lineRule="auto"/>
        <w:rPr>
          <w:rFonts w:asciiTheme="minorHAnsi" w:hAnsiTheme="minorHAnsi" w:cstheme="minorHAnsi"/>
        </w:rPr>
      </w:pPr>
    </w:p>
    <w:p w:rsidR="00A0382C" w:rsidRPr="004E331E" w:rsidRDefault="00A0382C" w:rsidP="00642F72">
      <w:pPr>
        <w:spacing w:line="276" w:lineRule="auto"/>
        <w:rPr>
          <w:rFonts w:asciiTheme="minorHAnsi" w:hAnsiTheme="minorHAnsi" w:cstheme="minorHAnsi"/>
        </w:rPr>
      </w:pPr>
    </w:p>
    <w:p w:rsidR="00642F72" w:rsidRPr="004E331E" w:rsidRDefault="00642F72" w:rsidP="00642F72">
      <w:pPr>
        <w:spacing w:line="276" w:lineRule="auto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V </w:t>
      </w:r>
      <w:r w:rsidR="00092D7F" w:rsidRPr="004E331E">
        <w:rPr>
          <w:rFonts w:asciiTheme="minorHAnsi" w:hAnsiTheme="minorHAnsi" w:cstheme="minorHAnsi"/>
        </w:rPr>
        <w:t>Praze</w:t>
      </w:r>
      <w:r w:rsidRPr="004E331E">
        <w:rPr>
          <w:rFonts w:asciiTheme="minorHAnsi" w:hAnsiTheme="minorHAnsi" w:cstheme="minorHAnsi"/>
        </w:rPr>
        <w:t xml:space="preserve"> dne ……………………</w:t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  <w:t xml:space="preserve">V </w:t>
      </w:r>
      <w:r w:rsidR="009B24C1">
        <w:rPr>
          <w:rFonts w:asciiTheme="minorHAnsi" w:hAnsiTheme="minorHAnsi" w:cstheme="minorHAnsi"/>
        </w:rPr>
        <w:t>Praze</w:t>
      </w:r>
      <w:r w:rsidRPr="004E331E">
        <w:rPr>
          <w:rFonts w:asciiTheme="minorHAnsi" w:hAnsiTheme="minorHAnsi" w:cstheme="minorHAnsi"/>
        </w:rPr>
        <w:t xml:space="preserve"> dne </w:t>
      </w:r>
      <w:r w:rsidR="009B24C1">
        <w:rPr>
          <w:rFonts w:asciiTheme="minorHAnsi" w:hAnsiTheme="minorHAnsi" w:cstheme="minorHAnsi"/>
        </w:rPr>
        <w:t>8.10.2021</w:t>
      </w:r>
    </w:p>
    <w:p w:rsidR="00A0382C" w:rsidRPr="004E331E" w:rsidRDefault="00A0382C" w:rsidP="00642F72">
      <w:pPr>
        <w:spacing w:line="276" w:lineRule="auto"/>
        <w:rPr>
          <w:rFonts w:asciiTheme="minorHAnsi" w:hAnsiTheme="minorHAnsi" w:cstheme="minorHAnsi"/>
        </w:rPr>
      </w:pPr>
    </w:p>
    <w:p w:rsidR="00A0382C" w:rsidRPr="004E331E" w:rsidRDefault="00A0382C" w:rsidP="00642F72">
      <w:pPr>
        <w:spacing w:line="276" w:lineRule="auto"/>
        <w:rPr>
          <w:rFonts w:asciiTheme="minorHAnsi" w:hAnsiTheme="minorHAnsi" w:cstheme="minorHAnsi"/>
        </w:rPr>
      </w:pPr>
    </w:p>
    <w:p w:rsidR="00642F72" w:rsidRPr="004E331E" w:rsidRDefault="00642F72" w:rsidP="00642F72">
      <w:pPr>
        <w:spacing w:line="276" w:lineRule="auto"/>
        <w:rPr>
          <w:rFonts w:asciiTheme="minorHAnsi" w:hAnsiTheme="minorHAnsi" w:cstheme="minorHAnsi"/>
        </w:rPr>
      </w:pPr>
    </w:p>
    <w:p w:rsidR="00642F72" w:rsidRPr="004E331E" w:rsidRDefault="00642F72" w:rsidP="00642F72">
      <w:pPr>
        <w:spacing w:line="276" w:lineRule="auto"/>
        <w:rPr>
          <w:rFonts w:asciiTheme="minorHAnsi" w:hAnsiTheme="minorHAnsi" w:cstheme="minorHAnsi"/>
        </w:rPr>
      </w:pPr>
      <w:r w:rsidRPr="004E331E">
        <w:rPr>
          <w:rFonts w:asciiTheme="minorHAnsi" w:hAnsiTheme="minorHAnsi" w:cstheme="minorHAnsi"/>
        </w:rPr>
        <w:t>Za kupujícího:</w:t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</w:r>
      <w:r w:rsidRPr="004E331E">
        <w:rPr>
          <w:rFonts w:asciiTheme="minorHAnsi" w:hAnsiTheme="minorHAnsi" w:cstheme="minorHAnsi"/>
        </w:rPr>
        <w:tab/>
        <w:t>Za prodávajícího:</w:t>
      </w:r>
    </w:p>
    <w:p w:rsidR="00A0382C" w:rsidRPr="004E331E" w:rsidRDefault="00A0382C" w:rsidP="00642F72">
      <w:pPr>
        <w:spacing w:line="276" w:lineRule="auto"/>
        <w:rPr>
          <w:rFonts w:asciiTheme="minorHAnsi" w:hAnsiTheme="minorHAnsi" w:cstheme="minorHAnsi"/>
        </w:rPr>
      </w:pPr>
    </w:p>
    <w:p w:rsidR="00A0382C" w:rsidRPr="004E331E" w:rsidRDefault="00A0382C" w:rsidP="00642F72">
      <w:pPr>
        <w:spacing w:line="276" w:lineRule="auto"/>
        <w:rPr>
          <w:rFonts w:asciiTheme="minorHAnsi" w:hAnsiTheme="minorHAnsi" w:cstheme="minorHAnsi"/>
        </w:rPr>
      </w:pPr>
    </w:p>
    <w:p w:rsidR="00642F72" w:rsidRPr="004E331E" w:rsidRDefault="00A0382C" w:rsidP="00642F72">
      <w:pPr>
        <w:pStyle w:val="Odstavec11"/>
        <w:numPr>
          <w:ilvl w:val="0"/>
          <w:numId w:val="0"/>
        </w:numPr>
        <w:tabs>
          <w:tab w:val="left" w:pos="708"/>
        </w:tabs>
        <w:spacing w:line="276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4E331E">
        <w:rPr>
          <w:rFonts w:asciiTheme="minorHAnsi" w:hAnsiTheme="minorHAnsi" w:cstheme="minorHAnsi"/>
          <w:b/>
          <w:sz w:val="24"/>
        </w:rPr>
        <w:t xml:space="preserve">……………………………….     </w:t>
      </w:r>
      <w:r w:rsidR="00642F72" w:rsidRPr="004E331E">
        <w:rPr>
          <w:rFonts w:asciiTheme="minorHAnsi" w:hAnsiTheme="minorHAnsi" w:cstheme="minorHAnsi"/>
          <w:b/>
          <w:sz w:val="24"/>
        </w:rPr>
        <w:tab/>
      </w:r>
      <w:r w:rsidR="00642F72" w:rsidRPr="004E331E">
        <w:rPr>
          <w:rFonts w:asciiTheme="minorHAnsi" w:hAnsiTheme="minorHAnsi" w:cstheme="minorHAnsi"/>
          <w:b/>
          <w:sz w:val="24"/>
        </w:rPr>
        <w:tab/>
      </w:r>
      <w:r w:rsidR="00642F72" w:rsidRPr="004E331E">
        <w:rPr>
          <w:rFonts w:asciiTheme="minorHAnsi" w:hAnsiTheme="minorHAnsi" w:cstheme="minorHAnsi"/>
          <w:b/>
          <w:sz w:val="24"/>
        </w:rPr>
        <w:tab/>
      </w:r>
      <w:r w:rsidR="00642F72" w:rsidRPr="004E331E">
        <w:rPr>
          <w:rFonts w:asciiTheme="minorHAnsi" w:hAnsiTheme="minorHAnsi" w:cstheme="minorHAnsi"/>
          <w:b/>
          <w:sz w:val="24"/>
        </w:rPr>
        <w:tab/>
      </w:r>
      <w:r w:rsidRPr="009B24C1">
        <w:rPr>
          <w:rFonts w:asciiTheme="minorHAnsi" w:hAnsiTheme="minorHAnsi" w:cstheme="minorHAnsi"/>
          <w:b/>
          <w:sz w:val="24"/>
        </w:rPr>
        <w:t>…….</w:t>
      </w:r>
      <w:r w:rsidR="00642F72" w:rsidRPr="009B24C1">
        <w:rPr>
          <w:rFonts w:asciiTheme="minorHAnsi" w:hAnsiTheme="minorHAnsi" w:cstheme="minorHAnsi"/>
          <w:b/>
          <w:sz w:val="24"/>
        </w:rPr>
        <w:t>………………………….</w:t>
      </w:r>
    </w:p>
    <w:p w:rsidR="00642F72" w:rsidRPr="004E331E" w:rsidRDefault="00FF423D" w:rsidP="00642F7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</w:t>
      </w:r>
      <w:r w:rsidR="007A0E6A" w:rsidRPr="004E33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Ing. Emil Pelikán, CSc., ředitel</w:t>
      </w:r>
      <w:r w:rsidR="009B24C1">
        <w:rPr>
          <w:rFonts w:asciiTheme="minorHAnsi" w:hAnsiTheme="minorHAnsi" w:cstheme="minorHAnsi"/>
        </w:rPr>
        <w:tab/>
      </w:r>
      <w:r w:rsidR="009B24C1">
        <w:rPr>
          <w:rFonts w:asciiTheme="minorHAnsi" w:hAnsiTheme="minorHAnsi" w:cstheme="minorHAnsi"/>
        </w:rPr>
        <w:tab/>
      </w:r>
      <w:r w:rsidR="009B24C1">
        <w:rPr>
          <w:rFonts w:asciiTheme="minorHAnsi" w:hAnsiTheme="minorHAnsi" w:cstheme="minorHAnsi"/>
        </w:rPr>
        <w:tab/>
        <w:t>Ing. Lukáš VNUK, jednatel společnosti</w:t>
      </w:r>
    </w:p>
    <w:p w:rsidR="00642F72" w:rsidRPr="004E331E" w:rsidRDefault="007A0E6A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4E331E">
        <w:rPr>
          <w:rFonts w:asciiTheme="minorHAnsi" w:hAnsiTheme="minorHAnsi" w:cstheme="minorHAnsi"/>
          <w:i/>
        </w:rPr>
        <w:t xml:space="preserve">           </w:t>
      </w:r>
    </w:p>
    <w:p w:rsidR="00642F72" w:rsidRPr="004E331E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642F72" w:rsidRPr="004E331E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4E331E">
        <w:rPr>
          <w:rFonts w:asciiTheme="minorHAnsi" w:hAnsiTheme="minorHAnsi" w:cstheme="minorHAnsi"/>
          <w:b/>
          <w:u w:val="single"/>
        </w:rPr>
        <w:t>Příloha č. 1 smlouvy – Podrobná technická specifikace zboží</w:t>
      </w:r>
    </w:p>
    <w:p w:rsidR="00642F72" w:rsidRPr="004E331E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42F72" w:rsidRPr="004E331E" w:rsidRDefault="000B5616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Technické údaje jsou doplněné jednotlivými katalogovými listy</w:t>
      </w:r>
    </w:p>
    <w:p w:rsidR="00642F72" w:rsidRDefault="00642F72" w:rsidP="00642F72">
      <w:pPr>
        <w:pStyle w:val="Zkladntext2"/>
        <w:spacing w:after="0"/>
        <w:rPr>
          <w:b/>
        </w:rPr>
      </w:pPr>
    </w:p>
    <w:sectPr w:rsidR="00642F72" w:rsidSect="00EC70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B8" w:rsidRDefault="003451B8" w:rsidP="00A0382C">
      <w:r>
        <w:separator/>
      </w:r>
    </w:p>
  </w:endnote>
  <w:endnote w:type="continuationSeparator" w:id="0">
    <w:p w:rsidR="003451B8" w:rsidRDefault="003451B8" w:rsidP="00A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029594"/>
      <w:docPartObj>
        <w:docPartGallery w:val="Page Numbers (Bottom of Page)"/>
        <w:docPartUnique/>
      </w:docPartObj>
    </w:sdtPr>
    <w:sdtEndPr/>
    <w:sdtContent>
      <w:p w:rsidR="00A0382C" w:rsidRDefault="00A038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451">
          <w:rPr>
            <w:noProof/>
          </w:rPr>
          <w:t>5</w:t>
        </w:r>
        <w:r>
          <w:fldChar w:fldCharType="end"/>
        </w:r>
      </w:p>
    </w:sdtContent>
  </w:sdt>
  <w:p w:rsidR="00A0382C" w:rsidRDefault="00A03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B8" w:rsidRDefault="003451B8" w:rsidP="00A0382C">
      <w:r>
        <w:separator/>
      </w:r>
    </w:p>
  </w:footnote>
  <w:footnote w:type="continuationSeparator" w:id="0">
    <w:p w:rsidR="003451B8" w:rsidRDefault="003451B8" w:rsidP="00A0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6083F97"/>
    <w:multiLevelType w:val="multilevel"/>
    <w:tmpl w:val="E174E2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337B2657"/>
    <w:multiLevelType w:val="hybridMultilevel"/>
    <w:tmpl w:val="BF5E10E4"/>
    <w:lvl w:ilvl="0" w:tplc="035E77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29C"/>
    <w:multiLevelType w:val="hybridMultilevel"/>
    <w:tmpl w:val="34FAD8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41687ABD"/>
    <w:multiLevelType w:val="multilevel"/>
    <w:tmpl w:val="CE008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07D3"/>
    <w:multiLevelType w:val="multilevel"/>
    <w:tmpl w:val="B11CEE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49DE082A"/>
    <w:multiLevelType w:val="hybridMultilevel"/>
    <w:tmpl w:val="54BC0860"/>
    <w:lvl w:ilvl="0" w:tplc="258A78F4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6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 w15:restartNumberingAfterBreak="0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9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14"/>
  </w:num>
  <w:num w:numId="15">
    <w:abstractNumId w:val="0"/>
  </w:num>
  <w:num w:numId="16">
    <w:abstractNumId w:val="17"/>
  </w:num>
  <w:num w:numId="17">
    <w:abstractNumId w:val="8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11"/>
  </w:num>
  <w:num w:numId="29">
    <w:abstractNumId w:val="11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5"/>
  </w:num>
  <w:num w:numId="39">
    <w:abstractNumId w:val="9"/>
  </w:num>
  <w:num w:numId="40">
    <w:abstractNumId w:val="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72"/>
    <w:rsid w:val="00027552"/>
    <w:rsid w:val="00092D7F"/>
    <w:rsid w:val="000B5616"/>
    <w:rsid w:val="000B7EDA"/>
    <w:rsid w:val="000D6723"/>
    <w:rsid w:val="000D7F14"/>
    <w:rsid w:val="000E2389"/>
    <w:rsid w:val="001943EB"/>
    <w:rsid w:val="001A235F"/>
    <w:rsid w:val="001F09AE"/>
    <w:rsid w:val="001F1765"/>
    <w:rsid w:val="00221971"/>
    <w:rsid w:val="00223451"/>
    <w:rsid w:val="002418B9"/>
    <w:rsid w:val="002C06E5"/>
    <w:rsid w:val="002C23D0"/>
    <w:rsid w:val="002C6E82"/>
    <w:rsid w:val="003451B8"/>
    <w:rsid w:val="003A5B0E"/>
    <w:rsid w:val="003D525D"/>
    <w:rsid w:val="00417558"/>
    <w:rsid w:val="00426947"/>
    <w:rsid w:val="00476E44"/>
    <w:rsid w:val="004E331E"/>
    <w:rsid w:val="004F2CFD"/>
    <w:rsid w:val="004F349C"/>
    <w:rsid w:val="00552A33"/>
    <w:rsid w:val="005A3C9E"/>
    <w:rsid w:val="00642F72"/>
    <w:rsid w:val="00684F42"/>
    <w:rsid w:val="00713D21"/>
    <w:rsid w:val="00717803"/>
    <w:rsid w:val="0075711D"/>
    <w:rsid w:val="00776AC9"/>
    <w:rsid w:val="007A0E6A"/>
    <w:rsid w:val="00803066"/>
    <w:rsid w:val="008A65E5"/>
    <w:rsid w:val="008C25F2"/>
    <w:rsid w:val="008D6A37"/>
    <w:rsid w:val="008F6421"/>
    <w:rsid w:val="00913BDC"/>
    <w:rsid w:val="00943FCC"/>
    <w:rsid w:val="00966251"/>
    <w:rsid w:val="009B24C1"/>
    <w:rsid w:val="00A0382C"/>
    <w:rsid w:val="00A101E9"/>
    <w:rsid w:val="00A41175"/>
    <w:rsid w:val="00A50B27"/>
    <w:rsid w:val="00A54D0F"/>
    <w:rsid w:val="00A74C0D"/>
    <w:rsid w:val="00B119C8"/>
    <w:rsid w:val="00B17A8D"/>
    <w:rsid w:val="00B631BB"/>
    <w:rsid w:val="00BC666F"/>
    <w:rsid w:val="00CA2483"/>
    <w:rsid w:val="00D066C8"/>
    <w:rsid w:val="00D10B55"/>
    <w:rsid w:val="00DA5104"/>
    <w:rsid w:val="00DA6F6F"/>
    <w:rsid w:val="00DD01E7"/>
    <w:rsid w:val="00E40CB8"/>
    <w:rsid w:val="00E52312"/>
    <w:rsid w:val="00E76E6B"/>
    <w:rsid w:val="00EC7017"/>
    <w:rsid w:val="00EE3346"/>
    <w:rsid w:val="00F15AAA"/>
    <w:rsid w:val="00F35733"/>
    <w:rsid w:val="00F55C97"/>
    <w:rsid w:val="00F85BC4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F409"/>
  <w15:docId w15:val="{FC2E095D-1E75-42BA-8DB5-77BA212C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5BC4"/>
    <w:pPr>
      <w:keepNext/>
      <w:keepLines/>
      <w:numPr>
        <w:numId w:val="30"/>
      </w:numPr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5BC4"/>
    <w:pPr>
      <w:keepNext/>
      <w:keepLines/>
      <w:numPr>
        <w:ilvl w:val="1"/>
        <w:numId w:val="30"/>
      </w:numPr>
      <w:outlineLvl w:val="1"/>
    </w:pPr>
    <w:rPr>
      <w:rFonts w:ascii="Calibri" w:eastAsiaTheme="majorEastAsia" w:hAnsi="Calibri" w:cstheme="majorBidi"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BC4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BC4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BC4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BC4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BC4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BC4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BC4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03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092D7F"/>
    <w:rPr>
      <w:rFonts w:ascii="Arial" w:hAnsi="Arial" w:cs="Arial" w:hint="default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5BC4"/>
    <w:rPr>
      <w:rFonts w:asciiTheme="majorHAnsi" w:eastAsiaTheme="majorEastAsia" w:hAnsiTheme="majorHAnsi" w:cstheme="majorBidi"/>
      <w:b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5BC4"/>
    <w:rPr>
      <w:rFonts w:ascii="Calibri" w:eastAsiaTheme="majorEastAsia" w:hAnsi="Calibri" w:cstheme="majorBidi"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B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B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BC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B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BC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B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B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F893-E26E-4042-A8ED-8ACE8281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Lešnerová</dc:creator>
  <cp:lastModifiedBy>Dana Kuzelova</cp:lastModifiedBy>
  <cp:revision>2</cp:revision>
  <cp:lastPrinted>2021-10-14T13:50:00Z</cp:lastPrinted>
  <dcterms:created xsi:type="dcterms:W3CDTF">2021-10-21T07:46:00Z</dcterms:created>
  <dcterms:modified xsi:type="dcterms:W3CDTF">2021-10-21T07:46:00Z</dcterms:modified>
</cp:coreProperties>
</file>