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5A26" w14:textId="151E1837" w:rsidR="0078528C" w:rsidRPr="00C2154F" w:rsidRDefault="0078528C" w:rsidP="0078528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154F">
        <w:rPr>
          <w:rFonts w:asciiTheme="minorHAnsi" w:hAnsiTheme="minorHAnsi" w:cstheme="minorHAnsi"/>
          <w:b/>
          <w:bCs/>
          <w:sz w:val="22"/>
          <w:szCs w:val="22"/>
        </w:rPr>
        <w:t xml:space="preserve">Dodatek č. </w:t>
      </w:r>
      <w:r w:rsidR="0048711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2154F">
        <w:rPr>
          <w:rFonts w:asciiTheme="minorHAnsi" w:hAnsiTheme="minorHAnsi" w:cstheme="minorHAnsi"/>
          <w:b/>
          <w:bCs/>
          <w:sz w:val="22"/>
          <w:szCs w:val="22"/>
        </w:rPr>
        <w:t xml:space="preserve"> ke smlouvě o dílo č. SML/9</w:t>
      </w:r>
      <w:r w:rsidR="0071545A">
        <w:rPr>
          <w:rFonts w:asciiTheme="minorHAnsi" w:hAnsiTheme="minorHAnsi" w:cstheme="minorHAnsi"/>
          <w:b/>
          <w:bCs/>
          <w:sz w:val="22"/>
          <w:szCs w:val="22"/>
        </w:rPr>
        <w:t>886</w:t>
      </w:r>
      <w:r w:rsidRPr="00C2154F">
        <w:rPr>
          <w:rFonts w:asciiTheme="minorHAnsi" w:hAnsiTheme="minorHAnsi" w:cstheme="minorHAnsi"/>
          <w:b/>
          <w:bCs/>
          <w:sz w:val="22"/>
          <w:szCs w:val="22"/>
        </w:rPr>
        <w:t>/2021</w:t>
      </w:r>
    </w:p>
    <w:p w14:paraId="78E74416" w14:textId="77C774AC" w:rsidR="0078528C" w:rsidRPr="00C2154F" w:rsidRDefault="0078528C" w:rsidP="0078528C">
      <w:pPr>
        <w:jc w:val="center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>uzavřené podle § 2</w:t>
      </w:r>
      <w:r w:rsidR="0059133D">
        <w:rPr>
          <w:rFonts w:asciiTheme="minorHAnsi" w:hAnsiTheme="minorHAnsi" w:cstheme="minorHAnsi"/>
          <w:sz w:val="22"/>
          <w:szCs w:val="22"/>
        </w:rPr>
        <w:t>586</w:t>
      </w:r>
      <w:r w:rsidRPr="00C2154F">
        <w:rPr>
          <w:rFonts w:asciiTheme="minorHAnsi" w:hAnsiTheme="minorHAnsi" w:cstheme="minorHAnsi"/>
          <w:sz w:val="22"/>
          <w:szCs w:val="22"/>
        </w:rPr>
        <w:t xml:space="preserve"> a násl. zákona č. 89/2012 Sb., občanský zákoník.</w:t>
      </w:r>
    </w:p>
    <w:p w14:paraId="5B2BE97D" w14:textId="77777777" w:rsidR="0078528C" w:rsidRPr="00C2154F" w:rsidRDefault="0078528C" w:rsidP="007852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A95706" w14:textId="77777777" w:rsidR="0078528C" w:rsidRPr="00C2154F" w:rsidRDefault="0078528C" w:rsidP="007852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7C4944" w14:textId="77777777" w:rsidR="0078528C" w:rsidRPr="00C2154F" w:rsidRDefault="0078528C" w:rsidP="0078528C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154F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18135F24" w14:textId="77777777" w:rsidR="0078528C" w:rsidRPr="00C2154F" w:rsidRDefault="0078528C" w:rsidP="00A05279">
      <w:pPr>
        <w:rPr>
          <w:rFonts w:asciiTheme="minorHAnsi" w:eastAsia="Courier New" w:hAnsiTheme="minorHAnsi" w:cstheme="minorHAnsi"/>
          <w:b/>
          <w:bCs/>
          <w:color w:val="000000"/>
          <w:sz w:val="22"/>
          <w:szCs w:val="22"/>
          <w:lang w:bidi="cs-CZ"/>
        </w:rPr>
      </w:pPr>
      <w:r w:rsidRPr="00C2154F">
        <w:rPr>
          <w:rFonts w:asciiTheme="minorHAnsi" w:hAnsiTheme="minorHAnsi" w:cstheme="minorHAnsi"/>
          <w:b/>
          <w:bCs/>
          <w:sz w:val="22"/>
          <w:szCs w:val="22"/>
        </w:rPr>
        <w:t>I. Smluvní strany</w:t>
      </w:r>
    </w:p>
    <w:p w14:paraId="5DCBBD3A" w14:textId="1B16240C" w:rsidR="00DB26B0" w:rsidRPr="0053100B" w:rsidRDefault="00DB26B0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b/>
          <w:sz w:val="22"/>
          <w:szCs w:val="22"/>
        </w:rPr>
      </w:pPr>
      <w:r w:rsidRPr="0053100B">
        <w:rPr>
          <w:rFonts w:asciiTheme="minorHAnsi" w:hAnsiTheme="minorHAnsi" w:cstheme="minorHAnsi"/>
          <w:b/>
          <w:sz w:val="22"/>
          <w:szCs w:val="22"/>
        </w:rPr>
        <w:t>Centrum dopravního výzkumu, v. v. i.</w:t>
      </w:r>
    </w:p>
    <w:p w14:paraId="6C2741EB" w14:textId="081113E1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  <w:t xml:space="preserve">Líšeňská </w:t>
      </w:r>
      <w:r w:rsidR="00B406DA">
        <w:rPr>
          <w:rFonts w:asciiTheme="minorHAnsi" w:hAnsiTheme="minorHAnsi" w:cstheme="minorHAnsi"/>
          <w:sz w:val="22"/>
          <w:szCs w:val="22"/>
        </w:rPr>
        <w:t>2657/</w:t>
      </w:r>
      <w:r w:rsidRPr="0053100B">
        <w:rPr>
          <w:rFonts w:asciiTheme="minorHAnsi" w:hAnsiTheme="minorHAnsi" w:cstheme="minorHAnsi"/>
          <w:sz w:val="22"/>
          <w:szCs w:val="22"/>
        </w:rPr>
        <w:t>33a, 636 00 Brno</w:t>
      </w:r>
    </w:p>
    <w:p w14:paraId="3918CB22" w14:textId="77777777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zastupuje: </w:t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  <w:t>Ing. Jindřich Frič, Ph.D., ředitel</w:t>
      </w:r>
    </w:p>
    <w:p w14:paraId="0735AD73" w14:textId="77777777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53100B">
        <w:rPr>
          <w:rFonts w:asciiTheme="minorHAnsi" w:hAnsiTheme="minorHAnsi" w:cstheme="minorHAnsi"/>
          <w:sz w:val="22"/>
          <w:szCs w:val="22"/>
        </w:rPr>
        <w:tab/>
        <w:t>Komerční banka, a.s., č. ú.100736621/0100</w:t>
      </w:r>
    </w:p>
    <w:p w14:paraId="314BBCF1" w14:textId="77777777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IČ: </w:t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  <w:t>44994575</w:t>
      </w:r>
    </w:p>
    <w:p w14:paraId="419C2AD0" w14:textId="77777777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DIČ: </w:t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  <w:t>CZ44994575</w:t>
      </w:r>
    </w:p>
    <w:p w14:paraId="1F234F6C" w14:textId="77777777" w:rsidR="00DB26B0" w:rsidRPr="0053100B" w:rsidRDefault="00DB26B0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>zapsán v Rejstříku veřejných výzkumných institucí vedeném MŠMT</w:t>
      </w:r>
    </w:p>
    <w:p w14:paraId="201F6F5E" w14:textId="77777777" w:rsidR="0051526E" w:rsidRDefault="00DB26B0" w:rsidP="0051526E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>na straně jedné</w:t>
      </w:r>
    </w:p>
    <w:p w14:paraId="3485EA0C" w14:textId="3F7900C6" w:rsidR="00DB26B0" w:rsidRPr="0053100B" w:rsidRDefault="00DB26B0" w:rsidP="0051526E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>(dále jen „</w:t>
      </w:r>
      <w:r w:rsidRPr="0053100B">
        <w:rPr>
          <w:rFonts w:asciiTheme="minorHAnsi" w:hAnsiTheme="minorHAnsi" w:cstheme="minorHAnsi"/>
          <w:i/>
          <w:sz w:val="22"/>
          <w:szCs w:val="22"/>
        </w:rPr>
        <w:t>Vedoucí společník</w:t>
      </w:r>
      <w:r w:rsidRPr="0053100B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10709E50" w14:textId="77777777" w:rsidR="00DB26B0" w:rsidRPr="0053100B" w:rsidRDefault="00DB26B0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</w:p>
    <w:p w14:paraId="4B760F45" w14:textId="77777777" w:rsidR="00DB26B0" w:rsidRPr="0053100B" w:rsidRDefault="00DB26B0" w:rsidP="00A0527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34AA5A" w14:textId="17D8118B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3100B">
        <w:rPr>
          <w:rFonts w:asciiTheme="minorHAnsi" w:hAnsiTheme="minorHAnsi" w:cstheme="minorHAnsi"/>
          <w:b/>
          <w:bCs/>
          <w:sz w:val="22"/>
          <w:szCs w:val="22"/>
        </w:rPr>
        <w:t>E-expert, spol. s</w:t>
      </w:r>
      <w:r w:rsidR="00EE27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100B">
        <w:rPr>
          <w:rFonts w:asciiTheme="minorHAnsi" w:hAnsiTheme="minorHAnsi" w:cstheme="minorHAnsi"/>
          <w:b/>
          <w:bCs/>
          <w:sz w:val="22"/>
          <w:szCs w:val="22"/>
        </w:rPr>
        <w:t xml:space="preserve">r.o. </w:t>
      </w:r>
    </w:p>
    <w:p w14:paraId="7E7801D4" w14:textId="77777777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  <w:t xml:space="preserve">Mrštíkova 883/3, Mariánské hory, 709 00 Ostrava </w:t>
      </w:r>
    </w:p>
    <w:p w14:paraId="5CEB18A0" w14:textId="5725B75E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zastupuje: </w:t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  <w:t xml:space="preserve">Ing. Vladimír Lollek, jednatel </w:t>
      </w:r>
    </w:p>
    <w:p w14:paraId="421CA0A5" w14:textId="77777777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IČ: </w:t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  <w:t xml:space="preserve">26783762 </w:t>
      </w:r>
    </w:p>
    <w:p w14:paraId="5F4BB0B5" w14:textId="77777777" w:rsidR="00DB26B0" w:rsidRPr="0053100B" w:rsidRDefault="00DB26B0" w:rsidP="00A0527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>DIČ:</w:t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ab/>
        <w:t>CZ26783762</w:t>
      </w:r>
    </w:p>
    <w:p w14:paraId="75C6F6A1" w14:textId="77777777" w:rsidR="00DB26B0" w:rsidRPr="0053100B" w:rsidRDefault="00DB26B0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 xml:space="preserve">zapsaná v Obchodním rejstříku, vedeném Krajským soudem v Ostravě, oddíl C, vložka č. 27136 </w:t>
      </w:r>
    </w:p>
    <w:p w14:paraId="7ECA2723" w14:textId="77777777" w:rsidR="0051526E" w:rsidRDefault="00562C98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straně druhé</w:t>
      </w:r>
    </w:p>
    <w:p w14:paraId="5DBB2631" w14:textId="2C4C5AB5" w:rsidR="00DB26B0" w:rsidRPr="0053100B" w:rsidRDefault="00DB26B0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>(dále jen „další Společník“)</w:t>
      </w:r>
    </w:p>
    <w:p w14:paraId="6FB50EEC" w14:textId="77777777" w:rsidR="00DB26B0" w:rsidRPr="0053100B" w:rsidRDefault="00DB26B0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</w:p>
    <w:p w14:paraId="0FF506A5" w14:textId="3ED23FC3" w:rsidR="0078528C" w:rsidRDefault="00DB26B0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  <w:r w:rsidRPr="0053100B">
        <w:rPr>
          <w:rFonts w:asciiTheme="minorHAnsi" w:hAnsiTheme="minorHAnsi" w:cstheme="minorHAnsi"/>
          <w:sz w:val="22"/>
          <w:szCs w:val="22"/>
        </w:rPr>
        <w:t>společně také jako „</w:t>
      </w:r>
      <w:r w:rsidRPr="0053100B">
        <w:rPr>
          <w:rFonts w:asciiTheme="minorHAnsi" w:hAnsiTheme="minorHAnsi" w:cstheme="minorHAnsi"/>
          <w:i/>
          <w:sz w:val="22"/>
          <w:szCs w:val="22"/>
        </w:rPr>
        <w:t>Společníci či Smluvní strany</w:t>
      </w:r>
      <w:r w:rsidRPr="0053100B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či jednotlivě jako „Smluvní strana“</w:t>
      </w:r>
    </w:p>
    <w:p w14:paraId="22E4F6C4" w14:textId="77777777" w:rsidR="00B23822" w:rsidRPr="00DB26B0" w:rsidRDefault="00B23822" w:rsidP="00A05279">
      <w:pPr>
        <w:pStyle w:val="text"/>
        <w:tabs>
          <w:tab w:val="right" w:leader="dot" w:pos="9468"/>
        </w:tabs>
        <w:rPr>
          <w:rFonts w:asciiTheme="minorHAnsi" w:hAnsiTheme="minorHAnsi" w:cstheme="minorHAnsi"/>
          <w:sz w:val="22"/>
          <w:szCs w:val="22"/>
        </w:rPr>
      </w:pPr>
    </w:p>
    <w:p w14:paraId="460CAA2E" w14:textId="77777777" w:rsidR="0078528C" w:rsidRPr="00C2154F" w:rsidRDefault="0078528C" w:rsidP="0078528C">
      <w:pPr>
        <w:pStyle w:val="Nadpis4"/>
        <w:jc w:val="center"/>
        <w:rPr>
          <w:rFonts w:asciiTheme="minorHAnsi" w:hAnsiTheme="minorHAnsi" w:cstheme="minorHAnsi"/>
          <w:b w:val="0"/>
          <w:i w:val="0"/>
          <w:iCs w:val="0"/>
          <w:color w:val="auto"/>
        </w:rPr>
      </w:pPr>
      <w:r w:rsidRPr="00C2154F">
        <w:rPr>
          <w:rFonts w:asciiTheme="minorHAnsi" w:hAnsiTheme="minorHAnsi" w:cstheme="minorHAnsi"/>
          <w:i w:val="0"/>
          <w:iCs w:val="0"/>
          <w:color w:val="auto"/>
        </w:rPr>
        <w:t>Preambule:</w:t>
      </w:r>
    </w:p>
    <w:p w14:paraId="6EE97010" w14:textId="77777777" w:rsidR="0078528C" w:rsidRPr="00C2154F" w:rsidRDefault="0078528C" w:rsidP="0078528C">
      <w:pPr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>Vzhledem k tomu, že:</w:t>
      </w:r>
    </w:p>
    <w:p w14:paraId="0C7D0F5A" w14:textId="77777777" w:rsidR="0078528C" w:rsidRPr="00C2154F" w:rsidRDefault="0078528C" w:rsidP="0078528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D2B97D" w14:textId="3D85898E" w:rsidR="0078528C" w:rsidRDefault="0078528C" w:rsidP="00FA70E8">
      <w:pPr>
        <w:pStyle w:val="Default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8798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Mezi výše uvedenými Smluvními stranami byla dne </w:t>
      </w:r>
      <w:r w:rsidR="001A473E" w:rsidRPr="00787985">
        <w:rPr>
          <w:rFonts w:asciiTheme="minorHAnsi" w:eastAsia="Times New Roman" w:hAnsiTheme="minorHAnsi" w:cstheme="minorHAnsi"/>
          <w:color w:val="auto"/>
          <w:sz w:val="22"/>
          <w:szCs w:val="22"/>
        </w:rPr>
        <w:t>23.4.</w:t>
      </w:r>
      <w:r w:rsidRPr="0078798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2021 uzavřena </w:t>
      </w:r>
      <w:r w:rsidR="001A473E" w:rsidRPr="0078798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Smlouva o spolupráci na realizaci plnění VEŘEJNÉ ZAKÁZKY „STRATEGICKÉ DOKUMENTY STATUTÁRNÍHO MĚSTA KARVINÉ PLÁN UDRŽITELNÉ MĚSTSKÉ MOBILITY“ </w:t>
      </w:r>
      <w:r w:rsidRPr="00787985">
        <w:rPr>
          <w:rFonts w:asciiTheme="minorHAnsi" w:eastAsia="Times New Roman" w:hAnsiTheme="minorHAnsi" w:cstheme="minorHAnsi"/>
          <w:sz w:val="22"/>
          <w:szCs w:val="22"/>
        </w:rPr>
        <w:t>pod č. SML/9</w:t>
      </w:r>
      <w:r w:rsidR="00787985" w:rsidRPr="00787985">
        <w:rPr>
          <w:rFonts w:asciiTheme="minorHAnsi" w:eastAsia="Times New Roman" w:hAnsiTheme="minorHAnsi" w:cstheme="minorHAnsi"/>
          <w:sz w:val="22"/>
          <w:szCs w:val="22"/>
        </w:rPr>
        <w:t>591</w:t>
      </w:r>
      <w:r w:rsidRPr="00787985">
        <w:rPr>
          <w:rFonts w:asciiTheme="minorHAnsi" w:eastAsia="Times New Roman" w:hAnsiTheme="minorHAnsi" w:cstheme="minorHAnsi"/>
          <w:sz w:val="22"/>
          <w:szCs w:val="22"/>
        </w:rPr>
        <w:t xml:space="preserve">/2021 (dále též „Smlouva“), spočívající v </w:t>
      </w:r>
      <w:r w:rsidR="00787985">
        <w:rPr>
          <w:rFonts w:asciiTheme="minorHAnsi" w:eastAsia="Times New Roman" w:hAnsiTheme="minorHAnsi" w:cstheme="minorHAnsi"/>
          <w:sz w:val="22"/>
          <w:szCs w:val="22"/>
        </w:rPr>
        <w:t>závazku</w:t>
      </w:r>
      <w:r w:rsidRPr="0078798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87985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787985" w:rsidRPr="0053100B">
        <w:rPr>
          <w:rFonts w:asciiTheme="minorHAnsi" w:hAnsiTheme="minorHAnsi" w:cstheme="minorHAnsi"/>
          <w:snapToGrid w:val="0"/>
          <w:sz w:val="22"/>
          <w:szCs w:val="22"/>
        </w:rPr>
        <w:t>polečně poskytnout plnění určené k naplnění veřejné zakázky a k poskytnutí věcí či práv potřebných k řádnému plnění veřejné zakázky</w:t>
      </w:r>
      <w:r w:rsidR="00787985">
        <w:rPr>
          <w:rFonts w:asciiTheme="minorHAnsi" w:hAnsiTheme="minorHAnsi" w:cstheme="minorHAnsi"/>
          <w:sz w:val="22"/>
          <w:szCs w:val="22"/>
        </w:rPr>
        <w:t>.</w:t>
      </w:r>
    </w:p>
    <w:p w14:paraId="1DDDD285" w14:textId="5F4FDC81" w:rsidR="00787985" w:rsidRPr="00787985" w:rsidRDefault="00787985" w:rsidP="00FA70E8">
      <w:pPr>
        <w:pStyle w:val="Default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Smluvní strany si v souladu s čl. II odst. 7 </w:t>
      </w:r>
      <w:r w:rsidR="00487115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mlouvy dohodly na </w:t>
      </w:r>
      <w:r w:rsidR="000114AD">
        <w:rPr>
          <w:rFonts w:asciiTheme="minorHAnsi" w:eastAsia="Times New Roman" w:hAnsiTheme="minorHAnsi" w:cstheme="minorHAnsi"/>
          <w:color w:val="auto"/>
          <w:sz w:val="22"/>
          <w:szCs w:val="22"/>
        </w:rPr>
        <w:t>nutnosti</w:t>
      </w:r>
      <w:r w:rsidR="003D34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navýšení scénářů, a to jak v analytické, tak v návrhové části. </w:t>
      </w:r>
      <w:r w:rsidR="003D34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Této možnosti se Smluvní strany rozhodly využít a za tímto účelem uzavírají tento </w:t>
      </w:r>
      <w:r w:rsidR="00487115">
        <w:rPr>
          <w:rFonts w:asciiTheme="minorHAnsi" w:eastAsia="Times New Roman" w:hAnsiTheme="minorHAnsi" w:cstheme="minorHAnsi"/>
          <w:color w:val="auto"/>
          <w:sz w:val="22"/>
          <w:szCs w:val="22"/>
        </w:rPr>
        <w:t>D</w:t>
      </w:r>
      <w:r w:rsidR="003D34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odatek č. 1. </w:t>
      </w:r>
      <w:r w:rsidRPr="00EA744D">
        <w:rPr>
          <w:rFonts w:asciiTheme="minorHAnsi" w:hAnsiTheme="minorHAnsi" w:cstheme="minorHAnsi"/>
          <w:snapToGrid w:val="0"/>
          <w:sz w:val="22"/>
          <w:szCs w:val="22"/>
        </w:rPr>
        <w:t>V návaznosti na výše uvedené skutečnosti došlo současně i k úpravě výše odměny</w:t>
      </w:r>
      <w:r w:rsidR="00634CF0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A22BB69" w14:textId="33012B24" w:rsidR="0078528C" w:rsidRPr="00C2154F" w:rsidRDefault="0078528C" w:rsidP="001A473E">
      <w:pPr>
        <w:pStyle w:val="Zhlavnebozpat20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 xml:space="preserve">Smluvní strany se dohodly na následujících změnách a doplněních Smlouvy, za účelem čehož uzavírají tento Dodatek č. </w:t>
      </w:r>
      <w:r w:rsidR="00634CF0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>. (dále jen „</w:t>
      </w:r>
      <w:r w:rsidRPr="001A473E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634CF0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>“):</w:t>
      </w:r>
    </w:p>
    <w:p w14:paraId="124A6254" w14:textId="77777777" w:rsidR="001568C0" w:rsidRDefault="001568C0" w:rsidP="0078528C">
      <w:pPr>
        <w:spacing w:before="480"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AB39E9" w14:textId="0C36A460" w:rsidR="001568C0" w:rsidRDefault="001568C0" w:rsidP="0078528C">
      <w:pPr>
        <w:spacing w:before="480"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7CA488" w14:textId="0E2962CE" w:rsidR="0078528C" w:rsidRDefault="0078528C" w:rsidP="0078528C">
      <w:pPr>
        <w:spacing w:before="480"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154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Čl. I</w:t>
      </w:r>
    </w:p>
    <w:p w14:paraId="194E1C4D" w14:textId="12D95B11" w:rsidR="001F620E" w:rsidRPr="001568C0" w:rsidRDefault="001F620E" w:rsidP="00A05279">
      <w:pPr>
        <w:spacing w:before="60"/>
        <w:ind w:left="567" w:hanging="567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Článek II. odst.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1</w:t>
      </w: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. Smlouvy se mění následovně</w:t>
      </w:r>
      <w:r w:rsidRPr="00C2154F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:</w:t>
      </w:r>
    </w:p>
    <w:p w14:paraId="64A073F9" w14:textId="77777777" w:rsidR="001F620E" w:rsidRPr="00C2154F" w:rsidRDefault="001F620E" w:rsidP="00A05279">
      <w:pPr>
        <w:tabs>
          <w:tab w:val="num" w:pos="0"/>
        </w:tabs>
        <w:spacing w:before="120" w:after="120"/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2154F">
        <w:rPr>
          <w:rFonts w:asciiTheme="minorHAnsi" w:hAnsiTheme="minorHAnsi" w:cstheme="minorHAnsi"/>
          <w:b/>
          <w:i/>
          <w:sz w:val="22"/>
          <w:szCs w:val="22"/>
        </w:rPr>
        <w:t>původní znění</w:t>
      </w:r>
      <w:r w:rsidRPr="00C2154F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14:paraId="1F53D822" w14:textId="7047E6A5" w:rsidR="001F620E" w:rsidRPr="001568C0" w:rsidRDefault="001F620E" w:rsidP="00A05279">
      <w:pPr>
        <w:pStyle w:val="Odstavecseseznamem"/>
        <w:numPr>
          <w:ilvl w:val="0"/>
          <w:numId w:val="8"/>
        </w:numPr>
        <w:spacing w:after="160" w:line="240" w:lineRule="auto"/>
        <w:ind w:left="567" w:hanging="567"/>
        <w:contextualSpacing w:val="0"/>
        <w:jc w:val="both"/>
        <w:rPr>
          <w:rFonts w:asciiTheme="minorHAnsi" w:hAnsiTheme="minorHAnsi" w:cstheme="minorHAnsi"/>
          <w:strike/>
          <w:snapToGrid w:val="0"/>
        </w:rPr>
      </w:pPr>
      <w:r w:rsidRPr="001F620E">
        <w:rPr>
          <w:rFonts w:asciiTheme="minorHAnsi" w:hAnsiTheme="minorHAnsi" w:cstheme="minorHAnsi"/>
          <w:strike/>
          <w:snapToGrid w:val="0"/>
        </w:rPr>
        <w:t>Smluvní strany se shodně dohodly na zúžení počtu scénářů návrhové a analytické části oproti počtu scénářů sjednaných v čl. II. odst. 3 Smlouvy o budoucí spolupráci na veřejné zakázce s názvem „STRATEGICKÉ DOKUMENTY STATUTÁRNÍHO MĚSTA KARVINÉ - PLÁN UDRŽITELNÉ MĚSTSKÉ MOBILITY“ spolu s písemným závazkem jiné osoby k poskytnutí plnění určeného k plnění veřejné zakázky v rozsahu, v jakém jiná osoba prokázala část kvalifikace za dodavatele jak v návrhové uzavřené mezi smluvními stranami ze dne 22.10.2020 a to z původních tří scénářů na jeden scénář v analytické části a z původních tří scénářů na dva scénáře v návrhové části. V návaznosti na výše uvedené skutečnosti došlo současně i k úpravě výše odměny.</w:t>
      </w:r>
    </w:p>
    <w:p w14:paraId="7F970197" w14:textId="33FA975B" w:rsidR="001F620E" w:rsidRDefault="001F620E" w:rsidP="00A05279">
      <w:pPr>
        <w:pStyle w:val="Odstavecseseznamem"/>
        <w:tabs>
          <w:tab w:val="num" w:pos="0"/>
        </w:tabs>
        <w:spacing w:before="60" w:after="120"/>
        <w:ind w:left="567" w:hanging="567"/>
        <w:jc w:val="both"/>
        <w:rPr>
          <w:rFonts w:asciiTheme="minorHAnsi" w:hAnsiTheme="minorHAnsi" w:cstheme="minorHAnsi"/>
          <w:b/>
          <w:i/>
        </w:rPr>
      </w:pPr>
      <w:r w:rsidRPr="00C2154F">
        <w:rPr>
          <w:rFonts w:asciiTheme="minorHAnsi" w:hAnsiTheme="minorHAnsi" w:cstheme="minorHAnsi"/>
          <w:b/>
          <w:i/>
        </w:rPr>
        <w:t>nové znění:</w:t>
      </w:r>
    </w:p>
    <w:p w14:paraId="2F8D4039" w14:textId="0E640DD2" w:rsidR="00A26885" w:rsidRPr="001568C0" w:rsidRDefault="00A26885" w:rsidP="00A05279">
      <w:pPr>
        <w:pStyle w:val="Odstavecseseznamem"/>
        <w:spacing w:after="160" w:line="240" w:lineRule="auto"/>
        <w:ind w:left="567" w:hanging="567"/>
        <w:contextualSpacing w:val="0"/>
        <w:jc w:val="both"/>
        <w:rPr>
          <w:rFonts w:asciiTheme="minorHAnsi" w:hAnsiTheme="minorHAnsi" w:cstheme="minorHAnsi"/>
          <w:lang w:bidi="cs-CZ"/>
        </w:rPr>
      </w:pPr>
      <w:r>
        <w:rPr>
          <w:rFonts w:asciiTheme="minorHAnsi" w:hAnsiTheme="minorHAnsi" w:cstheme="minorHAnsi"/>
          <w:lang w:bidi="cs-CZ"/>
        </w:rPr>
        <w:t>1.</w:t>
      </w:r>
      <w:r>
        <w:rPr>
          <w:rFonts w:asciiTheme="minorHAnsi" w:hAnsiTheme="minorHAnsi" w:cstheme="minorHAnsi"/>
          <w:lang w:bidi="cs-CZ"/>
        </w:rPr>
        <w:tab/>
      </w:r>
      <w:r w:rsidRPr="00A26885">
        <w:rPr>
          <w:rFonts w:asciiTheme="minorHAnsi" w:hAnsiTheme="minorHAnsi" w:cstheme="minorHAnsi"/>
          <w:lang w:bidi="cs-CZ"/>
        </w:rPr>
        <w:t xml:space="preserve">Smluvní strany se shodně dohodly na </w:t>
      </w:r>
      <w:r>
        <w:rPr>
          <w:rFonts w:asciiTheme="minorHAnsi" w:hAnsiTheme="minorHAnsi" w:cstheme="minorHAnsi"/>
          <w:lang w:bidi="cs-CZ"/>
        </w:rPr>
        <w:t>celkovém</w:t>
      </w:r>
      <w:r w:rsidRPr="00A26885">
        <w:rPr>
          <w:rFonts w:asciiTheme="minorHAnsi" w:hAnsiTheme="minorHAnsi" w:cstheme="minorHAnsi"/>
          <w:lang w:bidi="cs-CZ"/>
        </w:rPr>
        <w:t xml:space="preserve"> počtu </w:t>
      </w:r>
      <w:r>
        <w:rPr>
          <w:rFonts w:asciiTheme="minorHAnsi" w:hAnsiTheme="minorHAnsi" w:cstheme="minorHAnsi"/>
          <w:lang w:bidi="cs-CZ"/>
        </w:rPr>
        <w:t xml:space="preserve">šesti </w:t>
      </w:r>
      <w:r w:rsidRPr="00A26885">
        <w:rPr>
          <w:rFonts w:asciiTheme="minorHAnsi" w:hAnsiTheme="minorHAnsi" w:cstheme="minorHAnsi"/>
          <w:lang w:bidi="cs-CZ"/>
        </w:rPr>
        <w:t>scénářů</w:t>
      </w:r>
      <w:r w:rsidR="00712E8D">
        <w:rPr>
          <w:rFonts w:asciiTheme="minorHAnsi" w:hAnsiTheme="minorHAnsi" w:cstheme="minorHAnsi"/>
          <w:lang w:bidi="cs-CZ"/>
        </w:rPr>
        <w:t>,</w:t>
      </w:r>
      <w:r w:rsidRPr="00A26885">
        <w:rPr>
          <w:rFonts w:asciiTheme="minorHAnsi" w:hAnsiTheme="minorHAnsi" w:cstheme="minorHAnsi"/>
          <w:lang w:bidi="cs-CZ"/>
        </w:rPr>
        <w:t xml:space="preserve"> </w:t>
      </w:r>
      <w:r>
        <w:rPr>
          <w:rFonts w:asciiTheme="minorHAnsi" w:hAnsiTheme="minorHAnsi" w:cstheme="minorHAnsi"/>
          <w:lang w:bidi="cs-CZ"/>
        </w:rPr>
        <w:t xml:space="preserve">a to tři scénáře v </w:t>
      </w:r>
      <w:r w:rsidRPr="00A26885">
        <w:rPr>
          <w:rFonts w:asciiTheme="minorHAnsi" w:hAnsiTheme="minorHAnsi" w:cstheme="minorHAnsi"/>
          <w:lang w:bidi="cs-CZ"/>
        </w:rPr>
        <w:t>návrhové a</w:t>
      </w:r>
      <w:r>
        <w:rPr>
          <w:rFonts w:asciiTheme="minorHAnsi" w:hAnsiTheme="minorHAnsi" w:cstheme="minorHAnsi"/>
          <w:lang w:bidi="cs-CZ"/>
        </w:rPr>
        <w:t xml:space="preserve"> tři scénáře v</w:t>
      </w:r>
      <w:r w:rsidRPr="00A26885">
        <w:rPr>
          <w:rFonts w:asciiTheme="minorHAnsi" w:hAnsiTheme="minorHAnsi" w:cstheme="minorHAnsi"/>
          <w:lang w:bidi="cs-CZ"/>
        </w:rPr>
        <w:t xml:space="preserve"> analytické části </w:t>
      </w:r>
      <w:r>
        <w:rPr>
          <w:rFonts w:asciiTheme="minorHAnsi" w:hAnsiTheme="minorHAnsi" w:cstheme="minorHAnsi"/>
          <w:lang w:bidi="cs-CZ"/>
        </w:rPr>
        <w:t>v souladu s</w:t>
      </w:r>
      <w:r w:rsidRPr="00A26885">
        <w:rPr>
          <w:rFonts w:asciiTheme="minorHAnsi" w:hAnsiTheme="minorHAnsi" w:cstheme="minorHAnsi"/>
          <w:lang w:bidi="cs-CZ"/>
        </w:rPr>
        <w:t> čl. II. odst. 3 Smlouvy o budoucí spolupráci na veřejné zakázce s názvem „STRATEGICKÉ DOKUMENTY STATUTÁRNÍHO MĚSTA KARVINÉ - PLÁN UDRŽITELNÉ MĚSTSKÉ MOBILITY“ spolu s písemným závazkem jiné osoby k poskytnutí plnění určeného k plnění veřejné zakázky v rozsahu, v jakém jiná osoba prokázala část kvalifikace za dodavatele jak v návrhové uzavřené mezi smluvními stranami ze dne 22.10.2020</w:t>
      </w:r>
      <w:r>
        <w:rPr>
          <w:rFonts w:asciiTheme="minorHAnsi" w:hAnsiTheme="minorHAnsi" w:cstheme="minorHAnsi"/>
          <w:lang w:bidi="cs-CZ"/>
        </w:rPr>
        <w:t>.</w:t>
      </w:r>
    </w:p>
    <w:p w14:paraId="6C9726B3" w14:textId="69D1AB1D" w:rsidR="0078528C" w:rsidRPr="001568C0" w:rsidRDefault="0078528C" w:rsidP="00A05279">
      <w:pPr>
        <w:spacing w:before="60"/>
        <w:ind w:left="567" w:hanging="567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Článek II. odst.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3</w:t>
      </w: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. Smlouvy se mění následovně</w:t>
      </w:r>
      <w:r w:rsidRPr="00C2154F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:</w:t>
      </w:r>
    </w:p>
    <w:p w14:paraId="7DB4A562" w14:textId="77777777" w:rsidR="0078528C" w:rsidRPr="00C2154F" w:rsidRDefault="0078528C" w:rsidP="00A05279">
      <w:pPr>
        <w:tabs>
          <w:tab w:val="num" w:pos="0"/>
        </w:tabs>
        <w:spacing w:before="120" w:after="120"/>
        <w:ind w:left="567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2154F">
        <w:rPr>
          <w:rFonts w:asciiTheme="minorHAnsi" w:hAnsiTheme="minorHAnsi" w:cstheme="minorHAnsi"/>
          <w:b/>
          <w:i/>
          <w:sz w:val="22"/>
          <w:szCs w:val="22"/>
        </w:rPr>
        <w:t>původní znění</w:t>
      </w:r>
      <w:r w:rsidRPr="00C2154F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14:paraId="2C167EF0" w14:textId="64B46CD5" w:rsidR="0078528C" w:rsidRPr="008D6DAD" w:rsidRDefault="0078528C" w:rsidP="00A05279">
      <w:pPr>
        <w:pStyle w:val="Odstavecseseznamem"/>
        <w:spacing w:after="160" w:line="240" w:lineRule="auto"/>
        <w:ind w:left="567" w:hanging="567"/>
        <w:contextualSpacing w:val="0"/>
        <w:jc w:val="both"/>
        <w:rPr>
          <w:rFonts w:asciiTheme="minorHAnsi" w:hAnsiTheme="minorHAnsi" w:cstheme="minorHAnsi"/>
          <w:strike/>
          <w:snapToGrid w:val="0"/>
        </w:rPr>
      </w:pPr>
      <w:r w:rsidRPr="008D6DAD">
        <w:rPr>
          <w:rFonts w:asciiTheme="minorHAnsi" w:hAnsiTheme="minorHAnsi" w:cstheme="minorHAnsi"/>
          <w:strike/>
          <w:snapToGrid w:val="0"/>
        </w:rPr>
        <w:t>3.</w:t>
      </w:r>
      <w:r w:rsidR="00AC0C4E" w:rsidRPr="008D6DAD">
        <w:rPr>
          <w:rFonts w:asciiTheme="minorHAnsi" w:hAnsiTheme="minorHAnsi" w:cstheme="minorHAnsi"/>
          <w:strike/>
          <w:snapToGrid w:val="0"/>
        </w:rPr>
        <w:tab/>
      </w:r>
      <w:r w:rsidRPr="008D6DAD">
        <w:rPr>
          <w:rFonts w:asciiTheme="minorHAnsi" w:hAnsiTheme="minorHAnsi" w:cstheme="minorHAnsi"/>
          <w:strike/>
          <w:snapToGrid w:val="0"/>
        </w:rPr>
        <w:t>Společník se tímto zavazuje zpracovat pro Vedoucího Společníka v rámci plnění veřejné zakázky:</w:t>
      </w:r>
    </w:p>
    <w:p w14:paraId="7610868A" w14:textId="4CF60A43" w:rsidR="0078528C" w:rsidRPr="008636A5" w:rsidRDefault="0078528C" w:rsidP="008636A5">
      <w:pPr>
        <w:pStyle w:val="Odstavecseseznamem"/>
        <w:numPr>
          <w:ilvl w:val="0"/>
          <w:numId w:val="10"/>
        </w:numPr>
        <w:spacing w:before="120" w:after="0"/>
        <w:ind w:left="567"/>
        <w:jc w:val="both"/>
        <w:rPr>
          <w:rFonts w:asciiTheme="minorHAnsi" w:hAnsiTheme="minorHAnsi" w:cstheme="minorHAnsi"/>
          <w:strike/>
          <w:snapToGrid w:val="0"/>
        </w:rPr>
      </w:pPr>
      <w:r w:rsidRPr="008636A5">
        <w:rPr>
          <w:rFonts w:asciiTheme="minorHAnsi" w:hAnsiTheme="minorHAnsi" w:cstheme="minorHAnsi"/>
          <w:strike/>
          <w:snapToGrid w:val="0"/>
        </w:rPr>
        <w:t xml:space="preserve">Provést celkovou rozptylovou studii pro řešené území + 500 m obalovou zónu kolem hranice řešeného území. Rozptylová studie bude zpracována pro plošné, liniové a stacionární zdroje a bude vypracována dle metodického pokynu odboru ochrany ovzduší ke zpracování rozptylových studií podle § 32 odst. 1 písm. e) zákona č. 201/2012 Sb., o ochraně ovzduší. </w:t>
      </w:r>
    </w:p>
    <w:p w14:paraId="730655AA" w14:textId="77777777" w:rsidR="0078528C" w:rsidRPr="008636A5" w:rsidRDefault="0078528C" w:rsidP="008636A5">
      <w:pPr>
        <w:pStyle w:val="Odstavecseseznamem"/>
        <w:spacing w:before="120"/>
        <w:ind w:left="567"/>
        <w:jc w:val="both"/>
        <w:rPr>
          <w:rFonts w:asciiTheme="minorHAnsi" w:hAnsiTheme="minorHAnsi" w:cstheme="minorHAnsi"/>
          <w:strike/>
          <w:snapToGrid w:val="0"/>
        </w:rPr>
      </w:pPr>
      <w:r w:rsidRPr="008636A5">
        <w:rPr>
          <w:rFonts w:asciiTheme="minorHAnsi" w:hAnsiTheme="minorHAnsi" w:cstheme="minorHAnsi"/>
          <w:strike/>
          <w:snapToGrid w:val="0"/>
        </w:rPr>
        <w:t>Plnění uvedené výše v tomto článku bude rozděleno na část analytickou a část návrhovou. Pro analytickou i návrhovou část bude dodán samostatný analytický text a požadované mapové výstupy pro hodnocené scénáře. Bude modelován:</w:t>
      </w:r>
    </w:p>
    <w:p w14:paraId="55114C93" w14:textId="3E1152F4" w:rsidR="0078528C" w:rsidRPr="0078528C" w:rsidRDefault="0078528C" w:rsidP="00213E24">
      <w:pPr>
        <w:pStyle w:val="Odstavecseseznamem"/>
        <w:numPr>
          <w:ilvl w:val="1"/>
          <w:numId w:val="6"/>
        </w:numPr>
        <w:spacing w:before="120" w:after="0"/>
        <w:ind w:left="1560"/>
        <w:jc w:val="both"/>
        <w:rPr>
          <w:rFonts w:asciiTheme="minorHAnsi" w:hAnsiTheme="minorHAnsi" w:cstheme="minorHAnsi"/>
          <w:strike/>
          <w:snapToGrid w:val="0"/>
        </w:rPr>
      </w:pPr>
      <w:r w:rsidRPr="0078528C">
        <w:rPr>
          <w:rFonts w:asciiTheme="minorHAnsi" w:hAnsiTheme="minorHAnsi" w:cstheme="minorHAnsi"/>
          <w:strike/>
          <w:snapToGrid w:val="0"/>
        </w:rPr>
        <w:t>1 scénář</w:t>
      </w:r>
      <w:r w:rsidR="003F62C1">
        <w:rPr>
          <w:rFonts w:asciiTheme="minorHAnsi" w:hAnsiTheme="minorHAnsi" w:cstheme="minorHAnsi"/>
          <w:strike/>
          <w:snapToGrid w:val="0"/>
        </w:rPr>
        <w:t>e</w:t>
      </w:r>
      <w:r w:rsidRPr="0078528C">
        <w:rPr>
          <w:rFonts w:asciiTheme="minorHAnsi" w:hAnsiTheme="minorHAnsi" w:cstheme="minorHAnsi"/>
          <w:strike/>
          <w:snapToGrid w:val="0"/>
        </w:rPr>
        <w:t xml:space="preserve"> v analytické části (škodliviny PM10, PM2,5, NOx, NO2, B(a)P), </w:t>
      </w:r>
    </w:p>
    <w:p w14:paraId="13B379F3" w14:textId="77777777" w:rsidR="0078528C" w:rsidRPr="00213E24" w:rsidRDefault="0078528C" w:rsidP="00213E24">
      <w:pPr>
        <w:pStyle w:val="Odstavecseseznamem"/>
        <w:numPr>
          <w:ilvl w:val="1"/>
          <w:numId w:val="6"/>
        </w:numPr>
        <w:spacing w:before="120"/>
        <w:ind w:left="1560"/>
        <w:jc w:val="both"/>
        <w:rPr>
          <w:rFonts w:asciiTheme="minorHAnsi" w:hAnsiTheme="minorHAnsi" w:cstheme="minorHAnsi"/>
          <w:strike/>
          <w:snapToGrid w:val="0"/>
        </w:rPr>
      </w:pPr>
      <w:r w:rsidRPr="00213E24">
        <w:rPr>
          <w:rFonts w:asciiTheme="minorHAnsi" w:hAnsiTheme="minorHAnsi" w:cstheme="minorHAnsi"/>
          <w:strike/>
          <w:snapToGrid w:val="0"/>
        </w:rPr>
        <w:t xml:space="preserve">2 scénáře v návrhové části (škodliviny PM10, PM2,5, NOx, NO2, B(a)P). </w:t>
      </w:r>
    </w:p>
    <w:p w14:paraId="3DFCF803" w14:textId="77777777" w:rsidR="0078528C" w:rsidRPr="00C2154F" w:rsidRDefault="0078528C" w:rsidP="00A05279">
      <w:pPr>
        <w:pStyle w:val="Odstavecseseznamem"/>
        <w:ind w:left="567" w:hanging="567"/>
        <w:jc w:val="both"/>
        <w:rPr>
          <w:rFonts w:asciiTheme="minorHAnsi" w:hAnsiTheme="minorHAnsi" w:cstheme="minorHAnsi"/>
          <w:strike/>
        </w:rPr>
      </w:pPr>
    </w:p>
    <w:p w14:paraId="2CC35BB7" w14:textId="77777777" w:rsidR="0078528C" w:rsidRPr="00C2154F" w:rsidRDefault="0078528C" w:rsidP="00A05279">
      <w:pPr>
        <w:pStyle w:val="Odstavecseseznamem"/>
        <w:tabs>
          <w:tab w:val="num" w:pos="0"/>
        </w:tabs>
        <w:spacing w:before="60" w:after="120"/>
        <w:ind w:left="567" w:hanging="567"/>
        <w:jc w:val="both"/>
        <w:rPr>
          <w:rFonts w:asciiTheme="minorHAnsi" w:eastAsiaTheme="minorHAnsi" w:hAnsiTheme="minorHAnsi" w:cstheme="minorHAnsi"/>
          <w:b/>
          <w:i/>
        </w:rPr>
      </w:pPr>
      <w:r w:rsidRPr="00C2154F">
        <w:rPr>
          <w:rFonts w:asciiTheme="minorHAnsi" w:hAnsiTheme="minorHAnsi" w:cstheme="minorHAnsi"/>
          <w:b/>
          <w:i/>
        </w:rPr>
        <w:t>nové znění:</w:t>
      </w:r>
    </w:p>
    <w:p w14:paraId="71E03138" w14:textId="5346BF7D" w:rsidR="0078528C" w:rsidRPr="00EA744D" w:rsidRDefault="0078528C" w:rsidP="00A05279">
      <w:pPr>
        <w:pStyle w:val="Odstavecseseznamem"/>
        <w:spacing w:after="160" w:line="240" w:lineRule="auto"/>
        <w:ind w:left="567" w:hanging="567"/>
        <w:contextualSpacing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lang w:bidi="cs-CZ"/>
        </w:rPr>
        <w:t xml:space="preserve">3. </w:t>
      </w:r>
      <w:r w:rsidR="004B202F">
        <w:rPr>
          <w:rFonts w:asciiTheme="minorHAnsi" w:hAnsiTheme="minorHAnsi" w:cstheme="minorHAnsi"/>
          <w:lang w:bidi="cs-CZ"/>
        </w:rPr>
        <w:tab/>
      </w:r>
      <w:r w:rsidRPr="00EA744D">
        <w:rPr>
          <w:rFonts w:asciiTheme="minorHAnsi" w:hAnsiTheme="minorHAnsi" w:cstheme="minorHAnsi"/>
          <w:snapToGrid w:val="0"/>
        </w:rPr>
        <w:t>Společník se tímto zavazuje zpracovat pro Vedoucího Společníka v rámci plnění veřejné zakázky:</w:t>
      </w:r>
    </w:p>
    <w:p w14:paraId="40CD1E4A" w14:textId="5B98E477" w:rsidR="0078528C" w:rsidRDefault="0078528C" w:rsidP="008636A5">
      <w:pPr>
        <w:pStyle w:val="Odstavecseseznamem"/>
        <w:numPr>
          <w:ilvl w:val="0"/>
          <w:numId w:val="10"/>
        </w:numPr>
        <w:spacing w:before="120" w:after="0"/>
        <w:ind w:left="567"/>
        <w:jc w:val="both"/>
        <w:rPr>
          <w:rFonts w:asciiTheme="minorHAnsi" w:hAnsiTheme="minorHAnsi" w:cstheme="minorHAnsi"/>
          <w:snapToGrid w:val="0"/>
        </w:rPr>
      </w:pPr>
      <w:r w:rsidRPr="00EA744D">
        <w:rPr>
          <w:rFonts w:asciiTheme="minorHAnsi" w:hAnsiTheme="minorHAnsi" w:cstheme="minorHAnsi"/>
          <w:snapToGrid w:val="0"/>
        </w:rPr>
        <w:t xml:space="preserve">Provést celkovou rozptylovou studii pro řešené území + 500 m obalovou zónu kolem hranice řešeného území. Rozptylová studie bude zpracována pro plošné, liniové a stacionární zdroje a bude vypracována dle metodického pokynu odboru ochrany ovzduší ke zpracování rozptylových studií podle § 32 odst. 1 písm. e) zákona č. 201/2012 Sb., o ochraně ovzduší. </w:t>
      </w:r>
    </w:p>
    <w:p w14:paraId="180FDAEC" w14:textId="77777777" w:rsidR="0078528C" w:rsidRPr="00EA744D" w:rsidRDefault="0078528C" w:rsidP="008636A5">
      <w:pPr>
        <w:pStyle w:val="Odstavecseseznamem"/>
        <w:spacing w:before="120"/>
        <w:ind w:left="567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Plnění uvedené výše v tomto článku bude rozděleno na část analytickou a část návrhovou. </w:t>
      </w:r>
      <w:r w:rsidRPr="00EA744D">
        <w:rPr>
          <w:rFonts w:asciiTheme="minorHAnsi" w:hAnsiTheme="minorHAnsi" w:cstheme="minorHAnsi"/>
          <w:snapToGrid w:val="0"/>
        </w:rPr>
        <w:t>Pro analytickou i návrhovou část bude dodán samostatný analytický text a požadované mapové výstupy pro hodnocené scénáře. Bude modelován:</w:t>
      </w:r>
    </w:p>
    <w:p w14:paraId="334E41A3" w14:textId="04345487" w:rsidR="0078528C" w:rsidRPr="006470FB" w:rsidRDefault="00536033" w:rsidP="006470FB">
      <w:pPr>
        <w:pStyle w:val="Odstavecseseznamem"/>
        <w:numPr>
          <w:ilvl w:val="0"/>
          <w:numId w:val="12"/>
        </w:numPr>
        <w:spacing w:before="120"/>
        <w:ind w:left="1560"/>
        <w:jc w:val="both"/>
        <w:rPr>
          <w:rFonts w:asciiTheme="minorHAnsi" w:hAnsiTheme="minorHAnsi" w:cstheme="minorHAnsi"/>
          <w:snapToGrid w:val="0"/>
        </w:rPr>
      </w:pPr>
      <w:r w:rsidRPr="006470FB">
        <w:rPr>
          <w:rFonts w:asciiTheme="minorHAnsi" w:hAnsiTheme="minorHAnsi" w:cstheme="minorHAnsi"/>
          <w:snapToGrid w:val="0"/>
        </w:rPr>
        <w:t>3</w:t>
      </w:r>
      <w:r w:rsidR="0078528C" w:rsidRPr="006470FB">
        <w:rPr>
          <w:rFonts w:asciiTheme="minorHAnsi" w:hAnsiTheme="minorHAnsi" w:cstheme="minorHAnsi"/>
          <w:snapToGrid w:val="0"/>
        </w:rPr>
        <w:t xml:space="preserve"> scénář</w:t>
      </w:r>
      <w:r w:rsidR="00EE2772">
        <w:rPr>
          <w:rFonts w:asciiTheme="minorHAnsi" w:hAnsiTheme="minorHAnsi" w:cstheme="minorHAnsi"/>
          <w:snapToGrid w:val="0"/>
        </w:rPr>
        <w:t>e</w:t>
      </w:r>
      <w:r w:rsidR="0078528C" w:rsidRPr="006470FB">
        <w:rPr>
          <w:rFonts w:asciiTheme="minorHAnsi" w:hAnsiTheme="minorHAnsi" w:cstheme="minorHAnsi"/>
          <w:snapToGrid w:val="0"/>
        </w:rPr>
        <w:t xml:space="preserve"> v analytické části (škodliviny PM10, PM2,5, NOx, NO2, B(a)P), </w:t>
      </w:r>
    </w:p>
    <w:p w14:paraId="5C38E301" w14:textId="11BE9102" w:rsidR="0078528C" w:rsidRPr="006470FB" w:rsidRDefault="00536033" w:rsidP="006470FB">
      <w:pPr>
        <w:pStyle w:val="Odstavecseseznamem"/>
        <w:numPr>
          <w:ilvl w:val="0"/>
          <w:numId w:val="12"/>
        </w:numPr>
        <w:spacing w:before="120"/>
        <w:ind w:left="1560"/>
        <w:jc w:val="both"/>
        <w:rPr>
          <w:rFonts w:asciiTheme="minorHAnsi" w:hAnsiTheme="minorHAnsi" w:cstheme="minorHAnsi"/>
          <w:snapToGrid w:val="0"/>
        </w:rPr>
      </w:pPr>
      <w:r w:rsidRPr="006470FB">
        <w:rPr>
          <w:rFonts w:asciiTheme="minorHAnsi" w:hAnsiTheme="minorHAnsi" w:cstheme="minorHAnsi"/>
          <w:snapToGrid w:val="0"/>
        </w:rPr>
        <w:t>3</w:t>
      </w:r>
      <w:r w:rsidR="0078528C" w:rsidRPr="006470FB">
        <w:rPr>
          <w:rFonts w:asciiTheme="minorHAnsi" w:hAnsiTheme="minorHAnsi" w:cstheme="minorHAnsi"/>
          <w:snapToGrid w:val="0"/>
        </w:rPr>
        <w:t xml:space="preserve"> scénáře v návrhové části (škodliviny PM10, PM2,5, NOx, NO2, B(a)P). </w:t>
      </w:r>
    </w:p>
    <w:p w14:paraId="7EEDFC9D" w14:textId="50028594" w:rsidR="0078528C" w:rsidRDefault="0078528C" w:rsidP="001F620E">
      <w:pPr>
        <w:pStyle w:val="Odstavecseseznamem"/>
        <w:ind w:left="851" w:hanging="567"/>
        <w:rPr>
          <w:rFonts w:asciiTheme="minorHAnsi" w:hAnsiTheme="minorHAnsi" w:cstheme="minorHAnsi"/>
          <w:lang w:bidi="cs-CZ"/>
        </w:rPr>
      </w:pPr>
      <w:r w:rsidRPr="00C2154F">
        <w:rPr>
          <w:rFonts w:asciiTheme="minorHAnsi" w:hAnsiTheme="minorHAnsi" w:cstheme="minorHAnsi"/>
          <w:lang w:bidi="cs-CZ"/>
        </w:rPr>
        <w:t xml:space="preserve"> </w:t>
      </w:r>
    </w:p>
    <w:p w14:paraId="0BCB52C4" w14:textId="1232CE12" w:rsidR="008173B3" w:rsidRDefault="008173B3" w:rsidP="001F620E">
      <w:pPr>
        <w:pStyle w:val="Odstavecseseznamem"/>
        <w:ind w:left="851" w:hanging="567"/>
        <w:rPr>
          <w:rFonts w:asciiTheme="minorHAnsi" w:hAnsiTheme="minorHAnsi" w:cstheme="minorHAnsi"/>
          <w:lang w:bidi="cs-CZ"/>
        </w:rPr>
      </w:pPr>
    </w:p>
    <w:p w14:paraId="42184A1A" w14:textId="38DF9ED0" w:rsidR="008173B3" w:rsidRDefault="008173B3" w:rsidP="001F620E">
      <w:pPr>
        <w:pStyle w:val="Odstavecseseznamem"/>
        <w:ind w:left="851" w:hanging="567"/>
        <w:rPr>
          <w:rFonts w:asciiTheme="minorHAnsi" w:hAnsiTheme="minorHAnsi" w:cstheme="minorHAnsi"/>
          <w:lang w:bidi="cs-CZ"/>
        </w:rPr>
      </w:pPr>
    </w:p>
    <w:p w14:paraId="75DC6375" w14:textId="77777777" w:rsidR="008173B3" w:rsidRPr="00C2154F" w:rsidRDefault="008173B3" w:rsidP="001F620E">
      <w:pPr>
        <w:pStyle w:val="Odstavecseseznamem"/>
        <w:ind w:left="851" w:hanging="567"/>
        <w:rPr>
          <w:rFonts w:asciiTheme="minorHAnsi" w:hAnsiTheme="minorHAnsi" w:cstheme="minorHAnsi"/>
          <w:lang w:bidi="cs-CZ"/>
        </w:rPr>
      </w:pPr>
    </w:p>
    <w:p w14:paraId="4196F091" w14:textId="2B9E71E5" w:rsidR="0078528C" w:rsidRPr="001568C0" w:rsidRDefault="0078528C" w:rsidP="00A05279">
      <w:pPr>
        <w:spacing w:before="60"/>
        <w:ind w:left="567" w:hanging="567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lastRenderedPageBreak/>
        <w:t>Článek I</w:t>
      </w:r>
      <w:r w:rsidR="0053603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V</w:t>
      </w: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. odst. 1. Smlouvy se mění následovně</w:t>
      </w:r>
      <w:r w:rsidRPr="00C2154F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:</w:t>
      </w:r>
    </w:p>
    <w:p w14:paraId="5697B142" w14:textId="77777777" w:rsidR="0078528C" w:rsidRPr="008173B3" w:rsidRDefault="0078528C" w:rsidP="00A05279">
      <w:pPr>
        <w:tabs>
          <w:tab w:val="num" w:pos="0"/>
        </w:tabs>
        <w:spacing w:before="120" w:after="120"/>
        <w:ind w:left="567" w:hanging="56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173B3">
        <w:rPr>
          <w:rFonts w:asciiTheme="minorHAnsi" w:hAnsiTheme="minorHAnsi" w:cstheme="minorHAnsi"/>
          <w:b/>
          <w:i/>
          <w:sz w:val="22"/>
          <w:szCs w:val="22"/>
        </w:rPr>
        <w:t xml:space="preserve">původní znění: </w:t>
      </w:r>
    </w:p>
    <w:p w14:paraId="2D7CFE6A" w14:textId="22E06DCD" w:rsidR="00536033" w:rsidRDefault="00536033" w:rsidP="00A05279">
      <w:pPr>
        <w:pStyle w:val="Odstavecseseznamem"/>
        <w:numPr>
          <w:ilvl w:val="0"/>
          <w:numId w:val="7"/>
        </w:numPr>
        <w:spacing w:before="120" w:after="0"/>
        <w:ind w:left="567" w:hanging="567"/>
        <w:jc w:val="both"/>
        <w:rPr>
          <w:rFonts w:asciiTheme="minorHAnsi" w:hAnsiTheme="minorHAnsi" w:cstheme="minorHAnsi"/>
          <w:strike/>
          <w:snapToGrid w:val="0"/>
        </w:rPr>
      </w:pPr>
      <w:r w:rsidRPr="00536033">
        <w:rPr>
          <w:rFonts w:asciiTheme="minorHAnsi" w:hAnsiTheme="minorHAnsi" w:cstheme="minorHAnsi"/>
          <w:strike/>
          <w:snapToGrid w:val="0"/>
        </w:rPr>
        <w:t>Vedoucí společník se zavazuje Společníkovi za provedené plnění dle čl. II odst. 2 této smlouvy zaplatit odměnu v celkové výši 125 000,00 Kč bez DPH (jedno sto dvacet pět tisíc korun českých bez DPH), 21 % DPH ve výši 26 250,00 Kč (slovy: dvacet šest tisíc dvě stě padesát korun českých), tj. 151 250,- Kč včetně DPH (slovy: jedno sto padesát jedna tisíc dvě stě padesát korun českých).</w:t>
      </w:r>
    </w:p>
    <w:p w14:paraId="16E11356" w14:textId="77777777" w:rsidR="008173B3" w:rsidRPr="00536033" w:rsidRDefault="008173B3" w:rsidP="008173B3">
      <w:pPr>
        <w:pStyle w:val="Odstavecseseznamem"/>
        <w:spacing w:before="120" w:after="0"/>
        <w:ind w:left="567"/>
        <w:jc w:val="both"/>
        <w:rPr>
          <w:rFonts w:asciiTheme="minorHAnsi" w:hAnsiTheme="minorHAnsi" w:cstheme="minorHAnsi"/>
          <w:strike/>
          <w:snapToGrid w:val="0"/>
        </w:rPr>
      </w:pPr>
    </w:p>
    <w:p w14:paraId="29155142" w14:textId="77777777" w:rsidR="0078528C" w:rsidRPr="008173B3" w:rsidRDefault="0078528C" w:rsidP="008173B3">
      <w:pPr>
        <w:pStyle w:val="Odstavecseseznamem"/>
        <w:tabs>
          <w:tab w:val="num" w:pos="0"/>
        </w:tabs>
        <w:spacing w:before="60" w:after="120"/>
        <w:ind w:left="567" w:hanging="567"/>
        <w:jc w:val="both"/>
        <w:rPr>
          <w:rFonts w:asciiTheme="minorHAnsi" w:hAnsiTheme="minorHAnsi" w:cstheme="minorHAnsi"/>
          <w:b/>
          <w:i/>
        </w:rPr>
      </w:pPr>
      <w:r w:rsidRPr="008173B3">
        <w:rPr>
          <w:rFonts w:asciiTheme="minorHAnsi" w:hAnsiTheme="minorHAnsi" w:cstheme="minorHAnsi"/>
          <w:b/>
          <w:i/>
        </w:rPr>
        <w:t>nové znění:</w:t>
      </w:r>
    </w:p>
    <w:p w14:paraId="02E526C9" w14:textId="2C4BB4F4" w:rsidR="00536033" w:rsidRDefault="00536033" w:rsidP="001139E1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  <w:rPr>
          <w:rFonts w:asciiTheme="minorHAnsi" w:hAnsiTheme="minorHAnsi" w:cstheme="minorHAnsi"/>
          <w:snapToGrid w:val="0"/>
        </w:rPr>
      </w:pPr>
      <w:r w:rsidRPr="001139E1">
        <w:rPr>
          <w:rFonts w:asciiTheme="minorHAnsi" w:hAnsiTheme="minorHAnsi" w:cstheme="minorHAnsi"/>
          <w:snapToGrid w:val="0"/>
        </w:rPr>
        <w:t>Vedoucí společník se zavazuje Společníkovi za provedené plnění dle čl. II odst. 3 této smlouvy zaplatit odměnu v celkové výši 200 000,00 Kč bez DPH (</w:t>
      </w:r>
      <w:r w:rsidR="00E00544">
        <w:rPr>
          <w:rFonts w:asciiTheme="minorHAnsi" w:hAnsiTheme="minorHAnsi" w:cstheme="minorHAnsi"/>
          <w:snapToGrid w:val="0"/>
        </w:rPr>
        <w:t xml:space="preserve">slovy: </w:t>
      </w:r>
      <w:r w:rsidRPr="001139E1">
        <w:rPr>
          <w:rFonts w:asciiTheme="minorHAnsi" w:hAnsiTheme="minorHAnsi" w:cstheme="minorHAnsi"/>
          <w:snapToGrid w:val="0"/>
        </w:rPr>
        <w:t>dvě stě tisíc korun českých bez DPH), 21 % DPH ve výši 42</w:t>
      </w:r>
      <w:r w:rsidR="00E853AD">
        <w:rPr>
          <w:rFonts w:asciiTheme="minorHAnsi" w:hAnsiTheme="minorHAnsi" w:cstheme="minorHAnsi"/>
          <w:snapToGrid w:val="0"/>
        </w:rPr>
        <w:t xml:space="preserve"> </w:t>
      </w:r>
      <w:r w:rsidRPr="001139E1">
        <w:rPr>
          <w:rFonts w:asciiTheme="minorHAnsi" w:hAnsiTheme="minorHAnsi" w:cstheme="minorHAnsi"/>
          <w:snapToGrid w:val="0"/>
        </w:rPr>
        <w:t>000,00 Kč (slovy: čtyřicet dva tisíc korun českých), tj. 242</w:t>
      </w:r>
      <w:r w:rsidR="00E00544">
        <w:rPr>
          <w:rFonts w:asciiTheme="minorHAnsi" w:hAnsiTheme="minorHAnsi" w:cstheme="minorHAnsi"/>
          <w:snapToGrid w:val="0"/>
        </w:rPr>
        <w:t xml:space="preserve"> </w:t>
      </w:r>
      <w:r w:rsidRPr="001139E1">
        <w:rPr>
          <w:rFonts w:asciiTheme="minorHAnsi" w:hAnsiTheme="minorHAnsi" w:cstheme="minorHAnsi"/>
          <w:snapToGrid w:val="0"/>
        </w:rPr>
        <w:t>000,</w:t>
      </w:r>
      <w:r w:rsidR="00E00544">
        <w:rPr>
          <w:rFonts w:asciiTheme="minorHAnsi" w:hAnsiTheme="minorHAnsi" w:cstheme="minorHAnsi"/>
          <w:snapToGrid w:val="0"/>
        </w:rPr>
        <w:t>00</w:t>
      </w:r>
      <w:r w:rsidRPr="001139E1">
        <w:rPr>
          <w:rFonts w:asciiTheme="minorHAnsi" w:hAnsiTheme="minorHAnsi" w:cstheme="minorHAnsi"/>
          <w:snapToGrid w:val="0"/>
        </w:rPr>
        <w:t xml:space="preserve"> Kč včetně DPH (slovy: dvě stě čtyřicet dva tisíc korun českých).</w:t>
      </w:r>
    </w:p>
    <w:p w14:paraId="264EE4D9" w14:textId="77777777" w:rsidR="00B55DC4" w:rsidRPr="001568C0" w:rsidRDefault="00B55DC4" w:rsidP="00B55DC4">
      <w:pPr>
        <w:spacing w:before="60"/>
        <w:ind w:left="567" w:hanging="567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Článek 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V</w:t>
      </w: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. odst.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3</w:t>
      </w: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. Smlouvy se mění následovně</w:t>
      </w:r>
      <w:r w:rsidRPr="00C2154F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:</w:t>
      </w:r>
    </w:p>
    <w:p w14:paraId="3BAE2C74" w14:textId="77777777" w:rsidR="00B55DC4" w:rsidRPr="00097A4C" w:rsidRDefault="00B55DC4" w:rsidP="00B55DC4">
      <w:pPr>
        <w:tabs>
          <w:tab w:val="num" w:pos="0"/>
        </w:tabs>
        <w:spacing w:before="120" w:after="120"/>
        <w:ind w:left="567" w:hanging="567"/>
        <w:jc w:val="both"/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  <w:lang w:eastAsia="en-US"/>
        </w:rPr>
      </w:pPr>
      <w:r w:rsidRPr="00097A4C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  <w:lang w:eastAsia="en-US"/>
        </w:rPr>
        <w:t xml:space="preserve">původní znění: </w:t>
      </w:r>
    </w:p>
    <w:p w14:paraId="23EC2CE4" w14:textId="0C870FDF" w:rsidR="00B55DC4" w:rsidRDefault="00B55DC4" w:rsidP="00B55DC4">
      <w:pPr>
        <w:pStyle w:val="Odstavecseseznamem"/>
        <w:spacing w:before="120" w:after="0"/>
        <w:ind w:left="567" w:hanging="567"/>
        <w:jc w:val="both"/>
        <w:rPr>
          <w:rFonts w:asciiTheme="minorHAnsi" w:hAnsiTheme="minorHAnsi" w:cstheme="minorHAnsi"/>
          <w:strike/>
          <w:snapToGrid w:val="0"/>
        </w:rPr>
      </w:pPr>
      <w:r>
        <w:rPr>
          <w:rFonts w:asciiTheme="minorHAnsi" w:hAnsiTheme="minorHAnsi" w:cstheme="minorHAnsi"/>
          <w:strike/>
          <w:snapToGrid w:val="0"/>
        </w:rPr>
        <w:t>3.</w:t>
      </w:r>
      <w:r>
        <w:rPr>
          <w:rFonts w:asciiTheme="minorHAnsi" w:hAnsiTheme="minorHAnsi" w:cstheme="minorHAnsi"/>
          <w:strike/>
          <w:snapToGrid w:val="0"/>
        </w:rPr>
        <w:tab/>
      </w:r>
      <w:r w:rsidRPr="00C86177">
        <w:rPr>
          <w:rFonts w:asciiTheme="minorHAnsi" w:hAnsiTheme="minorHAnsi" w:cstheme="minorHAnsi"/>
          <w:strike/>
          <w:snapToGrid w:val="0"/>
        </w:rPr>
        <w:t xml:space="preserve">První fakturu na částku ve výši 50 000,00 Kč bez DPH (slovy: padesát tisíc korun českých bez DPH), 21 % DPH ve výši 10 500,00 Kč (slovy: deset tisíc pět set korun českých) tj. 60 500,00 Kč (slovy: šedesát tisíc pět set korun českých) je Společník oprávněn fakturovat Vedoucímu společníkovi po dokončení a řádném předání části analytické Vedoucímu společníkovi a částku ve výši 75 000,00 Kč bez DPH (slovy: sedmdesát pět tisíc korun českých bez DPH), 21 % DPH ve výši  15 750,00 Kč (slovy: patnáct tisíc sedm set padesát korun českých) tj. 90 750,00 Kč (slovy: devadesát tisíc sedm set padesát korun českých) je Společník oprávněn fakturovat Vedoucímu společníkovi po dokončení a řádném předání části návrhové Vedoucímu společníkovi. </w:t>
      </w:r>
    </w:p>
    <w:p w14:paraId="3478A6EB" w14:textId="77777777" w:rsidR="00097A4C" w:rsidRPr="00C86177" w:rsidRDefault="00097A4C" w:rsidP="00B55DC4">
      <w:pPr>
        <w:pStyle w:val="Odstavecseseznamem"/>
        <w:spacing w:before="120" w:after="0"/>
        <w:ind w:left="567" w:hanging="567"/>
        <w:jc w:val="both"/>
        <w:rPr>
          <w:rFonts w:asciiTheme="minorHAnsi" w:hAnsiTheme="minorHAnsi" w:cstheme="minorHAnsi"/>
          <w:strike/>
          <w:snapToGrid w:val="0"/>
        </w:rPr>
      </w:pPr>
    </w:p>
    <w:p w14:paraId="3682FCFF" w14:textId="77777777" w:rsidR="00B55DC4" w:rsidRPr="00097A4C" w:rsidRDefault="00B55DC4" w:rsidP="00B55DC4">
      <w:pPr>
        <w:pStyle w:val="Bezmezer"/>
        <w:ind w:left="567" w:hanging="567"/>
        <w:rPr>
          <w:rFonts w:asciiTheme="minorHAnsi" w:hAnsiTheme="minorHAnsi" w:cstheme="minorHAnsi"/>
          <w:b/>
          <w:bCs/>
          <w:i/>
          <w:iCs/>
          <w:sz w:val="22"/>
          <w:szCs w:val="22"/>
          <w:lang w:bidi="cs-CZ"/>
        </w:rPr>
      </w:pPr>
      <w:r w:rsidRPr="00097A4C">
        <w:rPr>
          <w:rFonts w:asciiTheme="minorHAnsi" w:hAnsiTheme="minorHAnsi" w:cstheme="minorHAnsi"/>
          <w:b/>
          <w:bCs/>
          <w:i/>
          <w:iCs/>
          <w:sz w:val="22"/>
          <w:szCs w:val="22"/>
          <w:lang w:bidi="cs-CZ"/>
        </w:rPr>
        <w:t>nové znění:</w:t>
      </w:r>
    </w:p>
    <w:p w14:paraId="5A309821" w14:textId="37F3619B" w:rsidR="00B55DC4" w:rsidRPr="002C7F75" w:rsidRDefault="00B55DC4" w:rsidP="00B55DC4">
      <w:pPr>
        <w:pStyle w:val="Odstavecseseznamem"/>
        <w:spacing w:before="120" w:after="0"/>
        <w:ind w:left="567" w:hanging="567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3.</w:t>
      </w:r>
      <w:r>
        <w:rPr>
          <w:rFonts w:asciiTheme="minorHAnsi" w:hAnsiTheme="minorHAnsi" w:cstheme="minorHAnsi"/>
          <w:snapToGrid w:val="0"/>
        </w:rPr>
        <w:tab/>
        <w:t>První fakturu na částku ve výši 100</w:t>
      </w:r>
      <w:r w:rsidR="003A07CB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000,00 Kč bez DPH (slovy: </w:t>
      </w:r>
      <w:r w:rsidRPr="00C86177">
        <w:rPr>
          <w:rFonts w:asciiTheme="minorHAnsi" w:hAnsiTheme="minorHAnsi" w:cstheme="minorHAnsi"/>
          <w:snapToGrid w:val="0"/>
        </w:rPr>
        <w:t>jedno sto tisíc korun českých</w:t>
      </w:r>
      <w:r>
        <w:rPr>
          <w:rFonts w:asciiTheme="minorHAnsi" w:hAnsiTheme="minorHAnsi" w:cstheme="minorHAnsi"/>
          <w:snapToGrid w:val="0"/>
        </w:rPr>
        <w:t xml:space="preserve"> bez DPH), 21 % DPH ve výši 21</w:t>
      </w:r>
      <w:r w:rsidR="003A07CB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000,00 Kč (slovy: </w:t>
      </w:r>
      <w:r w:rsidRPr="00C86177">
        <w:rPr>
          <w:rFonts w:asciiTheme="minorHAnsi" w:hAnsiTheme="minorHAnsi" w:cstheme="minorHAnsi"/>
          <w:snapToGrid w:val="0"/>
        </w:rPr>
        <w:t>dvacet jedna tisíc korun českých</w:t>
      </w:r>
      <w:r>
        <w:rPr>
          <w:rFonts w:asciiTheme="minorHAnsi" w:hAnsiTheme="minorHAnsi" w:cstheme="minorHAnsi"/>
          <w:snapToGrid w:val="0"/>
        </w:rPr>
        <w:t>) tj. 121</w:t>
      </w:r>
      <w:r w:rsidR="003A07CB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>000,00 Kč</w:t>
      </w:r>
      <w:r w:rsidR="003A07CB">
        <w:rPr>
          <w:rFonts w:asciiTheme="minorHAnsi" w:hAnsiTheme="minorHAnsi" w:cstheme="minorHAnsi"/>
          <w:snapToGrid w:val="0"/>
        </w:rPr>
        <w:t xml:space="preserve"> vč. DPH</w:t>
      </w:r>
      <w:r>
        <w:rPr>
          <w:rFonts w:asciiTheme="minorHAnsi" w:hAnsiTheme="minorHAnsi" w:cstheme="minorHAnsi"/>
          <w:snapToGrid w:val="0"/>
        </w:rPr>
        <w:t xml:space="preserve"> (slovy: </w:t>
      </w:r>
      <w:r w:rsidRPr="00C86177">
        <w:rPr>
          <w:rFonts w:asciiTheme="minorHAnsi" w:hAnsiTheme="minorHAnsi" w:cstheme="minorHAnsi"/>
          <w:snapToGrid w:val="0"/>
        </w:rPr>
        <w:t>jedno sto dvacet jedna tisíc korun českých</w:t>
      </w:r>
      <w:r w:rsidR="002520CC">
        <w:rPr>
          <w:rFonts w:asciiTheme="minorHAnsi" w:hAnsiTheme="minorHAnsi" w:cstheme="minorHAnsi"/>
          <w:snapToGrid w:val="0"/>
        </w:rPr>
        <w:t xml:space="preserve"> včetně DPH</w:t>
      </w:r>
      <w:r>
        <w:rPr>
          <w:rFonts w:asciiTheme="minorHAnsi" w:hAnsiTheme="minorHAnsi" w:cstheme="minorHAnsi"/>
          <w:snapToGrid w:val="0"/>
        </w:rPr>
        <w:t>) je Společník oprávněn fakturovat Vedoucímu společníkovi po dokončení a řádném předání části analytické Vedoucímu společníkovi a částku ve výši 100</w:t>
      </w:r>
      <w:r w:rsidR="00924C1D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000,00 Kč bez DPH (slovy: </w:t>
      </w:r>
      <w:r w:rsidRPr="00C86177">
        <w:rPr>
          <w:rFonts w:asciiTheme="minorHAnsi" w:hAnsiTheme="minorHAnsi" w:cstheme="minorHAnsi"/>
          <w:snapToGrid w:val="0"/>
        </w:rPr>
        <w:t>jedno sto tisíc korun českých</w:t>
      </w:r>
      <w:r>
        <w:rPr>
          <w:rFonts w:asciiTheme="minorHAnsi" w:hAnsiTheme="minorHAnsi" w:cstheme="minorHAnsi"/>
          <w:snapToGrid w:val="0"/>
        </w:rPr>
        <w:t xml:space="preserve"> bez DPH), 21 % DPH ve výši 21</w:t>
      </w:r>
      <w:r w:rsidR="00924C1D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000,00 Kč (slovy: </w:t>
      </w:r>
      <w:r w:rsidRPr="00C86177">
        <w:rPr>
          <w:rFonts w:asciiTheme="minorHAnsi" w:hAnsiTheme="minorHAnsi" w:cstheme="minorHAnsi"/>
          <w:snapToGrid w:val="0"/>
        </w:rPr>
        <w:t>dvacet jedna tisíc korun českých</w:t>
      </w:r>
      <w:r>
        <w:rPr>
          <w:rFonts w:asciiTheme="minorHAnsi" w:hAnsiTheme="minorHAnsi" w:cstheme="minorHAnsi"/>
          <w:snapToGrid w:val="0"/>
        </w:rPr>
        <w:t>) tj. 121</w:t>
      </w:r>
      <w:r w:rsidR="00924C1D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>000,00 Kč</w:t>
      </w:r>
      <w:r w:rsidR="00924C1D">
        <w:rPr>
          <w:rFonts w:asciiTheme="minorHAnsi" w:hAnsiTheme="minorHAnsi" w:cstheme="minorHAnsi"/>
          <w:snapToGrid w:val="0"/>
        </w:rPr>
        <w:t xml:space="preserve"> vč. DPH</w:t>
      </w:r>
      <w:r>
        <w:rPr>
          <w:rFonts w:asciiTheme="minorHAnsi" w:hAnsiTheme="minorHAnsi" w:cstheme="minorHAnsi"/>
          <w:snapToGrid w:val="0"/>
        </w:rPr>
        <w:t xml:space="preserve"> (slovy: </w:t>
      </w:r>
      <w:r w:rsidRPr="00C86177">
        <w:rPr>
          <w:rFonts w:asciiTheme="minorHAnsi" w:hAnsiTheme="minorHAnsi" w:cstheme="minorHAnsi"/>
          <w:snapToGrid w:val="0"/>
        </w:rPr>
        <w:t>jedno sto dvacet jedna tisíc korun českých</w:t>
      </w:r>
      <w:r w:rsidR="00924C1D">
        <w:rPr>
          <w:rFonts w:asciiTheme="minorHAnsi" w:hAnsiTheme="minorHAnsi" w:cstheme="minorHAnsi"/>
          <w:snapToGrid w:val="0"/>
        </w:rPr>
        <w:t xml:space="preserve"> včetně DPH</w:t>
      </w:r>
      <w:r>
        <w:rPr>
          <w:rFonts w:asciiTheme="minorHAnsi" w:hAnsiTheme="minorHAnsi" w:cstheme="minorHAnsi"/>
          <w:snapToGrid w:val="0"/>
        </w:rPr>
        <w:t xml:space="preserve">) je Společník oprávněn fakturovat Vedoucímu společníkovi po dokončení a řádném předání části návrhové Vedoucímu společníkovi. </w:t>
      </w:r>
    </w:p>
    <w:p w14:paraId="4E044EDA" w14:textId="1E43D768" w:rsidR="0078528C" w:rsidRDefault="0078528C" w:rsidP="00DB26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2CE9" w14:textId="09855774" w:rsidR="00227723" w:rsidRPr="001568C0" w:rsidRDefault="00227723" w:rsidP="00227723">
      <w:pPr>
        <w:spacing w:before="60"/>
        <w:ind w:left="567" w:hanging="567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Článek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V</w:t>
      </w: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. odst.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1</w:t>
      </w:r>
      <w:r w:rsidRPr="00C2154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. Smlouvy se mění následovně</w:t>
      </w:r>
      <w:r w:rsidRPr="00C2154F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:</w:t>
      </w:r>
    </w:p>
    <w:p w14:paraId="2BAB6A1A" w14:textId="5B78A7A0" w:rsidR="00AC5FC7" w:rsidRDefault="00AC5FC7" w:rsidP="00DB26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37E97" w14:textId="43B2FC89" w:rsidR="00227723" w:rsidRPr="00227723" w:rsidRDefault="00227723" w:rsidP="00DB26B0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77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znění:</w:t>
      </w:r>
    </w:p>
    <w:p w14:paraId="62F51D46" w14:textId="0D0B9B00" w:rsidR="00116AA2" w:rsidRPr="00116AA2" w:rsidRDefault="00116AA2" w:rsidP="00116AA2">
      <w:pPr>
        <w:pStyle w:val="Odstavecseseznamem"/>
        <w:numPr>
          <w:ilvl w:val="0"/>
          <w:numId w:val="17"/>
        </w:numPr>
        <w:spacing w:before="120" w:after="0"/>
        <w:ind w:left="567" w:hanging="501"/>
        <w:jc w:val="both"/>
        <w:rPr>
          <w:rFonts w:asciiTheme="minorHAnsi" w:hAnsiTheme="minorHAnsi" w:cstheme="minorHAnsi"/>
          <w:strike/>
          <w:snapToGrid w:val="0"/>
        </w:rPr>
      </w:pPr>
      <w:r w:rsidRPr="00116AA2">
        <w:rPr>
          <w:rFonts w:asciiTheme="minorHAnsi" w:hAnsiTheme="minorHAnsi" w:cstheme="minorHAnsi"/>
          <w:strike/>
          <w:snapToGrid w:val="0"/>
        </w:rPr>
        <w:t>Společník se zavazuje plnění dle čl. II. odst. 2 pro Vedoucího společníka provést řádně a včas. Termíny dodání plnění předmětu díla:</w:t>
      </w:r>
    </w:p>
    <w:p w14:paraId="11460866" w14:textId="77777777" w:rsidR="00116AA2" w:rsidRPr="00116AA2" w:rsidRDefault="00116AA2" w:rsidP="00116AA2">
      <w:pPr>
        <w:pStyle w:val="Odstavecseseznamem"/>
        <w:spacing w:before="120" w:after="0"/>
        <w:ind w:left="567"/>
        <w:jc w:val="both"/>
        <w:rPr>
          <w:rFonts w:asciiTheme="minorHAnsi" w:hAnsiTheme="minorHAnsi" w:cstheme="minorHAnsi"/>
          <w:strike/>
          <w:snapToGrid w:val="0"/>
        </w:rPr>
      </w:pPr>
    </w:p>
    <w:p w14:paraId="70710308" w14:textId="77777777" w:rsidR="00116AA2" w:rsidRPr="00116AA2" w:rsidRDefault="00116AA2" w:rsidP="00116AA2">
      <w:pPr>
        <w:pStyle w:val="Odstavecseseznamem"/>
        <w:spacing w:before="120"/>
        <w:ind w:left="1276"/>
        <w:jc w:val="both"/>
        <w:rPr>
          <w:rFonts w:asciiTheme="minorHAnsi" w:hAnsiTheme="minorHAnsi" w:cstheme="minorHAnsi"/>
          <w:strike/>
          <w:snapToGrid w:val="0"/>
        </w:rPr>
      </w:pPr>
      <w:r w:rsidRPr="00116AA2">
        <w:rPr>
          <w:rFonts w:asciiTheme="minorHAnsi" w:hAnsiTheme="minorHAnsi" w:cstheme="minorHAnsi"/>
          <w:strike/>
          <w:snapToGrid w:val="0"/>
        </w:rPr>
        <w:t>a. rozptylová studie analytické části – do 15.12.2021 nebo do 2 týdnů od předání podkladů,</w:t>
      </w:r>
    </w:p>
    <w:p w14:paraId="67402281" w14:textId="3A8E4CBB" w:rsidR="00227723" w:rsidRPr="00116AA2" w:rsidRDefault="00116AA2" w:rsidP="00116AA2">
      <w:pPr>
        <w:pStyle w:val="Odstavecseseznamem"/>
        <w:spacing w:before="120"/>
        <w:ind w:left="1276"/>
        <w:jc w:val="both"/>
        <w:rPr>
          <w:rFonts w:asciiTheme="minorHAnsi" w:hAnsiTheme="minorHAnsi" w:cstheme="minorHAnsi"/>
          <w:strike/>
          <w:snapToGrid w:val="0"/>
        </w:rPr>
      </w:pPr>
      <w:r w:rsidRPr="00116AA2">
        <w:rPr>
          <w:rFonts w:asciiTheme="minorHAnsi" w:hAnsiTheme="minorHAnsi" w:cstheme="minorHAnsi"/>
          <w:strike/>
          <w:snapToGrid w:val="0"/>
        </w:rPr>
        <w:t>b. rozptylová studie návrhové části – do 15.6.2022 nebo do 4 týdnů od předání podkladů.</w:t>
      </w:r>
    </w:p>
    <w:p w14:paraId="73C5292D" w14:textId="00F0F0E7" w:rsidR="00227723" w:rsidRDefault="00116AA2" w:rsidP="00DB26B0">
      <w:pPr>
        <w:jc w:val="both"/>
        <w:rPr>
          <w:rFonts w:asciiTheme="minorHAnsi" w:hAnsiTheme="minorHAnsi" w:cstheme="minorHAnsi"/>
          <w:sz w:val="22"/>
          <w:szCs w:val="22"/>
        </w:rPr>
      </w:pPr>
      <w:r w:rsidRPr="00116AA2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nové znění:</w:t>
      </w:r>
    </w:p>
    <w:p w14:paraId="44187BBF" w14:textId="77777777" w:rsidR="00116AA2" w:rsidRPr="00116AA2" w:rsidRDefault="00116AA2" w:rsidP="00116AA2">
      <w:pPr>
        <w:pStyle w:val="Odstavecseseznamem"/>
        <w:numPr>
          <w:ilvl w:val="0"/>
          <w:numId w:val="18"/>
        </w:numPr>
        <w:spacing w:before="120" w:after="0"/>
        <w:ind w:left="567" w:hanging="501"/>
        <w:jc w:val="both"/>
        <w:rPr>
          <w:rFonts w:asciiTheme="minorHAnsi" w:hAnsiTheme="minorHAnsi" w:cstheme="minorHAnsi"/>
          <w:snapToGrid w:val="0"/>
        </w:rPr>
      </w:pPr>
      <w:r w:rsidRPr="00116AA2">
        <w:rPr>
          <w:rFonts w:asciiTheme="minorHAnsi" w:hAnsiTheme="minorHAnsi" w:cstheme="minorHAnsi"/>
          <w:snapToGrid w:val="0"/>
        </w:rPr>
        <w:lastRenderedPageBreak/>
        <w:t>Společník se zavazuje plnění dle čl. II. odst. 2 pro Vedoucího společníka provést řádně a včas. Termíny dodání plnění předmětu díla:</w:t>
      </w:r>
    </w:p>
    <w:p w14:paraId="7A50290C" w14:textId="77777777" w:rsidR="00116AA2" w:rsidRPr="00116AA2" w:rsidRDefault="00116AA2" w:rsidP="00116AA2">
      <w:pPr>
        <w:pStyle w:val="Odstavecseseznamem"/>
        <w:spacing w:before="120" w:after="0"/>
        <w:ind w:left="567"/>
        <w:jc w:val="both"/>
        <w:rPr>
          <w:rFonts w:asciiTheme="minorHAnsi" w:hAnsiTheme="minorHAnsi" w:cstheme="minorHAnsi"/>
          <w:snapToGrid w:val="0"/>
        </w:rPr>
      </w:pPr>
    </w:p>
    <w:p w14:paraId="7043A951" w14:textId="0650B2A2" w:rsidR="00116AA2" w:rsidRPr="00116AA2" w:rsidRDefault="00116AA2" w:rsidP="00116AA2">
      <w:pPr>
        <w:pStyle w:val="Odstavecseseznamem"/>
        <w:spacing w:before="120"/>
        <w:ind w:left="1276"/>
        <w:jc w:val="both"/>
        <w:rPr>
          <w:rFonts w:asciiTheme="minorHAnsi" w:hAnsiTheme="minorHAnsi" w:cstheme="minorHAnsi"/>
          <w:snapToGrid w:val="0"/>
        </w:rPr>
      </w:pPr>
      <w:r w:rsidRPr="00116AA2">
        <w:rPr>
          <w:rFonts w:asciiTheme="minorHAnsi" w:hAnsiTheme="minorHAnsi" w:cstheme="minorHAnsi"/>
          <w:snapToGrid w:val="0"/>
        </w:rPr>
        <w:t xml:space="preserve">a. rozptylová studie analytické části – do </w:t>
      </w:r>
      <w:r w:rsidR="0093675C">
        <w:rPr>
          <w:rFonts w:asciiTheme="minorHAnsi" w:hAnsiTheme="minorHAnsi" w:cstheme="minorHAnsi"/>
          <w:snapToGrid w:val="0"/>
        </w:rPr>
        <w:t>21.1.202</w:t>
      </w:r>
      <w:r w:rsidR="00573D8A">
        <w:rPr>
          <w:rFonts w:asciiTheme="minorHAnsi" w:hAnsiTheme="minorHAnsi" w:cstheme="minorHAnsi"/>
          <w:snapToGrid w:val="0"/>
        </w:rPr>
        <w:t>2</w:t>
      </w:r>
      <w:r w:rsidRPr="00116AA2">
        <w:rPr>
          <w:rFonts w:asciiTheme="minorHAnsi" w:hAnsiTheme="minorHAnsi" w:cstheme="minorHAnsi"/>
          <w:snapToGrid w:val="0"/>
        </w:rPr>
        <w:t xml:space="preserve"> nebo do </w:t>
      </w:r>
      <w:r w:rsidR="0016404D">
        <w:rPr>
          <w:rFonts w:asciiTheme="minorHAnsi" w:hAnsiTheme="minorHAnsi" w:cstheme="minorHAnsi"/>
          <w:snapToGrid w:val="0"/>
        </w:rPr>
        <w:t>6</w:t>
      </w:r>
      <w:r w:rsidRPr="00116AA2">
        <w:rPr>
          <w:rFonts w:asciiTheme="minorHAnsi" w:hAnsiTheme="minorHAnsi" w:cstheme="minorHAnsi"/>
          <w:snapToGrid w:val="0"/>
        </w:rPr>
        <w:t xml:space="preserve"> týdnů od předání podkladů,</w:t>
      </w:r>
    </w:p>
    <w:p w14:paraId="6EC38148" w14:textId="5FE4D9F3" w:rsidR="00116AA2" w:rsidRPr="00116AA2" w:rsidRDefault="00116AA2" w:rsidP="00D95EB4">
      <w:pPr>
        <w:pStyle w:val="Odstavecseseznamem"/>
        <w:spacing w:before="120"/>
        <w:ind w:left="1276"/>
        <w:jc w:val="both"/>
        <w:rPr>
          <w:rFonts w:asciiTheme="minorHAnsi" w:hAnsiTheme="minorHAnsi" w:cstheme="minorHAnsi"/>
          <w:snapToGrid w:val="0"/>
        </w:rPr>
      </w:pPr>
      <w:r w:rsidRPr="00116AA2">
        <w:rPr>
          <w:rFonts w:asciiTheme="minorHAnsi" w:hAnsiTheme="minorHAnsi" w:cstheme="minorHAnsi"/>
          <w:snapToGrid w:val="0"/>
        </w:rPr>
        <w:t xml:space="preserve">b. rozptylová studie návrhové části – do </w:t>
      </w:r>
      <w:r w:rsidR="004C4844">
        <w:rPr>
          <w:rFonts w:asciiTheme="minorHAnsi" w:hAnsiTheme="minorHAnsi" w:cstheme="minorHAnsi"/>
          <w:snapToGrid w:val="0"/>
        </w:rPr>
        <w:t>1.7</w:t>
      </w:r>
      <w:r w:rsidR="00573D8A">
        <w:rPr>
          <w:rFonts w:asciiTheme="minorHAnsi" w:hAnsiTheme="minorHAnsi" w:cstheme="minorHAnsi"/>
          <w:snapToGrid w:val="0"/>
        </w:rPr>
        <w:t>.2022</w:t>
      </w:r>
      <w:r w:rsidRPr="00116AA2">
        <w:rPr>
          <w:rFonts w:asciiTheme="minorHAnsi" w:hAnsiTheme="minorHAnsi" w:cstheme="minorHAnsi"/>
          <w:snapToGrid w:val="0"/>
        </w:rPr>
        <w:t xml:space="preserve"> nebo do </w:t>
      </w:r>
      <w:r w:rsidR="00573D8A">
        <w:rPr>
          <w:rFonts w:asciiTheme="minorHAnsi" w:hAnsiTheme="minorHAnsi" w:cstheme="minorHAnsi"/>
          <w:snapToGrid w:val="0"/>
        </w:rPr>
        <w:t>6</w:t>
      </w:r>
      <w:r w:rsidRPr="00116AA2">
        <w:rPr>
          <w:rFonts w:asciiTheme="minorHAnsi" w:hAnsiTheme="minorHAnsi" w:cstheme="minorHAnsi"/>
          <w:snapToGrid w:val="0"/>
        </w:rPr>
        <w:t xml:space="preserve"> týdnů od předání podkladů.</w:t>
      </w:r>
    </w:p>
    <w:p w14:paraId="340F0226" w14:textId="77777777" w:rsidR="00B23822" w:rsidRDefault="00B23822" w:rsidP="0078528C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F2F862" w14:textId="64C043FD" w:rsidR="0078528C" w:rsidRPr="00C2154F" w:rsidRDefault="0078528C" w:rsidP="0078528C">
      <w:pPr>
        <w:spacing w:before="240"/>
        <w:jc w:val="center"/>
        <w:rPr>
          <w:rFonts w:asciiTheme="minorHAnsi" w:hAnsiTheme="minorHAnsi" w:cstheme="minorHAnsi"/>
          <w:sz w:val="22"/>
          <w:szCs w:val="22"/>
          <w:lang w:bidi="cs-CZ"/>
        </w:rPr>
      </w:pPr>
      <w:r w:rsidRPr="00C2154F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</w:p>
    <w:p w14:paraId="352FC170" w14:textId="6C60CAD2" w:rsidR="0078528C" w:rsidRPr="00C2154F" w:rsidRDefault="0078528C" w:rsidP="00A05279">
      <w:pPr>
        <w:numPr>
          <w:ilvl w:val="0"/>
          <w:numId w:val="2"/>
        </w:numPr>
        <w:spacing w:before="120"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 xml:space="preserve">Ostatní ustanovení Smlouvy či Příloh Smlouvy zůstávají v platnosti, pokud nejsou dotčena tímto Dodatkem č. </w:t>
      </w:r>
      <w:r w:rsidR="00DB26B0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>.</w:t>
      </w:r>
    </w:p>
    <w:p w14:paraId="7A962D3F" w14:textId="77777777" w:rsidR="00CA02E4" w:rsidRPr="00C46DDA" w:rsidRDefault="00CA02E4" w:rsidP="00CA02E4">
      <w:pPr>
        <w:numPr>
          <w:ilvl w:val="0"/>
          <w:numId w:val="2"/>
        </w:numPr>
        <w:spacing w:before="120"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46DDA">
        <w:rPr>
          <w:rFonts w:asciiTheme="minorHAnsi" w:hAnsiTheme="minorHAnsi" w:cstheme="minorHAnsi"/>
          <w:sz w:val="22"/>
          <w:szCs w:val="22"/>
        </w:rPr>
        <w:t>Tato smlouva je vyhotovena v takovém počtu stejnopisů, aby každá smluvní strana obdržela po jednom vyhotovení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C46DDA">
        <w:rPr>
          <w:rFonts w:asciiTheme="minorHAnsi" w:hAnsiTheme="minorHAnsi" w:cstheme="minorHAnsi"/>
          <w:sz w:val="22"/>
          <w:szCs w:val="22"/>
        </w:rPr>
        <w:t xml:space="preserve">V případě, že je Smlouva uzavírána elektronicky za využití uznávaných elektronických podpisů, postačí jedno vyhotovení Smlouvy, na kterém jsou zaznamenány uznávané elektronické podpisy zástupců Smluvních stran. </w:t>
      </w:r>
    </w:p>
    <w:p w14:paraId="5A2C5AE9" w14:textId="2F7A66DB" w:rsidR="0078528C" w:rsidRPr="00C2154F" w:rsidRDefault="0078528C" w:rsidP="00A05279">
      <w:pPr>
        <w:numPr>
          <w:ilvl w:val="0"/>
          <w:numId w:val="2"/>
        </w:numPr>
        <w:spacing w:before="120"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DB26B0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 xml:space="preserve"> nabývá platnosti dnem podpisu oprávněnými zástupci Smluvních stran a účinnosti dnem uveřejnění v registru smluv.</w:t>
      </w:r>
    </w:p>
    <w:p w14:paraId="72A87163" w14:textId="4F93D07E" w:rsidR="0078528C" w:rsidRPr="00C2154F" w:rsidRDefault="0078528C" w:rsidP="00A05279">
      <w:pPr>
        <w:numPr>
          <w:ilvl w:val="0"/>
          <w:numId w:val="2"/>
        </w:numPr>
        <w:spacing w:before="120"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 xml:space="preserve">Případné plnění Smluvních stran v rámci předmětu tohoto Dodatku č. </w:t>
      </w:r>
      <w:r w:rsidR="00DB26B0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 xml:space="preserve">, které si Smluvní strany poskytly před nabytím účinnosti tohoto Dodatku č. </w:t>
      </w:r>
      <w:r w:rsidR="00DB26B0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 xml:space="preserve">, se považuje za plnění podle tohoto Dodatku č. </w:t>
      </w:r>
      <w:r w:rsidR="00DB26B0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 xml:space="preserve">. Práva a povinnosti vzniklá z tohoto plnění se řídí tímto Dodatkem č. </w:t>
      </w:r>
      <w:r w:rsidR="00DB26B0">
        <w:rPr>
          <w:rFonts w:asciiTheme="minorHAnsi" w:hAnsiTheme="minorHAnsi" w:cstheme="minorHAnsi"/>
          <w:sz w:val="22"/>
          <w:szCs w:val="22"/>
        </w:rPr>
        <w:t xml:space="preserve">1 a </w:t>
      </w:r>
      <w:r w:rsidRPr="00C2154F">
        <w:rPr>
          <w:rFonts w:asciiTheme="minorHAnsi" w:hAnsiTheme="minorHAnsi" w:cstheme="minorHAnsi"/>
          <w:sz w:val="22"/>
          <w:szCs w:val="22"/>
        </w:rPr>
        <w:t>Smlouvou.</w:t>
      </w:r>
    </w:p>
    <w:p w14:paraId="4312CD83" w14:textId="0FD02C21" w:rsidR="0078528C" w:rsidRPr="00C2154F" w:rsidRDefault="0078528C" w:rsidP="00A05279">
      <w:pPr>
        <w:numPr>
          <w:ilvl w:val="0"/>
          <w:numId w:val="2"/>
        </w:numPr>
        <w:spacing w:before="120"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 xml:space="preserve">Smluvní strany berou na vědomí, že tento dodatek č. </w:t>
      </w:r>
      <w:r w:rsidR="00DB26B0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 xml:space="preserve"> bude uveřejněna v souladu s ustanoveními zák. č. 340/2015 Sb., o registru smluv. Smlouvu v registru smluv uveřejní </w:t>
      </w:r>
      <w:r w:rsidR="000755BA">
        <w:rPr>
          <w:rFonts w:asciiTheme="minorHAnsi" w:hAnsiTheme="minorHAnsi" w:cstheme="minorHAnsi"/>
          <w:sz w:val="22"/>
          <w:szCs w:val="22"/>
        </w:rPr>
        <w:t>Vedoucí společník</w:t>
      </w:r>
      <w:r w:rsidRPr="00C2154F">
        <w:rPr>
          <w:rFonts w:asciiTheme="minorHAnsi" w:hAnsiTheme="minorHAnsi" w:cstheme="minorHAnsi"/>
          <w:sz w:val="22"/>
          <w:szCs w:val="22"/>
        </w:rPr>
        <w:t xml:space="preserve">. </w:t>
      </w:r>
      <w:r w:rsidR="000755BA">
        <w:rPr>
          <w:rFonts w:asciiTheme="minorHAnsi" w:hAnsiTheme="minorHAnsi" w:cstheme="minorHAnsi"/>
          <w:sz w:val="22"/>
          <w:szCs w:val="22"/>
        </w:rPr>
        <w:t xml:space="preserve">Další společník </w:t>
      </w:r>
      <w:r w:rsidRPr="00C2154F">
        <w:rPr>
          <w:rFonts w:asciiTheme="minorHAnsi" w:hAnsiTheme="minorHAnsi" w:cstheme="minorHAnsi"/>
          <w:sz w:val="22"/>
          <w:szCs w:val="22"/>
        </w:rPr>
        <w:t xml:space="preserve">prohlašuje, že tato smlouva neobsahuje jeho obchodní tajemství, osobní údaje osob na straně </w:t>
      </w:r>
      <w:r w:rsidR="000755BA">
        <w:rPr>
          <w:rFonts w:asciiTheme="minorHAnsi" w:hAnsiTheme="minorHAnsi" w:cstheme="minorHAnsi"/>
          <w:sz w:val="22"/>
          <w:szCs w:val="22"/>
        </w:rPr>
        <w:t>Dalšího společníka</w:t>
      </w:r>
      <w:r w:rsidRPr="00C2154F">
        <w:rPr>
          <w:rFonts w:asciiTheme="minorHAnsi" w:hAnsiTheme="minorHAnsi" w:cstheme="minorHAnsi"/>
          <w:sz w:val="22"/>
          <w:szCs w:val="22"/>
        </w:rPr>
        <w:t>, které by nebylo možno uveřejnit, utajované skutečnosti ve smyslu ustanovení zák. č. 412/2005 Sb., o ochraně utajovaných skutečností, ani jiné informace či skutečnosti, které by nebylo možno uveřejnit.</w:t>
      </w:r>
    </w:p>
    <w:p w14:paraId="4362FFD1" w14:textId="1D4C2454" w:rsidR="0078528C" w:rsidRPr="00C2154F" w:rsidRDefault="0078528C" w:rsidP="00A05279">
      <w:pPr>
        <w:numPr>
          <w:ilvl w:val="0"/>
          <w:numId w:val="2"/>
        </w:numPr>
        <w:spacing w:before="120"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 xml:space="preserve">Na důkaz svého souhlasu s textem a obsahem tohoto Dodatku č. </w:t>
      </w:r>
      <w:r w:rsidR="00487115">
        <w:rPr>
          <w:rFonts w:asciiTheme="minorHAnsi" w:hAnsiTheme="minorHAnsi" w:cstheme="minorHAnsi"/>
          <w:sz w:val="22"/>
          <w:szCs w:val="22"/>
        </w:rPr>
        <w:t>1</w:t>
      </w:r>
      <w:r w:rsidRPr="00C2154F">
        <w:rPr>
          <w:rFonts w:asciiTheme="minorHAnsi" w:hAnsiTheme="minorHAnsi" w:cstheme="minorHAnsi"/>
          <w:sz w:val="22"/>
          <w:szCs w:val="22"/>
        </w:rPr>
        <w:t xml:space="preserve"> k němu Smluvní strany připojily své podpisy. </w:t>
      </w:r>
    </w:p>
    <w:p w14:paraId="47FCDDFA" w14:textId="77777777" w:rsidR="0078528C" w:rsidRPr="00C2154F" w:rsidRDefault="0078528C" w:rsidP="00A05279">
      <w:p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ADC8C9F" w14:textId="40A1101E" w:rsidR="0078528C" w:rsidRPr="00C2154F" w:rsidRDefault="0078528C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>V Brně dne</w:t>
      </w:r>
      <w:r w:rsidR="005D648D">
        <w:rPr>
          <w:rFonts w:asciiTheme="minorHAnsi" w:hAnsiTheme="minorHAnsi" w:cstheme="minorHAnsi"/>
          <w:sz w:val="22"/>
          <w:szCs w:val="22"/>
        </w:rPr>
        <w:t xml:space="preserve"> 2021. 10. 19</w:t>
      </w:r>
      <w:r w:rsidRPr="00C2154F">
        <w:rPr>
          <w:rFonts w:asciiTheme="minorHAnsi" w:hAnsiTheme="minorHAnsi" w:cstheme="minorHAnsi"/>
          <w:sz w:val="22"/>
          <w:szCs w:val="22"/>
        </w:rPr>
        <w:tab/>
      </w:r>
      <w:r w:rsidRPr="00C2154F">
        <w:rPr>
          <w:rFonts w:asciiTheme="minorHAnsi" w:hAnsiTheme="minorHAnsi" w:cstheme="minorHAnsi"/>
          <w:sz w:val="22"/>
          <w:szCs w:val="22"/>
        </w:rPr>
        <w:tab/>
      </w:r>
      <w:r w:rsidRPr="00C2154F">
        <w:rPr>
          <w:rFonts w:asciiTheme="minorHAnsi" w:hAnsiTheme="minorHAnsi" w:cstheme="minorHAnsi"/>
          <w:sz w:val="22"/>
          <w:szCs w:val="22"/>
        </w:rPr>
        <w:tab/>
      </w:r>
      <w:r w:rsidRPr="00C2154F">
        <w:rPr>
          <w:rFonts w:asciiTheme="minorHAnsi" w:hAnsiTheme="minorHAnsi" w:cstheme="minorHAnsi"/>
          <w:sz w:val="22"/>
          <w:szCs w:val="22"/>
        </w:rPr>
        <w:tab/>
        <w:t>V </w:t>
      </w:r>
      <w:r w:rsidR="007450F2">
        <w:rPr>
          <w:rFonts w:asciiTheme="minorHAnsi" w:hAnsiTheme="minorHAnsi" w:cstheme="minorHAnsi"/>
          <w:sz w:val="22"/>
          <w:szCs w:val="22"/>
        </w:rPr>
        <w:t>Ostravě</w:t>
      </w:r>
      <w:r w:rsidRPr="00C2154F">
        <w:rPr>
          <w:rFonts w:asciiTheme="minorHAnsi" w:hAnsiTheme="minorHAnsi" w:cstheme="minorHAnsi"/>
          <w:sz w:val="22"/>
          <w:szCs w:val="22"/>
        </w:rPr>
        <w:t xml:space="preserve"> dne</w:t>
      </w:r>
      <w:r w:rsidR="005D648D">
        <w:rPr>
          <w:rFonts w:asciiTheme="minorHAnsi" w:hAnsiTheme="minorHAnsi" w:cstheme="minorHAnsi"/>
          <w:sz w:val="22"/>
          <w:szCs w:val="22"/>
        </w:rPr>
        <w:t xml:space="preserve"> 2021. 10. 19</w:t>
      </w:r>
    </w:p>
    <w:p w14:paraId="0A0B9093" w14:textId="77777777" w:rsidR="0078528C" w:rsidRPr="00C2154F" w:rsidRDefault="0078528C" w:rsidP="00A05279">
      <w:pPr>
        <w:autoSpaceDE w:val="0"/>
        <w:autoSpaceDN w:val="0"/>
        <w:adjustRightInd w:val="0"/>
        <w:ind w:left="567" w:hanging="567"/>
        <w:rPr>
          <w:rFonts w:asciiTheme="minorHAnsi" w:eastAsia="Courier New" w:hAnsiTheme="minorHAnsi" w:cstheme="minorHAnsi"/>
          <w:sz w:val="22"/>
          <w:szCs w:val="22"/>
          <w:lang w:bidi="cs-CZ"/>
        </w:rPr>
      </w:pPr>
    </w:p>
    <w:p w14:paraId="78B5FE96" w14:textId="77777777" w:rsidR="0078528C" w:rsidRPr="00C2154F" w:rsidRDefault="0078528C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8F4C09E" w14:textId="47B4B72A" w:rsidR="0078528C" w:rsidRDefault="0078528C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AE3AF3B" w14:textId="0BC656A2" w:rsidR="00474D9D" w:rsidRDefault="00474D9D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2F6436A" w14:textId="77777777" w:rsidR="00474D9D" w:rsidRPr="00C2154F" w:rsidRDefault="00474D9D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08E5E9D" w14:textId="77777777" w:rsidR="0078528C" w:rsidRPr="00C2154F" w:rsidRDefault="0078528C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                             </w:t>
      </w:r>
      <w:r w:rsidRPr="00C2154F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.........................................................   </w:t>
      </w:r>
    </w:p>
    <w:p w14:paraId="55C47C1F" w14:textId="5CF881FD" w:rsidR="000755BA" w:rsidRPr="000755BA" w:rsidRDefault="000755BA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C2154F">
        <w:rPr>
          <w:rFonts w:asciiTheme="minorHAnsi" w:hAnsiTheme="minorHAnsi" w:cstheme="minorHAnsi"/>
          <w:b/>
          <w:sz w:val="22"/>
          <w:szCs w:val="22"/>
        </w:rPr>
        <w:t>Centrum dopravního výzkumu, v. v. i.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3100B">
        <w:rPr>
          <w:rFonts w:asciiTheme="minorHAnsi" w:hAnsiTheme="minorHAnsi" w:cstheme="minorHAnsi"/>
          <w:b/>
          <w:bCs/>
          <w:sz w:val="22"/>
          <w:szCs w:val="22"/>
        </w:rPr>
        <w:t>E-expert, spol. s</w:t>
      </w:r>
      <w:r w:rsidR="00EE27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100B">
        <w:rPr>
          <w:rFonts w:asciiTheme="minorHAnsi" w:hAnsiTheme="minorHAnsi" w:cstheme="minorHAnsi"/>
          <w:b/>
          <w:bCs/>
          <w:sz w:val="22"/>
          <w:szCs w:val="22"/>
        </w:rPr>
        <w:t xml:space="preserve">r.o. </w:t>
      </w:r>
    </w:p>
    <w:p w14:paraId="1CB72FDD" w14:textId="449FB5E1" w:rsidR="000755BA" w:rsidRPr="00C2154F" w:rsidRDefault="000755BA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2154F">
        <w:rPr>
          <w:rFonts w:asciiTheme="minorHAnsi" w:hAnsiTheme="minorHAnsi" w:cstheme="minorHAnsi"/>
          <w:bCs/>
          <w:sz w:val="22"/>
          <w:szCs w:val="22"/>
        </w:rPr>
        <w:t>Ing. Jindřich Frič, Ph.D., ředitel instituce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53100B">
        <w:rPr>
          <w:rFonts w:asciiTheme="minorHAnsi" w:hAnsiTheme="minorHAnsi" w:cstheme="minorHAnsi"/>
          <w:sz w:val="22"/>
          <w:szCs w:val="22"/>
        </w:rPr>
        <w:t>Ing. Vladimír Lollek, jednatel</w:t>
      </w:r>
    </w:p>
    <w:p w14:paraId="6D797286" w14:textId="6F5F1F6F" w:rsidR="0078528C" w:rsidRPr="00C2154F" w:rsidRDefault="000755BA" w:rsidP="00A05279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Vedoucí společník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Další společník</w:t>
      </w:r>
    </w:p>
    <w:p w14:paraId="672B70F1" w14:textId="77777777" w:rsidR="0078528C" w:rsidRPr="00C2154F" w:rsidRDefault="0078528C" w:rsidP="0078528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898CDE8" w14:textId="77777777" w:rsidR="0078528C" w:rsidRPr="00C2154F" w:rsidRDefault="0078528C" w:rsidP="0078528C">
      <w:pPr>
        <w:rPr>
          <w:rFonts w:asciiTheme="minorHAnsi" w:hAnsiTheme="minorHAnsi" w:cstheme="minorHAnsi"/>
          <w:sz w:val="22"/>
          <w:szCs w:val="22"/>
        </w:rPr>
      </w:pPr>
    </w:p>
    <w:p w14:paraId="5678A8BB" w14:textId="77777777" w:rsidR="00FD620B" w:rsidRDefault="00FD620B"/>
    <w:sectPr w:rsidR="00FD620B" w:rsidSect="007A29D9">
      <w:headerReference w:type="default" r:id="rId7"/>
      <w:footerReference w:type="default" r:id="rId8"/>
      <w:pgSz w:w="11906" w:h="16838" w:code="9"/>
      <w:pgMar w:top="813" w:right="1418" w:bottom="1276" w:left="1418" w:header="56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2E0A" w14:textId="77777777" w:rsidR="006C78EC" w:rsidRDefault="006C78EC">
      <w:r>
        <w:separator/>
      </w:r>
    </w:p>
  </w:endnote>
  <w:endnote w:type="continuationSeparator" w:id="0">
    <w:p w14:paraId="5F67DABB" w14:textId="77777777" w:rsidR="006C78EC" w:rsidRDefault="006C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A8C7" w14:textId="77777777" w:rsidR="003E499D" w:rsidRDefault="00B406DA" w:rsidP="0024438D">
    <w:pPr>
      <w:pStyle w:val="Zpat"/>
      <w:tabs>
        <w:tab w:val="clear" w:pos="9072"/>
        <w:tab w:val="right" w:pos="-4140"/>
      </w:tabs>
      <w:rPr>
        <w:rStyle w:val="slostrnky"/>
        <w:rFonts w:eastAsiaTheme="majorEastAsia"/>
        <w:sz w:val="16"/>
        <w:szCs w:val="16"/>
      </w:rPr>
    </w:pPr>
    <w:r>
      <w:tab/>
    </w:r>
  </w:p>
  <w:p w14:paraId="5DBE9F00" w14:textId="77777777" w:rsidR="003E499D" w:rsidRDefault="006C78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EF89" w14:textId="77777777" w:rsidR="006C78EC" w:rsidRDefault="006C78EC">
      <w:r>
        <w:separator/>
      </w:r>
    </w:p>
  </w:footnote>
  <w:footnote w:type="continuationSeparator" w:id="0">
    <w:p w14:paraId="7E8FE388" w14:textId="77777777" w:rsidR="006C78EC" w:rsidRDefault="006C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F686" w14:textId="77777777" w:rsidR="003E499D" w:rsidRPr="00134BBB" w:rsidRDefault="006C78EC" w:rsidP="005F0602">
    <w:pPr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0E5"/>
    <w:multiLevelType w:val="hybridMultilevel"/>
    <w:tmpl w:val="46A47C66"/>
    <w:lvl w:ilvl="0" w:tplc="49C2F3EC">
      <w:start w:val="19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5929EB"/>
    <w:multiLevelType w:val="hybridMultilevel"/>
    <w:tmpl w:val="5554F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9DE"/>
    <w:multiLevelType w:val="hybridMultilevel"/>
    <w:tmpl w:val="1968F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1D2"/>
    <w:multiLevelType w:val="hybridMultilevel"/>
    <w:tmpl w:val="B10E0730"/>
    <w:lvl w:ilvl="0" w:tplc="49C2F3EC">
      <w:start w:val="19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8A7EE8"/>
    <w:multiLevelType w:val="hybridMultilevel"/>
    <w:tmpl w:val="76AC1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058"/>
    <w:multiLevelType w:val="hybridMultilevel"/>
    <w:tmpl w:val="40C2ADE6"/>
    <w:lvl w:ilvl="0" w:tplc="2520A91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6821E8F"/>
    <w:multiLevelType w:val="hybridMultilevel"/>
    <w:tmpl w:val="5554F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6464"/>
    <w:multiLevelType w:val="hybridMultilevel"/>
    <w:tmpl w:val="AC12DD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61049"/>
    <w:multiLevelType w:val="hybridMultilevel"/>
    <w:tmpl w:val="96608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0DEA"/>
    <w:multiLevelType w:val="hybridMultilevel"/>
    <w:tmpl w:val="DEC4C938"/>
    <w:lvl w:ilvl="0" w:tplc="13481B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6010A5B4">
      <w:numFmt w:val="bullet"/>
      <w:lvlText w:val="-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7B32BF"/>
    <w:multiLevelType w:val="hybridMultilevel"/>
    <w:tmpl w:val="263AC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2455"/>
    <w:multiLevelType w:val="hybridMultilevel"/>
    <w:tmpl w:val="38C2C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1035B2"/>
    <w:multiLevelType w:val="hybridMultilevel"/>
    <w:tmpl w:val="59B62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71C2"/>
    <w:multiLevelType w:val="hybridMultilevel"/>
    <w:tmpl w:val="07FE1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7663A"/>
    <w:multiLevelType w:val="hybridMultilevel"/>
    <w:tmpl w:val="00B8CF38"/>
    <w:lvl w:ilvl="0" w:tplc="04050017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67FC732C"/>
    <w:multiLevelType w:val="hybridMultilevel"/>
    <w:tmpl w:val="B67C5370"/>
    <w:lvl w:ilvl="0" w:tplc="0405000F">
      <w:start w:val="1"/>
      <w:numFmt w:val="decimal"/>
      <w:lvlText w:val="%1."/>
      <w:lvlJc w:val="left"/>
      <w:pPr>
        <w:ind w:left="22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3" w:hanging="360"/>
      </w:pPr>
    </w:lvl>
    <w:lvl w:ilvl="2" w:tplc="0405001B" w:tentative="1">
      <w:start w:val="1"/>
      <w:numFmt w:val="lowerRoman"/>
      <w:lvlText w:val="%3."/>
      <w:lvlJc w:val="right"/>
      <w:pPr>
        <w:ind w:left="3663" w:hanging="180"/>
      </w:pPr>
    </w:lvl>
    <w:lvl w:ilvl="3" w:tplc="0405000F" w:tentative="1">
      <w:start w:val="1"/>
      <w:numFmt w:val="decimal"/>
      <w:lvlText w:val="%4."/>
      <w:lvlJc w:val="left"/>
      <w:pPr>
        <w:ind w:left="4383" w:hanging="360"/>
      </w:pPr>
    </w:lvl>
    <w:lvl w:ilvl="4" w:tplc="04050019" w:tentative="1">
      <w:start w:val="1"/>
      <w:numFmt w:val="lowerLetter"/>
      <w:lvlText w:val="%5."/>
      <w:lvlJc w:val="left"/>
      <w:pPr>
        <w:ind w:left="5103" w:hanging="360"/>
      </w:pPr>
    </w:lvl>
    <w:lvl w:ilvl="5" w:tplc="0405001B" w:tentative="1">
      <w:start w:val="1"/>
      <w:numFmt w:val="lowerRoman"/>
      <w:lvlText w:val="%6."/>
      <w:lvlJc w:val="right"/>
      <w:pPr>
        <w:ind w:left="5823" w:hanging="180"/>
      </w:pPr>
    </w:lvl>
    <w:lvl w:ilvl="6" w:tplc="0405000F" w:tentative="1">
      <w:start w:val="1"/>
      <w:numFmt w:val="decimal"/>
      <w:lvlText w:val="%7."/>
      <w:lvlJc w:val="left"/>
      <w:pPr>
        <w:ind w:left="6543" w:hanging="360"/>
      </w:pPr>
    </w:lvl>
    <w:lvl w:ilvl="7" w:tplc="04050019" w:tentative="1">
      <w:start w:val="1"/>
      <w:numFmt w:val="lowerLetter"/>
      <w:lvlText w:val="%8."/>
      <w:lvlJc w:val="left"/>
      <w:pPr>
        <w:ind w:left="7263" w:hanging="360"/>
      </w:pPr>
    </w:lvl>
    <w:lvl w:ilvl="8" w:tplc="040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6A660DB8"/>
    <w:multiLevelType w:val="hybridMultilevel"/>
    <w:tmpl w:val="36025438"/>
    <w:lvl w:ilvl="0" w:tplc="0405000F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50" w:hanging="360"/>
      </w:pPr>
    </w:lvl>
    <w:lvl w:ilvl="2" w:tplc="0405001B" w:tentative="1">
      <w:start w:val="1"/>
      <w:numFmt w:val="lowerRoman"/>
      <w:lvlText w:val="%3."/>
      <w:lvlJc w:val="right"/>
      <w:pPr>
        <w:ind w:left="5370" w:hanging="180"/>
      </w:pPr>
    </w:lvl>
    <w:lvl w:ilvl="3" w:tplc="0405000F" w:tentative="1">
      <w:start w:val="1"/>
      <w:numFmt w:val="decimal"/>
      <w:lvlText w:val="%4."/>
      <w:lvlJc w:val="left"/>
      <w:pPr>
        <w:ind w:left="6090" w:hanging="360"/>
      </w:pPr>
    </w:lvl>
    <w:lvl w:ilvl="4" w:tplc="04050019" w:tentative="1">
      <w:start w:val="1"/>
      <w:numFmt w:val="lowerLetter"/>
      <w:lvlText w:val="%5."/>
      <w:lvlJc w:val="left"/>
      <w:pPr>
        <w:ind w:left="6810" w:hanging="360"/>
      </w:pPr>
    </w:lvl>
    <w:lvl w:ilvl="5" w:tplc="0405001B" w:tentative="1">
      <w:start w:val="1"/>
      <w:numFmt w:val="lowerRoman"/>
      <w:lvlText w:val="%6."/>
      <w:lvlJc w:val="right"/>
      <w:pPr>
        <w:ind w:left="7530" w:hanging="180"/>
      </w:pPr>
    </w:lvl>
    <w:lvl w:ilvl="6" w:tplc="0405000F" w:tentative="1">
      <w:start w:val="1"/>
      <w:numFmt w:val="decimal"/>
      <w:lvlText w:val="%7."/>
      <w:lvlJc w:val="left"/>
      <w:pPr>
        <w:ind w:left="8250" w:hanging="360"/>
      </w:pPr>
    </w:lvl>
    <w:lvl w:ilvl="7" w:tplc="04050019" w:tentative="1">
      <w:start w:val="1"/>
      <w:numFmt w:val="lowerLetter"/>
      <w:lvlText w:val="%8."/>
      <w:lvlJc w:val="left"/>
      <w:pPr>
        <w:ind w:left="8970" w:hanging="360"/>
      </w:pPr>
    </w:lvl>
    <w:lvl w:ilvl="8" w:tplc="0405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17" w15:restartNumberingAfterBreak="0">
    <w:nsid w:val="7F6C2FD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13"/>
  </w:num>
  <w:num w:numId="10">
    <w:abstractNumId w:val="0"/>
  </w:num>
  <w:num w:numId="11">
    <w:abstractNumId w:val="5"/>
  </w:num>
  <w:num w:numId="12">
    <w:abstractNumId w:val="7"/>
  </w:num>
  <w:num w:numId="13">
    <w:abstractNumId w:val="15"/>
  </w:num>
  <w:num w:numId="14">
    <w:abstractNumId w:val="2"/>
  </w:num>
  <w:num w:numId="15">
    <w:abstractNumId w:val="16"/>
  </w:num>
  <w:num w:numId="16">
    <w:abstractNumId w:val="4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8C"/>
    <w:rsid w:val="000005F7"/>
    <w:rsid w:val="000114AD"/>
    <w:rsid w:val="000755BA"/>
    <w:rsid w:val="00097A4C"/>
    <w:rsid w:val="000E110A"/>
    <w:rsid w:val="00107763"/>
    <w:rsid w:val="001139E1"/>
    <w:rsid w:val="00116AA2"/>
    <w:rsid w:val="001568C0"/>
    <w:rsid w:val="0016404D"/>
    <w:rsid w:val="001A473E"/>
    <w:rsid w:val="001F620E"/>
    <w:rsid w:val="00213E24"/>
    <w:rsid w:val="00227723"/>
    <w:rsid w:val="002520CC"/>
    <w:rsid w:val="003239BB"/>
    <w:rsid w:val="003A07CB"/>
    <w:rsid w:val="003D3491"/>
    <w:rsid w:val="003F62C1"/>
    <w:rsid w:val="00421DBA"/>
    <w:rsid w:val="00474D9D"/>
    <w:rsid w:val="00487115"/>
    <w:rsid w:val="004B202F"/>
    <w:rsid w:val="004C4844"/>
    <w:rsid w:val="0051526E"/>
    <w:rsid w:val="00536033"/>
    <w:rsid w:val="00562C98"/>
    <w:rsid w:val="00573D8A"/>
    <w:rsid w:val="0059133D"/>
    <w:rsid w:val="005B2D41"/>
    <w:rsid w:val="005D648D"/>
    <w:rsid w:val="00634CF0"/>
    <w:rsid w:val="006470FB"/>
    <w:rsid w:val="006900AC"/>
    <w:rsid w:val="006C78EC"/>
    <w:rsid w:val="00712E8D"/>
    <w:rsid w:val="0071545A"/>
    <w:rsid w:val="007450F2"/>
    <w:rsid w:val="0078528C"/>
    <w:rsid w:val="00787985"/>
    <w:rsid w:val="008173B3"/>
    <w:rsid w:val="008636A5"/>
    <w:rsid w:val="0087298A"/>
    <w:rsid w:val="00877213"/>
    <w:rsid w:val="008D6DAD"/>
    <w:rsid w:val="008E14C2"/>
    <w:rsid w:val="00924C1D"/>
    <w:rsid w:val="0093675C"/>
    <w:rsid w:val="009802A9"/>
    <w:rsid w:val="009B656D"/>
    <w:rsid w:val="009C4B03"/>
    <w:rsid w:val="009C6156"/>
    <w:rsid w:val="00A05279"/>
    <w:rsid w:val="00A26885"/>
    <w:rsid w:val="00AC0C4E"/>
    <w:rsid w:val="00AC5FC7"/>
    <w:rsid w:val="00AE374F"/>
    <w:rsid w:val="00B00ADC"/>
    <w:rsid w:val="00B23822"/>
    <w:rsid w:val="00B406DA"/>
    <w:rsid w:val="00B55DC4"/>
    <w:rsid w:val="00CA02E4"/>
    <w:rsid w:val="00D408B3"/>
    <w:rsid w:val="00D95EB4"/>
    <w:rsid w:val="00D96A3B"/>
    <w:rsid w:val="00DB26B0"/>
    <w:rsid w:val="00E00544"/>
    <w:rsid w:val="00E853AD"/>
    <w:rsid w:val="00EE2772"/>
    <w:rsid w:val="00EE425A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BA8F"/>
  <w15:chartTrackingRefBased/>
  <w15:docId w15:val="{6D85A7F4-B1CD-4E97-97E6-795D02D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28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78528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Zpat">
    <w:name w:val="footer"/>
    <w:basedOn w:val="Normln"/>
    <w:link w:val="ZpatChar"/>
    <w:rsid w:val="00785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52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8528C"/>
  </w:style>
  <w:style w:type="paragraph" w:styleId="Odstavecseseznamem">
    <w:name w:val="List Paragraph"/>
    <w:basedOn w:val="Normln"/>
    <w:uiPriority w:val="34"/>
    <w:qFormat/>
    <w:rsid w:val="007852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nebozpat2">
    <w:name w:val="Záhlaví nebo zápatí (2)_"/>
    <w:basedOn w:val="Standardnpsmoodstavce"/>
    <w:link w:val="Zhlavnebozpat20"/>
    <w:locked/>
    <w:rsid w:val="0078528C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sid w:val="0078528C"/>
    <w:pPr>
      <w:widowControl w:val="0"/>
    </w:pPr>
    <w:rPr>
      <w:sz w:val="20"/>
      <w:szCs w:val="20"/>
      <w:lang w:eastAsia="en-US"/>
    </w:rPr>
  </w:style>
  <w:style w:type="paragraph" w:styleId="Bezmezer">
    <w:name w:val="No Spacing"/>
    <w:uiPriority w:val="1"/>
    <w:qFormat/>
    <w:rsid w:val="0078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A4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basedOn w:val="Normln"/>
    <w:rsid w:val="00DB26B0"/>
    <w:pPr>
      <w:autoSpaceDE w:val="0"/>
      <w:autoSpaceDN w:val="0"/>
      <w:adjustRightInd w:val="0"/>
      <w:spacing w:before="57" w:line="220" w:lineRule="atLeast"/>
      <w:jc w:val="both"/>
    </w:pPr>
    <w:rPr>
      <w:rFonts w:ascii="Times" w:hAnsi="Times" w:cs="Time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2021-10-19T11:42:00Z</dcterms:created>
  <dcterms:modified xsi:type="dcterms:W3CDTF">2021-10-19T11:43:00Z</dcterms:modified>
</cp:coreProperties>
</file>