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0D1" w:rsidRDefault="00FD00D1">
      <w:pPr>
        <w:spacing w:line="139" w:lineRule="exact"/>
        <w:rPr>
          <w:sz w:val="11"/>
          <w:szCs w:val="11"/>
        </w:rPr>
      </w:pPr>
      <w:bookmarkStart w:id="0" w:name="_GoBack"/>
      <w:bookmarkEnd w:id="0"/>
    </w:p>
    <w:p w:rsidR="00FD00D1" w:rsidRDefault="00FD00D1">
      <w:pPr>
        <w:spacing w:line="1" w:lineRule="exact"/>
        <w:sectPr w:rsidR="00FD00D1">
          <w:footerReference w:type="default" r:id="rId7"/>
          <w:pgSz w:w="11900" w:h="16840"/>
          <w:pgMar w:top="1718" w:right="1017" w:bottom="1357" w:left="1738" w:header="0" w:footer="3" w:gutter="0"/>
          <w:pgNumType w:start="1"/>
          <w:cols w:space="720"/>
          <w:noEndnote/>
          <w:docGrid w:linePitch="360"/>
        </w:sectPr>
      </w:pPr>
    </w:p>
    <w:p w:rsidR="00FD00D1" w:rsidRDefault="00983FC6">
      <w:pPr>
        <w:spacing w:line="1" w:lineRule="exact"/>
      </w:pPr>
      <w:r>
        <w:rPr>
          <w:noProof/>
          <w:lang w:bidi="ar-SA"/>
        </w:rPr>
        <w:drawing>
          <wp:anchor distT="0" distB="0" distL="114300" distR="114300" simplePos="0" relativeHeight="125829378" behindDoc="0" locked="0" layoutInCell="1" allowOverlap="1">
            <wp:simplePos x="0" y="0"/>
            <wp:positionH relativeFrom="page">
              <wp:posOffset>1590040</wp:posOffset>
            </wp:positionH>
            <wp:positionV relativeFrom="paragraph">
              <wp:posOffset>12700</wp:posOffset>
            </wp:positionV>
            <wp:extent cx="365760" cy="316865"/>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365760" cy="316865"/>
                    </a:xfrm>
                    <a:prstGeom prst="rect">
                      <a:avLst/>
                    </a:prstGeom>
                  </pic:spPr>
                </pic:pic>
              </a:graphicData>
            </a:graphic>
          </wp:anchor>
        </w:drawing>
      </w:r>
      <w:r>
        <w:rPr>
          <w:noProof/>
          <w:lang w:bidi="ar-SA"/>
        </w:rPr>
        <mc:AlternateContent>
          <mc:Choice Requires="wps">
            <w:drawing>
              <wp:anchor distT="0" distB="1459865" distL="114300" distR="114300" simplePos="0" relativeHeight="125829379" behindDoc="0" locked="0" layoutInCell="1" allowOverlap="1">
                <wp:simplePos x="0" y="0"/>
                <wp:positionH relativeFrom="page">
                  <wp:posOffset>4202430</wp:posOffset>
                </wp:positionH>
                <wp:positionV relativeFrom="paragraph">
                  <wp:posOffset>36830</wp:posOffset>
                </wp:positionV>
                <wp:extent cx="2675890" cy="33528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675890" cy="335280"/>
                        </a:xfrm>
                        <a:prstGeom prst="rect">
                          <a:avLst/>
                        </a:prstGeom>
                        <a:noFill/>
                      </wps:spPr>
                      <wps:txbx>
                        <w:txbxContent>
                          <w:p w:rsidR="00FD00D1" w:rsidRDefault="00983FC6">
                            <w:pPr>
                              <w:pStyle w:val="Bodytext30"/>
                            </w:pPr>
                            <w:r>
                              <w:t>lilllllHIIHIIIIIIIIIIIH</w:t>
                            </w:r>
                          </w:p>
                          <w:p w:rsidR="00FD00D1" w:rsidRDefault="00983FC6">
                            <w:pPr>
                              <w:pStyle w:val="Bodytext40"/>
                            </w:pPr>
                            <w:r>
                              <w:t>*86032381781001001*</w:t>
                            </w:r>
                          </w:p>
                        </w:txbxContent>
                      </wps:txbx>
                      <wps:bodyPr lIns="0" tIns="0" rIns="0" bIns="0"/>
                    </wps:wsp>
                  </a:graphicData>
                </a:graphic>
              </wp:anchor>
            </w:drawing>
          </mc:Choice>
          <mc:Fallback>
            <w:pict>
              <v:shape id="_x0000_s1031" type="#_x0000_t202" style="position:absolute;margin-left:330.90000000000003pt;margin-top:2.8999999999999999pt;width:210.70000000000002pt;height:26.400000000000002pt;z-index:-125829374;mso-wrap-distance-left:9.pt;mso-wrap-distance-right:9.pt;mso-wrap-distance-bottom:114.9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lang w:val="cs-CZ" w:eastAsia="cs-CZ" w:bidi="cs-CZ"/>
                        </w:rPr>
                        <w:t>lilllllHIIHIIIIIIIIIIIH</w:t>
                      </w:r>
                    </w:p>
                    <w:p>
                      <w:pPr>
                        <w:pStyle w:val="Style7"/>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*86032381781001001*</w:t>
                      </w:r>
                    </w:p>
                  </w:txbxContent>
                </v:textbox>
                <w10:wrap type="square" side="left" anchorx="page"/>
              </v:shape>
            </w:pict>
          </mc:Fallback>
        </mc:AlternateContent>
      </w:r>
      <w:r>
        <w:rPr>
          <w:noProof/>
          <w:lang w:bidi="ar-SA"/>
        </w:rPr>
        <w:drawing>
          <wp:anchor distT="572770" distB="0" distL="1135380" distR="534670" simplePos="0" relativeHeight="125829381" behindDoc="0" locked="0" layoutInCell="1" allowOverlap="1">
            <wp:simplePos x="0" y="0"/>
            <wp:positionH relativeFrom="page">
              <wp:posOffset>5223510</wp:posOffset>
            </wp:positionH>
            <wp:positionV relativeFrom="paragraph">
              <wp:posOffset>609600</wp:posOffset>
            </wp:positionV>
            <wp:extent cx="1237615" cy="1225550"/>
            <wp:effectExtent l="0" t="0" r="0" b="0"/>
            <wp:wrapSquare wrapText="lef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1237615" cy="1225550"/>
                    </a:xfrm>
                    <a:prstGeom prst="rect">
                      <a:avLst/>
                    </a:prstGeom>
                  </pic:spPr>
                </pic:pic>
              </a:graphicData>
            </a:graphic>
          </wp:anchor>
        </w:drawing>
      </w:r>
    </w:p>
    <w:p w:rsidR="00FD00D1" w:rsidRDefault="00226378">
      <w:pPr>
        <w:pStyle w:val="Heading210"/>
        <w:keepNext/>
        <w:keepLines/>
        <w:pBdr>
          <w:bottom w:val="single" w:sz="4" w:space="0" w:color="auto"/>
        </w:pBdr>
        <w:jc w:val="both"/>
      </w:pPr>
      <w:r>
        <w:t>xxxxxxxxxxx</w:t>
      </w:r>
    </w:p>
    <w:p w:rsidR="00FD00D1" w:rsidRDefault="00226378">
      <w:pPr>
        <w:pStyle w:val="Bodytext20"/>
        <w:spacing w:after="1040" w:line="240" w:lineRule="auto"/>
        <w:ind w:left="0" w:firstLine="0"/>
      </w:pPr>
      <w:r>
        <w:rPr>
          <w:lang w:val="en-US" w:eastAsia="en-US" w:bidi="en-US"/>
        </w:rPr>
        <w:t>xxxxxxxxxxxxxxxxx</w:t>
      </w:r>
    </w:p>
    <w:p w:rsidR="00FD00D1" w:rsidRDefault="00983FC6">
      <w:pPr>
        <w:pStyle w:val="Heading110"/>
        <w:keepNext/>
        <w:keepLines/>
        <w:spacing w:after="420"/>
      </w:pPr>
      <w:bookmarkStart w:id="1" w:name="bookmark5"/>
      <w:r>
        <w:t xml:space="preserve">Dodatek č. </w:t>
      </w:r>
      <w:r>
        <w:rPr>
          <w:lang w:val="en-US" w:eastAsia="en-US" w:bidi="en-US"/>
        </w:rPr>
        <w:t>1</w:t>
      </w:r>
      <w:bookmarkEnd w:id="1"/>
    </w:p>
    <w:p w:rsidR="00FD00D1" w:rsidRDefault="00983FC6">
      <w:pPr>
        <w:pStyle w:val="Heading110"/>
        <w:keepNext/>
        <w:keepLines/>
        <w:spacing w:after="320"/>
      </w:pPr>
      <w:bookmarkStart w:id="2" w:name="bookmark3"/>
      <w:bookmarkStart w:id="3" w:name="bookmark4"/>
      <w:bookmarkStart w:id="4" w:name="bookmark6"/>
      <w:r>
        <w:rPr>
          <w:lang w:val="en-US" w:eastAsia="en-US" w:bidi="en-US"/>
        </w:rPr>
        <w:t xml:space="preserve">k </w:t>
      </w:r>
      <w:r>
        <w:t xml:space="preserve">pojistné smlouvě </w:t>
      </w:r>
      <w:bookmarkEnd w:id="2"/>
      <w:bookmarkEnd w:id="3"/>
      <w:bookmarkEnd w:id="4"/>
      <w:r w:rsidR="00226378">
        <w:rPr>
          <w:i/>
          <w:iCs/>
          <w:lang w:val="en-US" w:eastAsia="en-US" w:bidi="en-US"/>
        </w:rPr>
        <w:t>xxxxxxxxxxxxxx</w:t>
      </w:r>
    </w:p>
    <w:p w:rsidR="00FD00D1" w:rsidRDefault="00983FC6">
      <w:pPr>
        <w:pStyle w:val="Heading310"/>
        <w:keepNext/>
        <w:keepLines/>
        <w:jc w:val="both"/>
      </w:pPr>
      <w:bookmarkStart w:id="5" w:name="bookmark7"/>
      <w:bookmarkStart w:id="6" w:name="bookmark8"/>
      <w:bookmarkStart w:id="7" w:name="bookmark9"/>
      <w:r>
        <w:rPr>
          <w:lang w:val="en-US" w:eastAsia="en-US" w:bidi="en-US"/>
        </w:rPr>
        <w:t xml:space="preserve">pro </w:t>
      </w:r>
      <w:r>
        <w:t xml:space="preserve">pojištění podnikatelských rizik </w:t>
      </w:r>
      <w:r>
        <w:rPr>
          <w:lang w:val="en-US" w:eastAsia="en-US" w:bidi="en-US"/>
        </w:rPr>
        <w:t>- TREND 14</w:t>
      </w:r>
      <w:bookmarkEnd w:id="5"/>
      <w:bookmarkEnd w:id="6"/>
      <w:bookmarkEnd w:id="7"/>
    </w:p>
    <w:p w:rsidR="00FD00D1" w:rsidRDefault="00226378">
      <w:pPr>
        <w:pStyle w:val="Bodytext10"/>
        <w:spacing w:after="0"/>
        <w:jc w:val="both"/>
      </w:pPr>
      <w:r>
        <w:t>xxxxxxxxxxxxxxxxxxxxxxxxxxxxxxxxxxxxxxxxx</w:t>
      </w:r>
    </w:p>
    <w:p w:rsidR="00FD00D1" w:rsidRDefault="00983FC6">
      <w:pPr>
        <w:pStyle w:val="Bodytext10"/>
        <w:spacing w:after="1140"/>
      </w:pPr>
      <w:r>
        <w:t xml:space="preserve">(dále jen </w:t>
      </w:r>
      <w:r>
        <w:rPr>
          <w:b/>
          <w:bCs/>
        </w:rPr>
        <w:t>"pojistitel")</w:t>
      </w:r>
    </w:p>
    <w:p w:rsidR="00FD00D1" w:rsidRDefault="00983FC6">
      <w:pPr>
        <w:pStyle w:val="Heading410"/>
        <w:keepNext/>
        <w:keepLines/>
      </w:pPr>
      <w:bookmarkStart w:id="8" w:name="bookmark13"/>
      <w:bookmarkStart w:id="9" w:name="bookmark14"/>
      <w:bookmarkStart w:id="10" w:name="bookmark15"/>
      <w:r>
        <w:t>DAM Morava s.r.o.</w:t>
      </w:r>
      <w:bookmarkEnd w:id="8"/>
      <w:bookmarkEnd w:id="9"/>
      <w:bookmarkEnd w:id="10"/>
    </w:p>
    <w:p w:rsidR="00FD00D1" w:rsidRDefault="00983FC6">
      <w:pPr>
        <w:pStyle w:val="Bodytext10"/>
        <w:spacing w:after="0"/>
      </w:pPr>
      <w:r>
        <w:t>Zastoupená:</w:t>
      </w:r>
    </w:p>
    <w:p w:rsidR="00FD00D1" w:rsidRDefault="00983FC6">
      <w:pPr>
        <w:pStyle w:val="Bodytext10"/>
        <w:spacing w:after="0"/>
      </w:pPr>
      <w:r>
        <w:t>Ing. Jiří Coufal, jednatel</w:t>
      </w:r>
    </w:p>
    <w:p w:rsidR="00FD00D1" w:rsidRDefault="00983FC6">
      <w:pPr>
        <w:pStyle w:val="Bodytext10"/>
        <w:spacing w:after="0"/>
        <w:jc w:val="both"/>
      </w:pPr>
      <w:r>
        <w:t>IČO:26949121</w:t>
      </w:r>
    </w:p>
    <w:p w:rsidR="00FD00D1" w:rsidRDefault="00983FC6">
      <w:pPr>
        <w:pStyle w:val="Bodytext10"/>
        <w:spacing w:after="220" w:line="350" w:lineRule="auto"/>
      </w:pPr>
      <w:r>
        <w:t xml:space="preserve">se sídlem / bydlištěm: ALtýře 1470, č. </w:t>
      </w:r>
      <w:r>
        <w:rPr>
          <w:lang w:val="en-US" w:eastAsia="en-US" w:bidi="en-US"/>
        </w:rPr>
        <w:t xml:space="preserve">or. </w:t>
      </w:r>
      <w:r>
        <w:t>2b, 767 01 Kroměříž, Česká republika Korespondenční adresa je shodná s adresou sídla pojistníka.</w:t>
      </w:r>
    </w:p>
    <w:p w:rsidR="00FD00D1" w:rsidRDefault="00983FC6">
      <w:pPr>
        <w:pStyle w:val="Bodytext10"/>
        <w:spacing w:after="480"/>
      </w:pPr>
      <w:r>
        <w:t xml:space="preserve">(dále jen </w:t>
      </w:r>
      <w:r>
        <w:rPr>
          <w:b/>
          <w:bCs/>
        </w:rPr>
        <w:t>"pojistník")</w:t>
      </w:r>
    </w:p>
    <w:p w:rsidR="00FD00D1" w:rsidRDefault="00983FC6">
      <w:pPr>
        <w:pStyle w:val="Heading510"/>
        <w:keepNext/>
        <w:keepLines/>
        <w:spacing w:after="660" w:line="240" w:lineRule="auto"/>
        <w:jc w:val="center"/>
      </w:pPr>
      <w:bookmarkStart w:id="11" w:name="bookmark16"/>
      <w:bookmarkStart w:id="12" w:name="bookmark17"/>
      <w:bookmarkStart w:id="13" w:name="bookmark18"/>
      <w:r>
        <w:rPr>
          <w:shd w:val="clear" w:color="auto" w:fill="auto"/>
          <w:lang w:val="cs-CZ" w:eastAsia="cs-CZ" w:bidi="cs-CZ"/>
        </w:rPr>
        <w:t>uzavírají</w:t>
      </w:r>
      <w:bookmarkEnd w:id="11"/>
      <w:bookmarkEnd w:id="12"/>
      <w:bookmarkEnd w:id="13"/>
    </w:p>
    <w:p w:rsidR="00FD00D1" w:rsidRDefault="00983FC6">
      <w:pPr>
        <w:pStyle w:val="Bodytext10"/>
        <w:spacing w:after="360"/>
        <w:jc w:val="both"/>
      </w:pPr>
      <w:r>
        <w:t>podle zákona č. 89/2012 Sb., občanský zákoník, v platném znění, tento dodatek k pojistné smlouvě (dále jen "dodatek"), který spolu s pojistným, podmínkami pojistitele uvedenými v článku 1. tohoto dodatku a přílohami tohoto dodatku tvoří nedílný celek.</w:t>
      </w:r>
    </w:p>
    <w:p w:rsidR="00FD00D1" w:rsidRDefault="00983FC6">
      <w:pPr>
        <w:pStyle w:val="Heading610"/>
        <w:keepNext/>
        <w:keepLines/>
        <w:pBdr>
          <w:bottom w:val="single" w:sz="4" w:space="0" w:color="auto"/>
        </w:pBdr>
        <w:spacing w:after="200"/>
        <w:jc w:val="center"/>
      </w:pPr>
      <w:bookmarkStart w:id="14" w:name="bookmark19"/>
      <w:bookmarkStart w:id="15" w:name="bookmark20"/>
      <w:bookmarkStart w:id="16" w:name="bookmark21"/>
      <w:r>
        <w:t>ČLÁNEK 1</w:t>
      </w:r>
      <w:r>
        <w:br/>
      </w:r>
      <w:r>
        <w:rPr>
          <w:u w:val="single"/>
        </w:rPr>
        <w:t>Úvodní ustanovení</w:t>
      </w:r>
      <w:bookmarkEnd w:id="14"/>
      <w:bookmarkEnd w:id="15"/>
      <w:bookmarkEnd w:id="16"/>
    </w:p>
    <w:p w:rsidR="00FD00D1" w:rsidRDefault="00983FC6">
      <w:pPr>
        <w:pStyle w:val="Bodytext10"/>
        <w:numPr>
          <w:ilvl w:val="0"/>
          <w:numId w:val="1"/>
        </w:numPr>
        <w:tabs>
          <w:tab w:val="left" w:pos="325"/>
        </w:tabs>
        <w:jc w:val="both"/>
      </w:pPr>
      <w:bookmarkStart w:id="17" w:name="bookmark22"/>
      <w:bookmarkEnd w:id="17"/>
      <w:r>
        <w:t>Po změnách provedených tímto dodatkem je sjednaný rozsah pojištění následující:</w:t>
      </w:r>
    </w:p>
    <w:p w:rsidR="00FD00D1" w:rsidRDefault="00983FC6">
      <w:pPr>
        <w:pStyle w:val="Bodytext10"/>
        <w:numPr>
          <w:ilvl w:val="0"/>
          <w:numId w:val="1"/>
        </w:numPr>
        <w:tabs>
          <w:tab w:val="left" w:pos="325"/>
        </w:tabs>
        <w:spacing w:after="300"/>
        <w:jc w:val="both"/>
      </w:pPr>
      <w:bookmarkStart w:id="18" w:name="bookmark23"/>
      <w:bookmarkEnd w:id="18"/>
      <w:r>
        <w:t>Pojistník je zároveň pojištěným.</w:t>
      </w:r>
    </w:p>
    <w:p w:rsidR="00FD00D1" w:rsidRDefault="00983FC6">
      <w:pPr>
        <w:pStyle w:val="Bodytext10"/>
        <w:numPr>
          <w:ilvl w:val="0"/>
          <w:numId w:val="1"/>
        </w:numPr>
        <w:tabs>
          <w:tab w:val="left" w:pos="334"/>
        </w:tabs>
        <w:ind w:left="280" w:hanging="280"/>
        <w:jc w:val="both"/>
      </w:pPr>
      <w:bookmarkStart w:id="19" w:name="bookmark24"/>
      <w:bookmarkEnd w:id="19"/>
      <w:r>
        <w:rPr>
          <w:b/>
          <w:bCs/>
        </w:rPr>
        <w:t>Předmět činností pojištěného ke dni uzavření tohoto dodatku zůstává beze změny a je vymezen pojistnou smlouvou ve znění před nabytím účinnosti tohoto dodatku.</w:t>
      </w:r>
    </w:p>
    <w:p w:rsidR="00FD00D1" w:rsidRDefault="00983FC6">
      <w:pPr>
        <w:pStyle w:val="Heading610"/>
        <w:keepNext/>
        <w:keepLines/>
        <w:numPr>
          <w:ilvl w:val="0"/>
          <w:numId w:val="1"/>
        </w:numPr>
        <w:tabs>
          <w:tab w:val="left" w:pos="339"/>
        </w:tabs>
        <w:spacing w:after="200" w:line="257" w:lineRule="auto"/>
        <w:ind w:left="280" w:hanging="280"/>
        <w:jc w:val="both"/>
      </w:pPr>
      <w:bookmarkStart w:id="20" w:name="bookmark27"/>
      <w:bookmarkStart w:id="21" w:name="bookmark25"/>
      <w:bookmarkStart w:id="22" w:name="bookmark26"/>
      <w:bookmarkStart w:id="23" w:name="bookmark28"/>
      <w:bookmarkEnd w:id="20"/>
      <w:r>
        <w:lastRenderedPageBreak/>
        <w:t>Pro pojištění sjednané tímto dodatkem platí občanský zákoník a ostatní obecně závazné právní předpisy v platném znění, ustanovení tohoto dodatku a následující pojistné podmínky:</w:t>
      </w:r>
      <w:bookmarkEnd w:id="21"/>
      <w:bookmarkEnd w:id="22"/>
      <w:bookmarkEnd w:id="23"/>
    </w:p>
    <w:p w:rsidR="00FD00D1" w:rsidRDefault="00983FC6">
      <w:pPr>
        <w:pStyle w:val="Bodytext10"/>
        <w:spacing w:after="0"/>
        <w:ind w:firstLine="280"/>
        <w:jc w:val="both"/>
      </w:pPr>
      <w:r>
        <w:rPr>
          <w:b/>
          <w:bCs/>
        </w:rPr>
        <w:t xml:space="preserve">P-100/14 - </w:t>
      </w:r>
      <w:r>
        <w:t>Všeobecné pojistné podmínky pro pojištění majetk</w:t>
      </w:r>
      <w:r>
        <w:rPr>
          <w:vertAlign w:val="superscript"/>
        </w:rPr>
        <w:t>1</w:t>
      </w:r>
      <w:r>
        <w:t>' a odpovědnosti</w:t>
      </w:r>
    </w:p>
    <w:p w:rsidR="00FD00D1" w:rsidRDefault="00983FC6">
      <w:pPr>
        <w:pStyle w:val="Bodytext10"/>
        <w:spacing w:after="0"/>
        <w:ind w:firstLine="280"/>
        <w:jc w:val="both"/>
      </w:pPr>
      <w:r>
        <w:rPr>
          <w:b/>
          <w:bCs/>
        </w:rPr>
        <w:t xml:space="preserve">ZSU - 500/15 - </w:t>
      </w:r>
      <w:r>
        <w:t>Zvláštní smluvní ujednání k pojištění odpovědnosti za újmu</w:t>
      </w:r>
    </w:p>
    <w:p w:rsidR="00FD00D1" w:rsidRDefault="00983FC6">
      <w:pPr>
        <w:pStyle w:val="Bodytext10"/>
        <w:spacing w:after="0"/>
        <w:ind w:firstLine="280"/>
        <w:jc w:val="both"/>
      </w:pPr>
      <w:r>
        <w:t>a dále:</w:t>
      </w:r>
    </w:p>
    <w:p w:rsidR="00FD00D1" w:rsidRDefault="00983FC6">
      <w:pPr>
        <w:pStyle w:val="Bodytext10"/>
        <w:spacing w:after="0"/>
        <w:ind w:firstLine="280"/>
        <w:jc w:val="both"/>
      </w:pPr>
      <w:r>
        <w:rPr>
          <w:b/>
          <w:bCs/>
        </w:rPr>
        <w:t xml:space="preserve">P-150/14 - </w:t>
      </w:r>
      <w:r>
        <w:t>Zvláštní pojistné podmínky pro živelní pojištění</w:t>
      </w:r>
    </w:p>
    <w:p w:rsidR="00FD00D1" w:rsidRDefault="00983FC6">
      <w:pPr>
        <w:pStyle w:val="Bodytext10"/>
        <w:spacing w:after="0"/>
        <w:ind w:firstLine="280"/>
        <w:jc w:val="both"/>
      </w:pPr>
      <w:r>
        <w:rPr>
          <w:b/>
          <w:bCs/>
        </w:rPr>
        <w:t xml:space="preserve">P-200/14 - </w:t>
      </w:r>
      <w:r>
        <w:t>Zvláštní pojistné podmínky pro pojištění pro případ odcizení</w:t>
      </w:r>
    </w:p>
    <w:p w:rsidR="00FD00D1" w:rsidRDefault="00983FC6">
      <w:pPr>
        <w:pStyle w:val="Bodytext10"/>
        <w:spacing w:after="0"/>
        <w:ind w:firstLine="280"/>
        <w:jc w:val="both"/>
      </w:pPr>
      <w:r>
        <w:rPr>
          <w:b/>
          <w:bCs/>
        </w:rPr>
        <w:t xml:space="preserve">P-205/14 - </w:t>
      </w:r>
      <w:r>
        <w:t>Dodatkové pojistné podmínky upravující způsoby zabezpečení</w:t>
      </w:r>
    </w:p>
    <w:p w:rsidR="00FD00D1" w:rsidRDefault="00983FC6">
      <w:pPr>
        <w:pStyle w:val="Bodytext10"/>
        <w:ind w:firstLine="280"/>
        <w:jc w:val="both"/>
      </w:pPr>
      <w:r>
        <w:rPr>
          <w:b/>
          <w:bCs/>
        </w:rPr>
        <w:t xml:space="preserve">P-600/14 - </w:t>
      </w:r>
      <w:r>
        <w:t>Zvláštní pojistné podmínky pro pojištění odpovědnosti za újmu</w:t>
      </w:r>
    </w:p>
    <w:p w:rsidR="00FD00D1" w:rsidRDefault="00983FC6">
      <w:pPr>
        <w:pStyle w:val="Bodytext10"/>
        <w:numPr>
          <w:ilvl w:val="0"/>
          <w:numId w:val="1"/>
        </w:numPr>
        <w:tabs>
          <w:tab w:val="left" w:pos="339"/>
        </w:tabs>
        <w:spacing w:after="0"/>
        <w:jc w:val="both"/>
      </w:pPr>
      <w:bookmarkStart w:id="24" w:name="bookmark29"/>
      <w:bookmarkEnd w:id="24"/>
      <w:r>
        <w:rPr>
          <w:b/>
          <w:bCs/>
        </w:rPr>
        <w:t>Doba trvání pojištění</w:t>
      </w:r>
    </w:p>
    <w:p w:rsidR="00FD00D1" w:rsidRDefault="00983FC6">
      <w:pPr>
        <w:pStyle w:val="Bodytext10"/>
        <w:spacing w:after="0"/>
        <w:ind w:firstLine="280"/>
        <w:jc w:val="both"/>
      </w:pPr>
      <w:r>
        <w:rPr>
          <w:b/>
          <w:bCs/>
        </w:rPr>
        <w:t>Počátek účinnosti dodatku: 22.3.2017</w:t>
      </w:r>
    </w:p>
    <w:p w:rsidR="00FD00D1" w:rsidRDefault="00983FC6">
      <w:pPr>
        <w:pStyle w:val="Bodytext10"/>
        <w:ind w:firstLine="280"/>
        <w:jc w:val="both"/>
      </w:pPr>
      <w:r>
        <w:rPr>
          <w:b/>
          <w:bCs/>
        </w:rPr>
        <w:t>Výroční den počátku pojištění: 16.12.</w:t>
      </w:r>
    </w:p>
    <w:p w:rsidR="00FD00D1" w:rsidRDefault="00983FC6">
      <w:pPr>
        <w:pStyle w:val="Bodytext10"/>
        <w:spacing w:after="0"/>
        <w:ind w:left="280"/>
        <w:jc w:val="both"/>
      </w:pPr>
      <w:r>
        <w:t xml:space="preserve">Pojištění se sjednává </w:t>
      </w:r>
      <w:r>
        <w:rPr>
          <w:b/>
          <w:bCs/>
        </w:rPr>
        <w:t xml:space="preserve">na dobu jednoho pojistného roku. </w:t>
      </w:r>
      <w:r>
        <w:t>Pojištění se prodlužuje o další pojistný rok, pokud některá ze smluvních stran nesdělí písemně druhé smluvní straně nejpozději šest týdnů před uplynutím příslušného pojistného roku, že na dalším trvání pojištění nemá zájem. V případě nedodržení Lhůty pro doručení sdělení uvedené v předchozí větě pojištění zaniká až ke konci následujícího pojistného roku, pro který je tato Lhůta dodržena.</w:t>
      </w:r>
    </w:p>
    <w:p w:rsidR="00FD00D1" w:rsidRDefault="00983FC6">
      <w:pPr>
        <w:pStyle w:val="Bodytext10"/>
        <w:spacing w:after="420"/>
        <w:ind w:firstLine="280"/>
        <w:jc w:val="both"/>
      </w:pPr>
      <w:r>
        <w:rPr>
          <w:b/>
          <w:bCs/>
        </w:rPr>
        <w:t xml:space="preserve">Pojištění však zanikne nejpozději k 15.12.2025 </w:t>
      </w:r>
      <w:r>
        <w:t>po tomto dni již k prodloužení pojištění nedochází.</w:t>
      </w:r>
    </w:p>
    <w:p w:rsidR="00FD00D1" w:rsidRDefault="00983FC6">
      <w:pPr>
        <w:pStyle w:val="Bodytext10"/>
        <w:spacing w:after="0"/>
        <w:jc w:val="center"/>
      </w:pPr>
      <w:r>
        <w:rPr>
          <w:b/>
          <w:bCs/>
        </w:rPr>
        <w:t>ČLÁNEK 2</w:t>
      </w:r>
    </w:p>
    <w:p w:rsidR="00FD00D1" w:rsidRDefault="00983FC6">
      <w:pPr>
        <w:pStyle w:val="Heading610"/>
        <w:keepNext/>
        <w:keepLines/>
        <w:spacing w:after="200"/>
        <w:jc w:val="center"/>
      </w:pPr>
      <w:bookmarkStart w:id="25" w:name="bookmark30"/>
      <w:bookmarkStart w:id="26" w:name="bookmark31"/>
      <w:bookmarkStart w:id="27" w:name="bookmark32"/>
      <w:r>
        <w:rPr>
          <w:u w:val="single"/>
        </w:rPr>
        <w:t>Pojištění majetku na místě pojištění</w:t>
      </w:r>
      <w:bookmarkEnd w:id="25"/>
      <w:bookmarkEnd w:id="26"/>
      <w:bookmarkEnd w:id="27"/>
    </w:p>
    <w:p w:rsidR="00FD00D1" w:rsidRDefault="00983FC6">
      <w:pPr>
        <w:pStyle w:val="Bodytext10"/>
        <w:spacing w:line="252" w:lineRule="auto"/>
        <w:jc w:val="both"/>
      </w:pPr>
      <w: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FD00D1" w:rsidRDefault="00983FC6">
      <w:pPr>
        <w:pStyle w:val="Bodytext10"/>
        <w:jc w:val="both"/>
      </w:pPr>
      <w:r>
        <w:rPr>
          <w:b/>
          <w:bCs/>
        </w:rPr>
        <w:t xml:space="preserve">Místo pojištění č. 1: Altýře 1470, č. </w:t>
      </w:r>
      <w:r>
        <w:rPr>
          <w:b/>
          <w:bCs/>
          <w:lang w:val="en-US" w:eastAsia="en-US" w:bidi="en-US"/>
        </w:rPr>
        <w:t xml:space="preserve">or. </w:t>
      </w:r>
      <w:r>
        <w:rPr>
          <w:b/>
          <w:bCs/>
        </w:rPr>
        <w:t>2b, 767 01 Kroměříž Specifikace místa pojištění: parcely č. 5396, 5395, 5397</w:t>
      </w:r>
    </w:p>
    <w:p w:rsidR="00FD00D1" w:rsidRDefault="00983FC6">
      <w:pPr>
        <w:pStyle w:val="Heading610"/>
        <w:keepNext/>
        <w:keepLines/>
        <w:numPr>
          <w:ilvl w:val="0"/>
          <w:numId w:val="2"/>
        </w:numPr>
        <w:tabs>
          <w:tab w:val="left" w:pos="330"/>
        </w:tabs>
        <w:spacing w:after="0" w:line="257" w:lineRule="auto"/>
        <w:jc w:val="both"/>
      </w:pPr>
      <w:bookmarkStart w:id="28" w:name="bookmark35"/>
      <w:bookmarkStart w:id="29" w:name="bookmark33"/>
      <w:bookmarkStart w:id="30" w:name="bookmark34"/>
      <w:bookmarkStart w:id="31" w:name="bookmark36"/>
      <w:bookmarkEnd w:id="28"/>
      <w:r>
        <w:rPr>
          <w:u w:val="single"/>
        </w:rPr>
        <w:t>ŽIVELNÍ POJIŠTĚNÍ</w:t>
      </w:r>
      <w:bookmarkEnd w:id="29"/>
      <w:bookmarkEnd w:id="30"/>
      <w:bookmarkEnd w:id="31"/>
    </w:p>
    <w:p w:rsidR="00FD00D1" w:rsidRDefault="00983FC6">
      <w:pPr>
        <w:pStyle w:val="Bodytext10"/>
        <w:numPr>
          <w:ilvl w:val="1"/>
          <w:numId w:val="2"/>
        </w:numPr>
        <w:tabs>
          <w:tab w:val="left" w:pos="435"/>
        </w:tabs>
        <w:spacing w:line="257" w:lineRule="auto"/>
        <w:ind w:left="380" w:hanging="380"/>
        <w:jc w:val="both"/>
      </w:pPr>
      <w:bookmarkStart w:id="32" w:name="bookmark37"/>
      <w:bookmarkEnd w:id="32"/>
      <w:r>
        <w:rPr>
          <w:u w:val="single"/>
        </w:rPr>
        <w:t xml:space="preserve">Sjednává se základní živelní pojištění proti pojistným nebezpečím: </w:t>
      </w:r>
      <w:r>
        <w:rPr>
          <w:b/>
          <w:bCs/>
          <w:u w:val="single"/>
        </w:rPr>
        <w:t xml:space="preserve">POŽÁRNÍ NEBEZPEČÍ, NÁRAZ NEBO PÁD a KOUŘ </w:t>
      </w:r>
      <w:r>
        <w:rPr>
          <w:u w:val="single"/>
        </w:rPr>
        <w:t>pro tyto pojištěné věci:</w:t>
      </w:r>
    </w:p>
    <w:p w:rsidR="00FD00D1" w:rsidRDefault="00983FC6">
      <w:pPr>
        <w:pStyle w:val="Bodytext10"/>
        <w:jc w:val="both"/>
      </w:pPr>
      <w:r>
        <w:rPr>
          <w:b/>
          <w:bCs/>
        </w:rPr>
        <w:t>NEMOVITÉ OBJEKTY</w:t>
      </w:r>
    </w:p>
    <w:p w:rsidR="00FD00D1" w:rsidRDefault="00983FC6">
      <w:pPr>
        <w:pStyle w:val="Heading610"/>
        <w:keepNext/>
        <w:keepLines/>
        <w:numPr>
          <w:ilvl w:val="2"/>
          <w:numId w:val="2"/>
        </w:numPr>
        <w:tabs>
          <w:tab w:val="left" w:pos="584"/>
        </w:tabs>
        <w:spacing w:after="0"/>
        <w:jc w:val="both"/>
      </w:pPr>
      <w:bookmarkStart w:id="33" w:name="bookmark40"/>
      <w:bookmarkStart w:id="34" w:name="bookmark38"/>
      <w:bookmarkStart w:id="35" w:name="bookmark39"/>
      <w:bookmarkStart w:id="36" w:name="bookmark41"/>
      <w:bookmarkEnd w:id="33"/>
      <w:r>
        <w:t>Soubor budov vlastních.</w:t>
      </w:r>
      <w:bookmarkEnd w:id="34"/>
      <w:bookmarkEnd w:id="35"/>
      <w:bookmarkEnd w:id="36"/>
    </w:p>
    <w:p w:rsidR="00FD00D1" w:rsidRDefault="00983FC6">
      <w:pPr>
        <w:pStyle w:val="Bodytext10"/>
        <w:spacing w:after="0"/>
        <w:ind w:firstLine="540"/>
        <w:jc w:val="both"/>
      </w:pPr>
      <w:r>
        <w:t>Popis: Administrativní budova vč. 2 garáží.</w:t>
      </w:r>
    </w:p>
    <w:p w:rsidR="00FD00D1" w:rsidRDefault="00983FC6">
      <w:pPr>
        <w:pStyle w:val="Bodytext10"/>
        <w:spacing w:after="0"/>
        <w:ind w:firstLine="540"/>
        <w:jc w:val="both"/>
      </w:pPr>
      <w:r>
        <w:t>Pojišťuje se na novou cenu.</w:t>
      </w:r>
    </w:p>
    <w:p w:rsidR="00FD00D1" w:rsidRDefault="00983FC6">
      <w:pPr>
        <w:pStyle w:val="Bodytext10"/>
        <w:ind w:left="540"/>
        <w:jc w:val="both"/>
      </w:pPr>
      <w:r>
        <w:t>Pojistná částka: 27 000 000 Kč. Spoluúčast 10 000 Kč.</w:t>
      </w:r>
    </w:p>
    <w:p w:rsidR="00FD00D1" w:rsidRDefault="00983FC6">
      <w:pPr>
        <w:pStyle w:val="Bodytext10"/>
        <w:jc w:val="both"/>
      </w:pPr>
      <w:r>
        <w:rPr>
          <w:b/>
          <w:bCs/>
        </w:rPr>
        <w:t>MOVITÉ PŘEDMĚTY</w:t>
      </w:r>
    </w:p>
    <w:p w:rsidR="00FD00D1" w:rsidRDefault="00983FC6">
      <w:pPr>
        <w:pStyle w:val="Heading610"/>
        <w:keepNext/>
        <w:keepLines/>
        <w:numPr>
          <w:ilvl w:val="2"/>
          <w:numId w:val="2"/>
        </w:numPr>
        <w:tabs>
          <w:tab w:val="left" w:pos="589"/>
        </w:tabs>
        <w:spacing w:after="0"/>
        <w:jc w:val="both"/>
      </w:pPr>
      <w:bookmarkStart w:id="37" w:name="bookmark44"/>
      <w:bookmarkStart w:id="38" w:name="bookmark42"/>
      <w:bookmarkStart w:id="39" w:name="bookmark43"/>
      <w:bookmarkStart w:id="40" w:name="bookmark45"/>
      <w:bookmarkEnd w:id="37"/>
      <w:r>
        <w:t>Soubor vlastních movitých zařízení a vybavení.</w:t>
      </w:r>
      <w:bookmarkEnd w:id="38"/>
      <w:bookmarkEnd w:id="39"/>
      <w:bookmarkEnd w:id="40"/>
    </w:p>
    <w:p w:rsidR="00FD00D1" w:rsidRDefault="00983FC6">
      <w:pPr>
        <w:pStyle w:val="Bodytext10"/>
        <w:spacing w:after="0"/>
        <w:ind w:firstLine="540"/>
        <w:jc w:val="both"/>
      </w:pPr>
      <w:r>
        <w:t>Pojišťuje se na novou cenu.</w:t>
      </w:r>
    </w:p>
    <w:p w:rsidR="00FD00D1" w:rsidRDefault="00983FC6">
      <w:pPr>
        <w:pStyle w:val="Bodytext10"/>
        <w:ind w:left="540"/>
        <w:jc w:val="both"/>
      </w:pPr>
      <w:r>
        <w:t>Pojistná částka: 500 000 Kč. Spoluúčast 5 000 Kč.</w:t>
      </w:r>
    </w:p>
    <w:p w:rsidR="00FD00D1" w:rsidRDefault="00983FC6">
      <w:pPr>
        <w:pStyle w:val="Bodytext10"/>
        <w:spacing w:after="220"/>
      </w:pPr>
      <w:r>
        <w:t>Odchylně od ZPP P-150/14, článku 2., odst. 1, písm. a) se ujednává, že se za přímý úder blesku považuje i dočasné přepětí v elektrorozvodné nebo komunikační sítí, k němuž došlo v důsledku působení blesku na toto vedení. Rozšíření pojistného krytí se vztahuje na poškození nebo zničení elektronických součástí a příslušenství pojištěné nemovitosti (řídící jednotky technologických zařízení, elektronické zabezpečovací systémy, klimatizace apod.). Limit pojistného plnění pro jednu a všechny pojistné události nastalé v průběhu jednoho pojistného roku činí 100 000 Kč.</w:t>
      </w:r>
    </w:p>
    <w:p w:rsidR="00FD00D1" w:rsidRDefault="00983FC6">
      <w:pPr>
        <w:pStyle w:val="Bodytext10"/>
        <w:numPr>
          <w:ilvl w:val="1"/>
          <w:numId w:val="2"/>
        </w:numPr>
        <w:tabs>
          <w:tab w:val="left" w:pos="411"/>
        </w:tabs>
        <w:spacing w:after="0"/>
        <w:jc w:val="both"/>
      </w:pPr>
      <w:bookmarkStart w:id="41" w:name="bookmark46"/>
      <w:bookmarkEnd w:id="41"/>
      <w:r>
        <w:rPr>
          <w:u w:val="single"/>
        </w:rPr>
        <w:t xml:space="preserve">Sjednává se doplňkově živelní pojištění proti pojistnému nebezpečí </w:t>
      </w:r>
      <w:r>
        <w:rPr>
          <w:b/>
          <w:bCs/>
          <w:u w:val="single"/>
        </w:rPr>
        <w:t xml:space="preserve">VODOVODNÍ NEBEZPEČÍ </w:t>
      </w:r>
      <w:r>
        <w:rPr>
          <w:u w:val="single"/>
        </w:rPr>
        <w:t>pro:</w:t>
      </w:r>
    </w:p>
    <w:p w:rsidR="00FD00D1" w:rsidRDefault="00983FC6">
      <w:pPr>
        <w:pStyle w:val="Heading610"/>
        <w:keepNext/>
        <w:keepLines/>
        <w:numPr>
          <w:ilvl w:val="2"/>
          <w:numId w:val="2"/>
        </w:numPr>
        <w:tabs>
          <w:tab w:val="left" w:pos="564"/>
        </w:tabs>
        <w:spacing w:after="0"/>
        <w:jc w:val="both"/>
      </w:pPr>
      <w:bookmarkStart w:id="42" w:name="bookmark49"/>
      <w:bookmarkStart w:id="43" w:name="bookmark47"/>
      <w:bookmarkStart w:id="44" w:name="bookmark48"/>
      <w:bookmarkStart w:id="45" w:name="bookmark50"/>
      <w:bookmarkEnd w:id="42"/>
      <w:r>
        <w:t>Nemovité objekty, které jsou pojištěny v základním živelním pojištění.</w:t>
      </w:r>
      <w:bookmarkEnd w:id="43"/>
      <w:bookmarkEnd w:id="44"/>
      <w:bookmarkEnd w:id="45"/>
    </w:p>
    <w:p w:rsidR="00FD00D1" w:rsidRDefault="00983FC6">
      <w:pPr>
        <w:pStyle w:val="Bodytext10"/>
        <w:spacing w:after="0"/>
        <w:ind w:firstLine="540"/>
        <w:jc w:val="both"/>
      </w:pPr>
      <w:r>
        <w:t>Limit pojistného plnění (v rámci pojistné částky): 5 000 000 Kč</w:t>
      </w:r>
    </w:p>
    <w:p w:rsidR="00FD00D1" w:rsidRDefault="00983FC6">
      <w:pPr>
        <w:pStyle w:val="Heading610"/>
        <w:keepNext/>
        <w:keepLines/>
        <w:numPr>
          <w:ilvl w:val="2"/>
          <w:numId w:val="2"/>
        </w:numPr>
        <w:tabs>
          <w:tab w:val="left" w:pos="564"/>
        </w:tabs>
        <w:spacing w:after="0"/>
        <w:jc w:val="both"/>
      </w:pPr>
      <w:bookmarkStart w:id="46" w:name="bookmark53"/>
      <w:bookmarkStart w:id="47" w:name="bookmark51"/>
      <w:bookmarkStart w:id="48" w:name="bookmark52"/>
      <w:bookmarkStart w:id="49" w:name="bookmark54"/>
      <w:bookmarkEnd w:id="46"/>
      <w:r>
        <w:t>Movité předměty, které jsou pojištěny v základním živelním pojištění.</w:t>
      </w:r>
      <w:bookmarkEnd w:id="47"/>
      <w:bookmarkEnd w:id="48"/>
      <w:bookmarkEnd w:id="49"/>
    </w:p>
    <w:p w:rsidR="00FD00D1" w:rsidRDefault="00983FC6">
      <w:pPr>
        <w:pStyle w:val="Bodytext10"/>
        <w:spacing w:after="220"/>
        <w:ind w:firstLine="540"/>
        <w:jc w:val="both"/>
      </w:pPr>
      <w:r>
        <w:t>Pojistná částka: 500 000 Kč</w:t>
      </w:r>
    </w:p>
    <w:p w:rsidR="00FD00D1" w:rsidRDefault="00983FC6">
      <w:pPr>
        <w:pStyle w:val="Bodytext10"/>
        <w:spacing w:after="220"/>
        <w:jc w:val="both"/>
      </w:pPr>
      <w:r>
        <w:t>Spoluúčast pro případ škod způsobených vodovodním nebezpečím činí 1 000 Kč.</w:t>
      </w:r>
    </w:p>
    <w:p w:rsidR="00FD00D1" w:rsidRDefault="00983FC6">
      <w:pPr>
        <w:pStyle w:val="Bodytext10"/>
        <w:spacing w:after="220"/>
        <w:jc w:val="both"/>
      </w:pPr>
      <w:r>
        <w:t>Vznikne-lí pojistná událost působením vodovodního nebezpečí, poskytne pojistitel plnění i za vodné a stočné účtované za únik vody, ke kterému došlo v souvislosti s pojistnou událostí. Pojištěný je povinen prokázat výši škody dokladem od smluvního dodavatele vody.</w:t>
      </w:r>
    </w:p>
    <w:p w:rsidR="00FD00D1" w:rsidRDefault="00983FC6">
      <w:pPr>
        <w:pStyle w:val="Bodytext10"/>
        <w:spacing w:after="220" w:line="233" w:lineRule="auto"/>
        <w:jc w:val="both"/>
      </w:pPr>
      <w:r>
        <w:t>Limit pojistného plnění pro jednu a všechny pojistné události nastalé v průběhu jednoho pojistného roku činí 20 000 Kč.</w:t>
      </w:r>
    </w:p>
    <w:p w:rsidR="00FD00D1" w:rsidRDefault="00983FC6">
      <w:pPr>
        <w:pStyle w:val="Bodytext10"/>
        <w:spacing w:after="0"/>
        <w:ind w:left="380" w:hanging="380"/>
        <w:jc w:val="both"/>
      </w:pPr>
      <w:r>
        <w:rPr>
          <w:u w:val="single"/>
        </w:rPr>
        <w:t>1.3 Sjednává se doplňkově živelní n</w:t>
      </w:r>
      <w:r>
        <w:t>e</w:t>
      </w:r>
      <w:r>
        <w:rPr>
          <w:u w:val="single"/>
        </w:rPr>
        <w:t xml:space="preserve">jištění proti pojistným nebezpečím </w:t>
      </w:r>
      <w:r>
        <w:rPr>
          <w:b/>
          <w:bCs/>
          <w:u w:val="single"/>
        </w:rPr>
        <w:t xml:space="preserve">VICHŘICE NEBO KRUPOBITÍ, SESUV, ZEMĚTŘESENÍ a TÍHA SNĚHU NEBO NÁMRAZY </w:t>
      </w:r>
      <w:r>
        <w:rPr>
          <w:u w:val="single"/>
        </w:rPr>
        <w:t>pro:</w:t>
      </w:r>
    </w:p>
    <w:p w:rsidR="00FD00D1" w:rsidRDefault="00983FC6">
      <w:pPr>
        <w:pStyle w:val="Heading610"/>
        <w:keepNext/>
        <w:keepLines/>
        <w:numPr>
          <w:ilvl w:val="0"/>
          <w:numId w:val="3"/>
        </w:numPr>
        <w:tabs>
          <w:tab w:val="left" w:pos="564"/>
        </w:tabs>
        <w:spacing w:after="0"/>
        <w:jc w:val="both"/>
      </w:pPr>
      <w:bookmarkStart w:id="50" w:name="bookmark57"/>
      <w:bookmarkStart w:id="51" w:name="bookmark55"/>
      <w:bookmarkStart w:id="52" w:name="bookmark56"/>
      <w:bookmarkStart w:id="53" w:name="bookmark58"/>
      <w:bookmarkEnd w:id="50"/>
      <w:r>
        <w:t>Nemovité objekty, které jsou pojištěny v základním živelním pojištění.</w:t>
      </w:r>
      <w:bookmarkEnd w:id="51"/>
      <w:bookmarkEnd w:id="52"/>
      <w:bookmarkEnd w:id="53"/>
    </w:p>
    <w:p w:rsidR="00FD00D1" w:rsidRDefault="00983FC6">
      <w:pPr>
        <w:pStyle w:val="Bodytext10"/>
        <w:spacing w:after="220"/>
        <w:ind w:firstLine="540"/>
        <w:jc w:val="both"/>
      </w:pPr>
      <w:r>
        <w:t>Limit pojistného plnění (v rámci pojistné částky): 5 000 000 Kč</w:t>
      </w:r>
    </w:p>
    <w:p w:rsidR="00FD00D1" w:rsidRDefault="00983FC6">
      <w:pPr>
        <w:pStyle w:val="Bodytext10"/>
        <w:spacing w:after="220"/>
        <w:jc w:val="both"/>
      </w:pPr>
      <w:r>
        <w:t>Pojištění se dále vztahuje i na poškození nebo zničení pojištěných věcí v důsledku atmosférických srážek, tzn. působením srážkové vody, která prosákla nebo vnikla do pojištěného prostoru.</w:t>
      </w:r>
    </w:p>
    <w:p w:rsidR="00FD00D1" w:rsidRDefault="00983FC6">
      <w:pPr>
        <w:pStyle w:val="Bodytext10"/>
        <w:spacing w:after="220"/>
        <w:jc w:val="both"/>
      </w:pPr>
      <w:r>
        <w:t>Pojištění se nevztahuje na škody způsobené v důsledku vniknutí srážkové vody do pojištěného prostoru nedostatečně uzavřenými okny, venkovními dveřmi nebo jinými otvory nebo v důsledku zanedbané údržby pojištěné nemovitostí. Pojištěný je povinen po pojistné události neprodleně učinit opatření, aby ke stejné škodě nemohlo dojít při dalším působení srážek.</w:t>
      </w:r>
    </w:p>
    <w:p w:rsidR="00FD00D1" w:rsidRDefault="00983FC6">
      <w:pPr>
        <w:pStyle w:val="Bodytext10"/>
        <w:spacing w:after="220"/>
        <w:jc w:val="both"/>
      </w:pPr>
      <w:r>
        <w:t>Pojistitel poskytne plnění pouze z jedné pojistné události nastalé v průběhu pojistného roku, a to do výše maximálně 30 000 Kč v rámci horní hranice plnění sjednané pro pojistné nebezpečí vichřice nebo krupobití, sesuv, zemětřesení a tíha sněhu nebo námrazy.</w:t>
      </w:r>
    </w:p>
    <w:p w:rsidR="00FD00D1" w:rsidRDefault="00983FC6">
      <w:pPr>
        <w:pStyle w:val="Bodytext10"/>
        <w:spacing w:after="220"/>
        <w:jc w:val="both"/>
      </w:pPr>
      <w:r>
        <w:t>Spoluúčast pro případ škod způsobených vichřicí, krupobitím sesuvem, zemětřesením a tíhou sněhu nebo námrazy činí 1 000 Kč.</w:t>
      </w:r>
    </w:p>
    <w:p w:rsidR="00FD00D1" w:rsidRDefault="00983FC6">
      <w:pPr>
        <w:pStyle w:val="Bodytext10"/>
        <w:spacing w:after="220"/>
        <w:jc w:val="both"/>
      </w:pPr>
      <w:r>
        <w:rPr>
          <w:b/>
          <w:bCs/>
        </w:rPr>
        <w:t xml:space="preserve">Pojištění pro případ škod způsobených tíhou sněhu nebo námrazy </w:t>
      </w:r>
      <w:r>
        <w:t>se vztahuje pouze na škody vzniklé na pojištěných budovách.</w:t>
      </w:r>
    </w:p>
    <w:p w:rsidR="00FD00D1" w:rsidRDefault="00983FC6">
      <w:pPr>
        <w:pStyle w:val="Heading610"/>
        <w:keepNext/>
        <w:keepLines/>
        <w:numPr>
          <w:ilvl w:val="0"/>
          <w:numId w:val="2"/>
        </w:numPr>
        <w:tabs>
          <w:tab w:val="left" w:pos="310"/>
        </w:tabs>
        <w:spacing w:after="0"/>
        <w:jc w:val="both"/>
      </w:pPr>
      <w:bookmarkStart w:id="54" w:name="bookmark61"/>
      <w:bookmarkStart w:id="55" w:name="bookmark59"/>
      <w:bookmarkStart w:id="56" w:name="bookmark60"/>
      <w:bookmarkStart w:id="57" w:name="bookmark62"/>
      <w:bookmarkEnd w:id="54"/>
      <w:r>
        <w:rPr>
          <w:u w:val="single"/>
        </w:rPr>
        <w:t>POUŠTĚNÍ PRO PŘÍPAD ODCIZENÍ</w:t>
      </w:r>
      <w:bookmarkEnd w:id="55"/>
      <w:bookmarkEnd w:id="56"/>
      <w:bookmarkEnd w:id="57"/>
    </w:p>
    <w:p w:rsidR="00FD00D1" w:rsidRDefault="00983FC6">
      <w:pPr>
        <w:pStyle w:val="Bodytext10"/>
        <w:numPr>
          <w:ilvl w:val="1"/>
          <w:numId w:val="2"/>
        </w:numPr>
        <w:tabs>
          <w:tab w:val="left" w:pos="564"/>
        </w:tabs>
        <w:spacing w:after="220"/>
        <w:ind w:left="380" w:hanging="380"/>
        <w:jc w:val="both"/>
      </w:pPr>
      <w:bookmarkStart w:id="58" w:name="bookmark63"/>
      <w:bookmarkEnd w:id="58"/>
      <w:r>
        <w:t xml:space="preserve">Pojištění pro případ odcizení </w:t>
      </w:r>
      <w:r>
        <w:rPr>
          <w:b/>
          <w:bCs/>
        </w:rPr>
        <w:t xml:space="preserve">KRÁDEŽÍ S PŘEKONÁNÍM PŘEKÁŽKY </w:t>
      </w:r>
      <w:r>
        <w:t xml:space="preserve">nebo </w:t>
      </w:r>
      <w:r>
        <w:rPr>
          <w:b/>
          <w:bCs/>
        </w:rPr>
        <w:t xml:space="preserve">LOUPEŽÍ </w:t>
      </w:r>
      <w:r>
        <w:t>se sjednává pro tyto pojištěné věci:</w:t>
      </w:r>
    </w:p>
    <w:p w:rsidR="00FD00D1" w:rsidRDefault="00983FC6">
      <w:pPr>
        <w:pStyle w:val="Bodytext10"/>
        <w:spacing w:after="220"/>
      </w:pPr>
      <w:r>
        <w:rPr>
          <w:b/>
          <w:bCs/>
        </w:rPr>
        <w:t>MOVITÉ PŘEDMĚTY</w:t>
      </w:r>
    </w:p>
    <w:p w:rsidR="00FD00D1" w:rsidRDefault="00983FC6">
      <w:pPr>
        <w:pStyle w:val="Heading610"/>
        <w:keepNext/>
        <w:keepLines/>
        <w:numPr>
          <w:ilvl w:val="2"/>
          <w:numId w:val="2"/>
        </w:numPr>
        <w:tabs>
          <w:tab w:val="left" w:pos="574"/>
        </w:tabs>
        <w:spacing w:after="0"/>
        <w:jc w:val="both"/>
      </w:pPr>
      <w:bookmarkStart w:id="59" w:name="bookmark66"/>
      <w:bookmarkStart w:id="60" w:name="bookmark64"/>
      <w:bookmarkStart w:id="61" w:name="bookmark65"/>
      <w:bookmarkStart w:id="62" w:name="bookmark67"/>
      <w:bookmarkEnd w:id="59"/>
      <w:r>
        <w:t>Soubor vlastních movitých zařízení a vybavení.</w:t>
      </w:r>
      <w:bookmarkEnd w:id="60"/>
      <w:bookmarkEnd w:id="61"/>
      <w:bookmarkEnd w:id="62"/>
    </w:p>
    <w:p w:rsidR="00FD00D1" w:rsidRDefault="00983FC6">
      <w:pPr>
        <w:pStyle w:val="Bodytext10"/>
        <w:spacing w:after="0"/>
        <w:ind w:firstLine="540"/>
        <w:jc w:val="both"/>
      </w:pPr>
      <w:r>
        <w:t>Pojišťuje se na novou cenu.</w:t>
      </w:r>
    </w:p>
    <w:p w:rsidR="00FD00D1" w:rsidRDefault="00983FC6">
      <w:pPr>
        <w:pStyle w:val="Bodytext10"/>
        <w:spacing w:after="0"/>
        <w:ind w:firstLine="540"/>
        <w:jc w:val="both"/>
      </w:pPr>
      <w:r>
        <w:t>Limit pojistného plnění (v rámci pojistné částky): 20 000 Kč</w:t>
      </w:r>
    </w:p>
    <w:p w:rsidR="00FD00D1" w:rsidRDefault="00983FC6">
      <w:pPr>
        <w:pStyle w:val="Bodytext10"/>
        <w:spacing w:after="220"/>
        <w:ind w:firstLine="540"/>
        <w:jc w:val="both"/>
      </w:pPr>
      <w:r>
        <w:t>Spoluúčast: 1 000 Kč</w:t>
      </w:r>
    </w:p>
    <w:p w:rsidR="00FD00D1" w:rsidRDefault="00983FC6">
      <w:pPr>
        <w:pStyle w:val="Bodytext10"/>
        <w:spacing w:after="0"/>
        <w:jc w:val="center"/>
      </w:pPr>
      <w:r>
        <w:rPr>
          <w:b/>
          <w:bCs/>
        </w:rPr>
        <w:t>ČLÁNEK 3.</w:t>
      </w:r>
    </w:p>
    <w:p w:rsidR="00FD00D1" w:rsidRDefault="00983FC6">
      <w:pPr>
        <w:pStyle w:val="Bodytext10"/>
        <w:jc w:val="center"/>
      </w:pPr>
      <w:r>
        <w:rPr>
          <w:b/>
          <w:bCs/>
          <w:u w:val="single"/>
        </w:rPr>
        <w:t>Další druhy pojištění</w:t>
      </w:r>
    </w:p>
    <w:p w:rsidR="00FD00D1" w:rsidRDefault="00983FC6">
      <w:pPr>
        <w:pStyle w:val="Bodytext10"/>
        <w:numPr>
          <w:ilvl w:val="0"/>
          <w:numId w:val="4"/>
        </w:numPr>
        <w:tabs>
          <w:tab w:val="left" w:pos="368"/>
        </w:tabs>
      </w:pPr>
      <w:bookmarkStart w:id="63" w:name="bookmark68"/>
      <w:bookmarkEnd w:id="63"/>
      <w:r>
        <w:rPr>
          <w:b/>
          <w:bCs/>
          <w:u w:val="single"/>
        </w:rPr>
        <w:t>POJIŠTĚNÍ ODPOVĚDNOSTI ZA ÚJMU</w:t>
      </w:r>
    </w:p>
    <w:p w:rsidR="00FD00D1" w:rsidRDefault="00983FC6">
      <w:pPr>
        <w:pStyle w:val="Heading610"/>
        <w:keepNext/>
        <w:keepLines/>
        <w:numPr>
          <w:ilvl w:val="1"/>
          <w:numId w:val="4"/>
        </w:numPr>
        <w:tabs>
          <w:tab w:val="left" w:pos="420"/>
        </w:tabs>
        <w:spacing w:after="0"/>
      </w:pPr>
      <w:bookmarkStart w:id="64" w:name="bookmark71"/>
      <w:bookmarkStart w:id="65" w:name="bookmark69"/>
      <w:bookmarkStart w:id="66" w:name="bookmark70"/>
      <w:bookmarkStart w:id="67" w:name="bookmark72"/>
      <w:bookmarkEnd w:id="64"/>
      <w:r>
        <w:t>Základní pojištění</w:t>
      </w:r>
      <w:bookmarkEnd w:id="65"/>
      <w:bookmarkEnd w:id="66"/>
      <w:bookmarkEnd w:id="67"/>
    </w:p>
    <w:p w:rsidR="00FD00D1" w:rsidRDefault="00983FC6">
      <w:pPr>
        <w:pStyle w:val="Bodytext10"/>
      </w:pPr>
      <w:r>
        <w:t xml:space="preserve">Pojištění se vztahuje na povinnost nahradit újmu </w:t>
      </w:r>
      <w:r>
        <w:rPr>
          <w:b/>
          <w:bCs/>
        </w:rPr>
        <w:t xml:space="preserve">včetně </w:t>
      </w:r>
      <w:r>
        <w:t xml:space="preserve">újmy způsobené </w:t>
      </w:r>
      <w:r>
        <w:rPr>
          <w:b/>
          <w:bCs/>
        </w:rPr>
        <w:t>vadou výrobku a vadou práce po předání.</w:t>
      </w:r>
    </w:p>
    <w:p w:rsidR="00FD00D1" w:rsidRDefault="00983FC6">
      <w:pPr>
        <w:pStyle w:val="Bodytext10"/>
      </w:pPr>
      <w:r>
        <w:t>Pojištění se vztahuje na povinnost nahradit újmu způsobenou v souvislosti s předmětem činnosti pojištěného vymezeného v čl. 1. odst. 3.</w:t>
      </w:r>
    </w:p>
    <w:p w:rsidR="00FD00D1" w:rsidRDefault="00983FC6">
      <w:pPr>
        <w:pStyle w:val="Bodytext10"/>
        <w:spacing w:after="0"/>
      </w:pPr>
      <w:r>
        <w:t>Limit pojistného plnění: 500 000 Kč</w:t>
      </w:r>
    </w:p>
    <w:p w:rsidR="00FD00D1" w:rsidRDefault="00983FC6">
      <w:pPr>
        <w:pStyle w:val="Bodytext10"/>
      </w:pPr>
      <w:r>
        <w:t>Spoluúčast: 2 500 Kč</w:t>
      </w:r>
    </w:p>
    <w:p w:rsidR="00FD00D1" w:rsidRDefault="00983FC6">
      <w:pPr>
        <w:pStyle w:val="Bodytext10"/>
        <w:jc w:val="both"/>
      </w:pPr>
      <w:r>
        <w:t>Pokud činnost (některá z činností), na niž se vztahuje sjednané pojištění, zahrnuje více oborů či podskupin (dále jen "obory činnosti") - jako např. obory činnosti živnosti volné, vztahuje se pojištění pouze na ty obory činnosti, které jsou výslovně uvedeny ve smlouvě, resp. jejích přílohách. Nejsou-li obory činnosti ve smlouvě výslovně uvedeny, vztahuje se pojištění na ty obory činnosti, které měl pojištěný uvedeny v příslušném rejstříku, registru nebo jiné veřejné evidenci ke dni uzavření tohoto dodatku.</w:t>
      </w:r>
    </w:p>
    <w:p w:rsidR="00FD00D1" w:rsidRDefault="00983FC6">
      <w:pPr>
        <w:pStyle w:val="Bodytext10"/>
        <w:jc w:val="both"/>
      </w:pPr>
      <w:r>
        <w:t>Pokud však podle čl. I. odst. 3 tohoto dodatku zůstává předmět činnosti pojištěného ke dni uzavření tohoto dodatku beze změny a současně obory činnosti nebyly vymezeny pojistnou smlouvou ve znění před nabytím účinnosti tohoto dodatku, vztahuje se pojištění na ty obory činnosti, které měl pojištěný uvedeny v příslušném rejstříku, registru nebo jiné veřejné evidenci ke dni uzavření pojistné smlouvy.</w:t>
      </w:r>
    </w:p>
    <w:p w:rsidR="00FD00D1" w:rsidRDefault="00983FC6">
      <w:pPr>
        <w:pStyle w:val="Heading610"/>
        <w:keepNext/>
        <w:keepLines/>
        <w:spacing w:after="200"/>
        <w:jc w:val="both"/>
      </w:pPr>
      <w:bookmarkStart w:id="68" w:name="bookmark73"/>
      <w:bookmarkStart w:id="69" w:name="bookmark74"/>
      <w:bookmarkStart w:id="70" w:name="bookmark75"/>
      <w:r>
        <w:t>Hlavní činnosti pojištěného.</w:t>
      </w:r>
      <w:bookmarkEnd w:id="68"/>
      <w:bookmarkEnd w:id="69"/>
      <w:bookmarkEnd w:id="70"/>
    </w:p>
    <w:p w:rsidR="00FD00D1" w:rsidRDefault="00983FC6">
      <w:pPr>
        <w:pStyle w:val="Bodytext10"/>
      </w:pPr>
      <w:r>
        <w:t>Za hlavní činnosti se považují činnosti s nejvyšším podílem na ročních příjmech pojištěného:</w:t>
      </w:r>
    </w:p>
    <w:p w:rsidR="00FD00D1" w:rsidRDefault="00983FC6">
      <w:pPr>
        <w:pStyle w:val="Bodytext10"/>
        <w:numPr>
          <w:ilvl w:val="0"/>
          <w:numId w:val="5"/>
        </w:numPr>
        <w:tabs>
          <w:tab w:val="left" w:pos="223"/>
        </w:tabs>
        <w:spacing w:after="0"/>
      </w:pPr>
      <w:bookmarkStart w:id="71" w:name="bookmark76"/>
      <w:bookmarkEnd w:id="71"/>
      <w:r>
        <w:t>kancelář - obecně (např. zprostředkovatel...)</w:t>
      </w:r>
    </w:p>
    <w:p w:rsidR="00FD00D1" w:rsidRDefault="00983FC6">
      <w:pPr>
        <w:pStyle w:val="Bodytext10"/>
        <w:numPr>
          <w:ilvl w:val="0"/>
          <w:numId w:val="5"/>
        </w:numPr>
        <w:tabs>
          <w:tab w:val="left" w:pos="233"/>
        </w:tabs>
        <w:spacing w:after="0"/>
      </w:pPr>
      <w:bookmarkStart w:id="72" w:name="bookmark77"/>
      <w:bookmarkEnd w:id="72"/>
      <w:r>
        <w:t>nakládání s odpady (vyjma nebezpečných)</w:t>
      </w:r>
    </w:p>
    <w:p w:rsidR="00FD00D1" w:rsidRDefault="00983FC6">
      <w:pPr>
        <w:pStyle w:val="Bodytext10"/>
        <w:numPr>
          <w:ilvl w:val="0"/>
          <w:numId w:val="5"/>
        </w:numPr>
        <w:tabs>
          <w:tab w:val="left" w:pos="233"/>
        </w:tabs>
      </w:pPr>
      <w:bookmarkStart w:id="73" w:name="bookmark78"/>
      <w:bookmarkEnd w:id="73"/>
      <w:r>
        <w:t>provádění staveb a jejich změn, přípravné práce pro stavby</w:t>
      </w:r>
    </w:p>
    <w:p w:rsidR="00FD00D1" w:rsidRDefault="00983FC6">
      <w:pPr>
        <w:pStyle w:val="Bodytext10"/>
        <w:spacing w:after="0" w:line="252" w:lineRule="auto"/>
      </w:pPr>
      <w:r>
        <w:t>Předpokladem plnění pojistitele je současné splnění následujících podmínek:</w:t>
      </w:r>
    </w:p>
    <w:p w:rsidR="00FD00D1" w:rsidRDefault="00983FC6">
      <w:pPr>
        <w:pStyle w:val="Bodytext10"/>
        <w:numPr>
          <w:ilvl w:val="0"/>
          <w:numId w:val="6"/>
        </w:numPr>
        <w:tabs>
          <w:tab w:val="left" w:pos="368"/>
        </w:tabs>
        <w:spacing w:after="0" w:line="252" w:lineRule="auto"/>
        <w:ind w:left="380" w:hanging="380"/>
        <w:jc w:val="both"/>
      </w:pPr>
      <w:bookmarkStart w:id="74" w:name="bookmark79"/>
      <w:bookmarkEnd w:id="74"/>
      <w:r>
        <w:t>újma byla způsobena v souvislosti s činností, která spadá do předmětu činnosti pojištěného vymezeného v čl. 1. odst. 3,</w:t>
      </w:r>
    </w:p>
    <w:p w:rsidR="00FD00D1" w:rsidRDefault="00983FC6">
      <w:pPr>
        <w:pStyle w:val="Bodytext10"/>
        <w:numPr>
          <w:ilvl w:val="0"/>
          <w:numId w:val="6"/>
        </w:numPr>
        <w:tabs>
          <w:tab w:val="left" w:pos="368"/>
        </w:tabs>
        <w:spacing w:after="0" w:line="252" w:lineRule="auto"/>
        <w:ind w:left="380" w:hanging="380"/>
        <w:jc w:val="both"/>
      </w:pPr>
      <w:bookmarkStart w:id="75" w:name="bookmark80"/>
      <w:bookmarkEnd w:id="75"/>
      <w:r>
        <w:t>pojištěný je v době vzniku škodné události oprávněn k provozování příslušné činnosti na základě obecně závazných právních předpisů,</w:t>
      </w:r>
    </w:p>
    <w:p w:rsidR="00FD00D1" w:rsidRDefault="00983FC6">
      <w:pPr>
        <w:pStyle w:val="Bodytext10"/>
        <w:numPr>
          <w:ilvl w:val="0"/>
          <w:numId w:val="6"/>
        </w:numPr>
        <w:tabs>
          <w:tab w:val="left" w:pos="368"/>
        </w:tabs>
        <w:spacing w:line="252" w:lineRule="auto"/>
        <w:ind w:left="380" w:hanging="380"/>
        <w:jc w:val="both"/>
      </w:pPr>
      <w:bookmarkStart w:id="76" w:name="bookmark81"/>
      <w:bookmarkEnd w:id="76"/>
      <w:r>
        <w:t>odpovědnost za újmu způsobenou v souvislosti s příslušnou činností není z pojištění vyloučena touto pojistnou smlouvou, pojistnými podmínkami nebo zvláštními ujednáními vztahujícími se k pojištění.</w:t>
      </w:r>
    </w:p>
    <w:p w:rsidR="00FD00D1" w:rsidRDefault="00983FC6">
      <w:pPr>
        <w:pStyle w:val="Bodytext10"/>
        <w:jc w:val="both"/>
      </w:pPr>
      <w:r>
        <w:t>Činnosti, které jsou z pojištění odpovědnosti za újmu, případně z pojištění odpovědnosti za újmu způsobenou vadou výrobku nebo vadou práce po předání vyloučeny nebo u nichž je možno sjednat limit pojistného plnění maximálně do výše 5 mil. Kč, jsou uvedeny v ZSU-500/15, která tvoří nedílnou součást této pojistné smlouvy. Mezi činnosti, ve vztahu k nimž je vyloučeno pojištění odpovědnosti za újmu způsobenou vadou výrobku nebo vadou práce po předání patří mj. také činnost:</w:t>
      </w:r>
    </w:p>
    <w:p w:rsidR="00FD00D1" w:rsidRDefault="00983FC6">
      <w:pPr>
        <w:pStyle w:val="Heading610"/>
        <w:keepNext/>
        <w:keepLines/>
        <w:numPr>
          <w:ilvl w:val="0"/>
          <w:numId w:val="5"/>
        </w:numPr>
        <w:tabs>
          <w:tab w:val="left" w:pos="233"/>
        </w:tabs>
        <w:spacing w:after="0"/>
        <w:jc w:val="both"/>
      </w:pPr>
      <w:bookmarkStart w:id="77" w:name="bookmark84"/>
      <w:bookmarkStart w:id="78" w:name="bookmark82"/>
      <w:bookmarkStart w:id="79" w:name="bookmark83"/>
      <w:bookmarkStart w:id="80" w:name="bookmark85"/>
      <w:bookmarkEnd w:id="77"/>
      <w:r>
        <w:t>kancelář - obecně (např. zprostředkovatel...)</w:t>
      </w:r>
      <w:bookmarkEnd w:id="78"/>
      <w:bookmarkEnd w:id="79"/>
      <w:bookmarkEnd w:id="80"/>
    </w:p>
    <w:p w:rsidR="00FD00D1" w:rsidRDefault="00983FC6">
      <w:pPr>
        <w:pStyle w:val="Bodytext10"/>
      </w:pPr>
      <w:r>
        <w:t>která je v této pojistné smlouvě uvedena jako činnost hlavní.</w:t>
      </w:r>
    </w:p>
    <w:p w:rsidR="00FD00D1" w:rsidRDefault="00983FC6">
      <w:pPr>
        <w:pStyle w:val="Bodytext10"/>
        <w:spacing w:after="0"/>
      </w:pPr>
      <w:r>
        <w:t xml:space="preserve">Výše obratu za předcházející rok: </w:t>
      </w:r>
      <w:r>
        <w:rPr>
          <w:b/>
          <w:bCs/>
        </w:rPr>
        <w:t>do 10 000 000 Kč</w:t>
      </w:r>
    </w:p>
    <w:p w:rsidR="00FD00D1" w:rsidRDefault="00983FC6">
      <w:pPr>
        <w:pStyle w:val="Bodytext10"/>
        <w:spacing w:after="0"/>
      </w:pPr>
      <w:r>
        <w:t>Pojištěný je povinen oznámit pojistiteli bez zbytečného odkladu zvýšení ročního obratu nad</w:t>
      </w:r>
    </w:p>
    <w:p w:rsidR="00FD00D1" w:rsidRDefault="00983FC6">
      <w:pPr>
        <w:pStyle w:val="Bodytext10"/>
      </w:pPr>
      <w:r>
        <w:t xml:space="preserve">částku </w:t>
      </w:r>
      <w:r>
        <w:rPr>
          <w:b/>
          <w:bCs/>
        </w:rPr>
        <w:t>12 000 000 Kč</w:t>
      </w:r>
    </w:p>
    <w:p w:rsidR="00FD00D1" w:rsidRDefault="00983FC6">
      <w:pPr>
        <w:pStyle w:val="Bodytext10"/>
        <w:numPr>
          <w:ilvl w:val="1"/>
          <w:numId w:val="4"/>
        </w:numPr>
        <w:tabs>
          <w:tab w:val="left" w:pos="425"/>
        </w:tabs>
        <w:spacing w:after="0"/>
      </w:pPr>
      <w:bookmarkStart w:id="81" w:name="bookmark86"/>
      <w:bookmarkEnd w:id="81"/>
      <w:r>
        <w:rPr>
          <w:b/>
          <w:bCs/>
        </w:rPr>
        <w:t>Připojištění</w:t>
      </w:r>
    </w:p>
    <w:p w:rsidR="00FD00D1" w:rsidRDefault="00983FC6">
      <w:pPr>
        <w:pStyle w:val="Bodytext10"/>
      </w:pPr>
      <w:r>
        <w:t>Sjednává se:</w:t>
      </w:r>
    </w:p>
    <w:p w:rsidR="00FD00D1" w:rsidRDefault="00983FC6">
      <w:pPr>
        <w:pStyle w:val="Bodytext10"/>
        <w:jc w:val="both"/>
      </w:pPr>
      <w:r>
        <w:rPr>
          <w:b/>
          <w:bCs/>
        </w:rPr>
        <w:t>Připojištění "Z", které se vztahuje na povinnost nahradit újmu způsobenou na movité věci, kterou pojištěný převzal za účelem provedení objednané činnosti (dále jen "převzatá věc"), nebo na movité věci nebo zvířeti, které pojištěný oprávněně užívá nebo požívá (dále jen "užívaná věc").</w:t>
      </w:r>
    </w:p>
    <w:p w:rsidR="00FD00D1" w:rsidRDefault="00983FC6">
      <w:pPr>
        <w:pStyle w:val="Bodytext10"/>
        <w:spacing w:after="0"/>
      </w:pPr>
      <w:r>
        <w:t>Pojištění se nevztahuje na povinnost nahradit újmu na:</w:t>
      </w:r>
    </w:p>
    <w:p w:rsidR="00FD00D1" w:rsidRDefault="00983FC6">
      <w:pPr>
        <w:pStyle w:val="Bodytext10"/>
        <w:numPr>
          <w:ilvl w:val="0"/>
          <w:numId w:val="7"/>
        </w:numPr>
        <w:tabs>
          <w:tab w:val="left" w:pos="344"/>
        </w:tabs>
        <w:spacing w:after="0"/>
      </w:pPr>
      <w:bookmarkStart w:id="82" w:name="bookmark87"/>
      <w:bookmarkEnd w:id="82"/>
      <w:r>
        <w:t>užívaných motorových vozidlech,</w:t>
      </w:r>
    </w:p>
    <w:p w:rsidR="00FD00D1" w:rsidRDefault="00983FC6">
      <w:pPr>
        <w:pStyle w:val="Bodytext10"/>
        <w:numPr>
          <w:ilvl w:val="0"/>
          <w:numId w:val="7"/>
        </w:numPr>
        <w:tabs>
          <w:tab w:val="left" w:pos="344"/>
        </w:tabs>
      </w:pPr>
      <w:bookmarkStart w:id="83" w:name="bookmark88"/>
      <w:bookmarkEnd w:id="83"/>
      <w:r>
        <w:t>převzatém zvířeti.</w:t>
      </w:r>
    </w:p>
    <w:p w:rsidR="00FD00D1" w:rsidRDefault="00983FC6">
      <w:pPr>
        <w:pStyle w:val="Bodytext10"/>
        <w:spacing w:after="0"/>
      </w:pPr>
      <w:r>
        <w:t>Pojištění se nevztahuje na povinnost nahradit újmu na převzatých motorových vozidlech.</w:t>
      </w:r>
    </w:p>
    <w:p w:rsidR="00FD00D1" w:rsidRDefault="00983FC6">
      <w:pPr>
        <w:pStyle w:val="Bodytext10"/>
        <w:jc w:val="both"/>
      </w:pPr>
      <w:r>
        <w:t>Pojištěný je povinen uložit a zabezpečit převzaté a užívané věci podle jejich charakteru a hodnoty tak, aby toto zabezpečení minimálně odpovídalo předepsanému způsobu zabezpečení vyplývajícímu z pojistných podmínek upravujících způsoby zabezpečení. Je-li požadovaný způsob zabezpečení stanoven ve vazbě na horní hranící pojistného plnění, pojištěný porušil povinnost vyplývající z předchozí věty a porušení této povinnosti mělo podstatný vliv na vznik pojistné události, její průběh nebo na zvětšení rozsahu jejích následků, neposkytne pojistitel z takové pojistné události plnění v rozsahu větším, než jaký podle Dodatkových pojistných podmínek upravujících způsoby zabezpečení odpovídá skutečnému způsobu zabezpečení věcí v době vzniku pojistné události.</w:t>
      </w:r>
    </w:p>
    <w:p w:rsidR="00FD00D1" w:rsidRDefault="00983FC6">
      <w:pPr>
        <w:pStyle w:val="Bodytext10"/>
        <w:spacing w:after="0"/>
      </w:pPr>
      <w:r>
        <w:rPr>
          <w:lang w:val="en-US" w:eastAsia="en-US" w:bidi="en-US"/>
        </w:rPr>
        <w:t xml:space="preserve">SubLimit: </w:t>
      </w:r>
      <w:r>
        <w:t>50 000 Kč</w:t>
      </w:r>
    </w:p>
    <w:p w:rsidR="00FD00D1" w:rsidRDefault="00983FC6">
      <w:pPr>
        <w:pStyle w:val="Bodytext10"/>
      </w:pPr>
      <w:r>
        <w:t>Spoluúčast: 2 500 Kč</w:t>
      </w:r>
    </w:p>
    <w:p w:rsidR="00FD00D1" w:rsidRDefault="00983FC6">
      <w:pPr>
        <w:pStyle w:val="Heading610"/>
        <w:keepNext/>
        <w:keepLines/>
        <w:numPr>
          <w:ilvl w:val="1"/>
          <w:numId w:val="4"/>
        </w:numPr>
        <w:tabs>
          <w:tab w:val="left" w:pos="395"/>
        </w:tabs>
        <w:spacing w:after="200"/>
      </w:pPr>
      <w:bookmarkStart w:id="84" w:name="bookmark91"/>
      <w:bookmarkStart w:id="85" w:name="bookmark89"/>
      <w:bookmarkStart w:id="86" w:name="bookmark90"/>
      <w:bookmarkStart w:id="87" w:name="bookmark92"/>
      <w:bookmarkEnd w:id="84"/>
      <w:r>
        <w:t>Územní platnost</w:t>
      </w:r>
      <w:bookmarkEnd w:id="85"/>
      <w:bookmarkEnd w:id="86"/>
      <w:bookmarkEnd w:id="87"/>
    </w:p>
    <w:p w:rsidR="00FD00D1" w:rsidRDefault="00983FC6">
      <w:pPr>
        <w:pStyle w:val="Bodytext10"/>
        <w:spacing w:after="420"/>
      </w:pPr>
      <w:r>
        <w:t>Pojištění se sjednává s územní platností: území České republiky.</w:t>
      </w:r>
    </w:p>
    <w:p w:rsidR="00FD00D1" w:rsidRDefault="00983FC6">
      <w:pPr>
        <w:pStyle w:val="Bodytext10"/>
        <w:spacing w:after="0"/>
        <w:jc w:val="center"/>
      </w:pPr>
      <w:r>
        <w:rPr>
          <w:b/>
          <w:bCs/>
        </w:rPr>
        <w:t>ČLÁNEK 4.</w:t>
      </w:r>
    </w:p>
    <w:p w:rsidR="00FD00D1" w:rsidRDefault="00983FC6">
      <w:pPr>
        <w:pStyle w:val="Heading610"/>
        <w:keepNext/>
        <w:keepLines/>
        <w:spacing w:after="200"/>
        <w:jc w:val="center"/>
      </w:pPr>
      <w:bookmarkStart w:id="88" w:name="bookmark93"/>
      <w:bookmarkStart w:id="89" w:name="bookmark94"/>
      <w:bookmarkStart w:id="90" w:name="bookmark95"/>
      <w:r>
        <w:rPr>
          <w:u w:val="single"/>
        </w:rPr>
        <w:t>Zvláštní údaje a ujednání</w:t>
      </w:r>
      <w:bookmarkEnd w:id="88"/>
      <w:bookmarkEnd w:id="89"/>
      <w:bookmarkEnd w:id="90"/>
    </w:p>
    <w:p w:rsidR="00FD00D1" w:rsidRDefault="00983FC6">
      <w:pPr>
        <w:pStyle w:val="Bodytext10"/>
      </w:pPr>
      <w:r>
        <w:t>Nastane-lí škodná událost následkem vichřice nebo v přímé souvislosti s vichřicí do 10 dnů po sjednání pojištění, není pojistitel z této škodné události povinen poskytnout pojistné plnění.</w:t>
      </w:r>
    </w:p>
    <w:p w:rsidR="00FD00D1" w:rsidRDefault="00983FC6">
      <w:pPr>
        <w:pStyle w:val="Bodytext10"/>
        <w:spacing w:line="257" w:lineRule="auto"/>
      </w:pPr>
      <w:r>
        <w:t>V případě krádeže z výlohy nebo z vitríny či pultu, které jsou umístěny uvnitř provozovny pojištěného, kde překonání překážky spočívalo v rozbití jejich skla nebo v překonání jejich zámku, poskytne pojistitel pojistné plnění do výše:</w:t>
      </w:r>
    </w:p>
    <w:p w:rsidR="00FD00D1" w:rsidRDefault="00983FC6">
      <w:pPr>
        <w:pStyle w:val="Bodytext10"/>
        <w:numPr>
          <w:ilvl w:val="0"/>
          <w:numId w:val="8"/>
        </w:numPr>
        <w:tabs>
          <w:tab w:val="left" w:pos="344"/>
        </w:tabs>
        <w:ind w:left="280" w:hanging="280"/>
      </w:pPr>
      <w:bookmarkStart w:id="91" w:name="bookmark96"/>
      <w:bookmarkEnd w:id="91"/>
      <w:r>
        <w:rPr>
          <w:b/>
          <w:bCs/>
        </w:rPr>
        <w:t xml:space="preserve">5 % z horní hranice pojistného plnění </w:t>
      </w:r>
      <w:r>
        <w:t xml:space="preserve">sjednané v místě pojištění pro pojištění skupiny věcí, do které náležely odcizené věci pojištěné proti odcizení, </w:t>
      </w:r>
      <w:r>
        <w:rPr>
          <w:b/>
          <w:bCs/>
        </w:rPr>
        <w:t xml:space="preserve">maximálně však 20 000 Kč, </w:t>
      </w:r>
      <w:r>
        <w:t xml:space="preserve">jde-Li o </w:t>
      </w:r>
      <w:r>
        <w:rPr>
          <w:b/>
          <w:bCs/>
        </w:rPr>
        <w:t>cenné předměty, věci umělecké, historické nebo sběratelské hodnoty nebo elektroniku,</w:t>
      </w:r>
    </w:p>
    <w:p w:rsidR="00FD00D1" w:rsidRDefault="00983FC6">
      <w:pPr>
        <w:pStyle w:val="Bodytext10"/>
        <w:numPr>
          <w:ilvl w:val="0"/>
          <w:numId w:val="9"/>
        </w:numPr>
        <w:tabs>
          <w:tab w:val="left" w:pos="344"/>
        </w:tabs>
        <w:spacing w:line="254" w:lineRule="auto"/>
        <w:ind w:left="280" w:hanging="280"/>
      </w:pPr>
      <w:bookmarkStart w:id="92" w:name="bookmark97"/>
      <w:bookmarkEnd w:id="92"/>
      <w:r>
        <w:rPr>
          <w:b/>
          <w:bCs/>
        </w:rPr>
        <w:t xml:space="preserve">10 % z horní hranice pojistného plnění </w:t>
      </w:r>
      <w:r>
        <w:t xml:space="preserve">sjednané v místě pojištění pro pojištění skupiny věcí, do které náležely odcizené věci pojištěné proti odcizení, </w:t>
      </w:r>
      <w:r>
        <w:rPr>
          <w:b/>
          <w:bCs/>
        </w:rPr>
        <w:t xml:space="preserve">maximálně však 50 000 Kč, </w:t>
      </w:r>
      <w:r>
        <w:t xml:space="preserve">jde-li o </w:t>
      </w:r>
      <w:r>
        <w:rPr>
          <w:b/>
          <w:bCs/>
        </w:rPr>
        <w:t>ostatní pojištěné věci (jiné než výše uvedené).</w:t>
      </w:r>
    </w:p>
    <w:p w:rsidR="00FD00D1" w:rsidRDefault="00983FC6">
      <w:pPr>
        <w:pStyle w:val="Bodytext10"/>
      </w:pPr>
      <w:r>
        <w:t>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w:t>
      </w:r>
    </w:p>
    <w:p w:rsidR="00FD00D1" w:rsidRDefault="00983FC6">
      <w:pPr>
        <w:pStyle w:val="Bodytext10"/>
      </w:pPr>
      <w:r>
        <w:t>Ujednává se, že kromě pojistných podmínek uvedených v čl. 1 odst. 3) této pojistné smlouvy platí pro pojištění sjednané touto smlouvou rovněž přiložené Smluvní ujednání RENOMIA SUR-505/15.</w:t>
      </w:r>
      <w:r>
        <w:br w:type="page"/>
      </w:r>
    </w:p>
    <w:p w:rsidR="00FD00D1" w:rsidRDefault="00983FC6">
      <w:pPr>
        <w:pStyle w:val="Heading610"/>
        <w:keepNext/>
        <w:keepLines/>
        <w:spacing w:after="0"/>
        <w:jc w:val="center"/>
      </w:pPr>
      <w:bookmarkStart w:id="93" w:name="bookmark100"/>
      <w:bookmarkStart w:id="94" w:name="bookmark98"/>
      <w:bookmarkStart w:id="95" w:name="bookmark99"/>
      <w:r>
        <w:t>ČLÁNEK 5.</w:t>
      </w:r>
      <w:bookmarkEnd w:id="93"/>
      <w:bookmarkEnd w:id="94"/>
      <w:bookmarkEnd w:id="95"/>
    </w:p>
    <w:p w:rsidR="00FD00D1" w:rsidRDefault="00983FC6">
      <w:pPr>
        <w:pStyle w:val="Heading610"/>
        <w:keepNext/>
        <w:keepLines/>
        <w:spacing w:after="420"/>
        <w:jc w:val="center"/>
      </w:pPr>
      <w:bookmarkStart w:id="96" w:name="bookmark101"/>
      <w:bookmarkStart w:id="97" w:name="bookmark102"/>
      <w:bookmarkStart w:id="98" w:name="bookmark103"/>
      <w:r>
        <w:rPr>
          <w:u w:val="single"/>
        </w:rPr>
        <w:t>Údaje o pojistném</w:t>
      </w:r>
      <w:bookmarkEnd w:id="96"/>
      <w:bookmarkEnd w:id="97"/>
      <w:bookmarkEnd w:id="98"/>
    </w:p>
    <w:p w:rsidR="00FD00D1" w:rsidRDefault="00983FC6">
      <w:pPr>
        <w:pStyle w:val="Tablecaption10"/>
        <w:spacing w:after="100"/>
        <w:ind w:firstLine="0"/>
      </w:pPr>
      <w:r>
        <w:rPr>
          <w:b/>
          <w:bCs/>
        </w:rPr>
        <w:t>1. Pojistné:</w:t>
      </w:r>
    </w:p>
    <w:p w:rsidR="00FD00D1" w:rsidRDefault="00983FC6">
      <w:pPr>
        <w:pStyle w:val="Tablecaption10"/>
        <w:spacing w:after="0"/>
        <w:ind w:firstLine="0"/>
      </w:pPr>
      <w:r>
        <w:t>Po zohlednění změn sjednaných tímto dodatkem je výsledná výše pojistného následující: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68"/>
        <w:gridCol w:w="1133"/>
      </w:tblGrid>
      <w:tr w:rsidR="00FD00D1">
        <w:trPr>
          <w:trHeight w:hRule="exact" w:val="2400"/>
          <w:jc w:val="center"/>
        </w:trPr>
        <w:tc>
          <w:tcPr>
            <w:tcW w:w="7968" w:type="dxa"/>
            <w:shd w:val="clear" w:color="auto" w:fill="FFFFFF"/>
          </w:tcPr>
          <w:p w:rsidR="00FD00D1" w:rsidRDefault="00983FC6">
            <w:pPr>
              <w:pStyle w:val="Other10"/>
              <w:spacing w:after="80"/>
              <w:ind w:firstLine="260"/>
            </w:pPr>
            <w:r>
              <w:rPr>
                <w:b/>
                <w:bCs/>
              </w:rPr>
              <w:t>Živelní pojištění</w:t>
            </w:r>
          </w:p>
          <w:p w:rsidR="00FD00D1" w:rsidRDefault="00983FC6">
            <w:pPr>
              <w:pStyle w:val="Other10"/>
              <w:tabs>
                <w:tab w:val="left" w:leader="dot" w:pos="5665"/>
              </w:tabs>
              <w:spacing w:after="80"/>
              <w:ind w:firstLine="260"/>
            </w:pPr>
            <w:r>
              <w:t xml:space="preserve">Roční pojistné </w:t>
            </w:r>
            <w:r>
              <w:tab/>
            </w:r>
          </w:p>
          <w:p w:rsidR="00FD00D1" w:rsidRDefault="00983FC6">
            <w:pPr>
              <w:pStyle w:val="Other10"/>
              <w:spacing w:after="80"/>
              <w:ind w:firstLine="260"/>
            </w:pPr>
            <w:r>
              <w:rPr>
                <w:b/>
                <w:bCs/>
              </w:rPr>
              <w:t>Pojištění pro případ odcizení</w:t>
            </w:r>
          </w:p>
          <w:p w:rsidR="00FD00D1" w:rsidRDefault="00983FC6">
            <w:pPr>
              <w:pStyle w:val="Other10"/>
              <w:tabs>
                <w:tab w:val="left" w:leader="dot" w:pos="5674"/>
              </w:tabs>
              <w:spacing w:after="80"/>
              <w:ind w:firstLine="260"/>
            </w:pPr>
            <w:r>
              <w:t xml:space="preserve">Roční pojistné </w:t>
            </w:r>
            <w:r>
              <w:tab/>
            </w:r>
          </w:p>
          <w:p w:rsidR="00FD00D1" w:rsidRDefault="00983FC6">
            <w:pPr>
              <w:pStyle w:val="Other10"/>
              <w:spacing w:after="80"/>
              <w:ind w:firstLine="260"/>
            </w:pPr>
            <w:r>
              <w:rPr>
                <w:b/>
                <w:bCs/>
              </w:rPr>
              <w:t>Pojištění odpovědnosti za újmu - základní</w:t>
            </w:r>
          </w:p>
          <w:p w:rsidR="00FD00D1" w:rsidRDefault="00983FC6">
            <w:pPr>
              <w:pStyle w:val="Other10"/>
              <w:tabs>
                <w:tab w:val="left" w:leader="dot" w:pos="5665"/>
              </w:tabs>
              <w:spacing w:after="80"/>
              <w:ind w:firstLine="260"/>
            </w:pPr>
            <w:r>
              <w:t xml:space="preserve">Roční pojistné </w:t>
            </w:r>
            <w:r>
              <w:tab/>
            </w:r>
          </w:p>
          <w:p w:rsidR="00FD00D1" w:rsidRDefault="00983FC6">
            <w:pPr>
              <w:pStyle w:val="Other10"/>
              <w:spacing w:after="80"/>
              <w:ind w:firstLine="260"/>
            </w:pPr>
            <w:r>
              <w:rPr>
                <w:b/>
                <w:bCs/>
              </w:rPr>
              <w:t>Pojištění odpovědnosti za újmu - připojištění</w:t>
            </w:r>
          </w:p>
          <w:p w:rsidR="00FD00D1" w:rsidRDefault="00983FC6">
            <w:pPr>
              <w:pStyle w:val="Other10"/>
              <w:tabs>
                <w:tab w:val="left" w:leader="dot" w:pos="5665"/>
              </w:tabs>
              <w:spacing w:after="80"/>
              <w:ind w:firstLine="260"/>
            </w:pPr>
            <w:r>
              <w:t xml:space="preserve">Roční pojistné </w:t>
            </w:r>
            <w:r>
              <w:tab/>
            </w:r>
          </w:p>
        </w:tc>
        <w:tc>
          <w:tcPr>
            <w:tcW w:w="1133" w:type="dxa"/>
            <w:shd w:val="clear" w:color="auto" w:fill="FFFFFF"/>
            <w:vAlign w:val="center"/>
          </w:tcPr>
          <w:p w:rsidR="00FD00D1" w:rsidRDefault="00983FC6">
            <w:pPr>
              <w:pStyle w:val="Other10"/>
              <w:spacing w:after="380"/>
              <w:ind w:firstLine="260"/>
              <w:jc w:val="both"/>
            </w:pPr>
            <w:r>
              <w:t>10 752 Kč</w:t>
            </w:r>
          </w:p>
          <w:p w:rsidR="00FD00D1" w:rsidRDefault="00983FC6">
            <w:pPr>
              <w:pStyle w:val="Other10"/>
              <w:spacing w:after="380"/>
              <w:jc w:val="right"/>
            </w:pPr>
            <w:r>
              <w:t>336 Kč</w:t>
            </w:r>
          </w:p>
          <w:p w:rsidR="00FD00D1" w:rsidRDefault="00983FC6">
            <w:pPr>
              <w:pStyle w:val="Other10"/>
              <w:spacing w:after="380"/>
              <w:jc w:val="right"/>
            </w:pPr>
            <w:r>
              <w:t>4 581 Kč</w:t>
            </w:r>
          </w:p>
          <w:p w:rsidR="00FD00D1" w:rsidRDefault="00983FC6">
            <w:pPr>
              <w:pStyle w:val="Other10"/>
              <w:spacing w:after="380"/>
              <w:jc w:val="right"/>
            </w:pPr>
            <w:r>
              <w:t>210 Kč</w:t>
            </w:r>
          </w:p>
        </w:tc>
      </w:tr>
      <w:tr w:rsidR="00FD00D1">
        <w:trPr>
          <w:trHeight w:hRule="exact" w:val="2016"/>
          <w:jc w:val="center"/>
        </w:trPr>
        <w:tc>
          <w:tcPr>
            <w:tcW w:w="7968" w:type="dxa"/>
            <w:tcBorders>
              <w:bottom w:val="single" w:sz="4" w:space="0" w:color="auto"/>
            </w:tcBorders>
            <w:shd w:val="clear" w:color="auto" w:fill="FFFFFF"/>
            <w:vAlign w:val="bottom"/>
          </w:tcPr>
          <w:p w:rsidR="00FD00D1" w:rsidRDefault="00983FC6">
            <w:pPr>
              <w:pStyle w:val="Other10"/>
              <w:tabs>
                <w:tab w:val="left" w:leader="dot" w:pos="6265"/>
              </w:tabs>
              <w:spacing w:after="100"/>
              <w:ind w:firstLine="260"/>
            </w:pPr>
            <w:r>
              <w:rPr>
                <w:b/>
                <w:bCs/>
              </w:rPr>
              <w:t xml:space="preserve">Celkové roční pojistné před úpravou </w:t>
            </w:r>
            <w:r>
              <w:rPr>
                <w:b/>
                <w:bCs/>
              </w:rPr>
              <w:tab/>
            </w:r>
          </w:p>
          <w:p w:rsidR="00FD00D1" w:rsidRDefault="00983FC6">
            <w:pPr>
              <w:pStyle w:val="Other10"/>
              <w:spacing w:after="60"/>
              <w:ind w:firstLine="260"/>
            </w:pPr>
            <w:r>
              <w:rPr>
                <w:b/>
                <w:bCs/>
              </w:rPr>
              <w:t>Sjednává se běžné pojistné s pojistným obdobím 12 měsíců.</w:t>
            </w:r>
          </w:p>
          <w:p w:rsidR="00FD00D1" w:rsidRDefault="00983FC6">
            <w:pPr>
              <w:pStyle w:val="Other10"/>
              <w:tabs>
                <w:tab w:val="left" w:leader="dot" w:pos="6274"/>
              </w:tabs>
              <w:spacing w:after="60"/>
              <w:ind w:firstLine="260"/>
            </w:pPr>
            <w:r>
              <w:rPr>
                <w:b/>
                <w:bCs/>
              </w:rPr>
              <w:t xml:space="preserve">Sleva za délku pojistného období </w:t>
            </w:r>
            <w:r>
              <w:rPr>
                <w:b/>
                <w:bCs/>
              </w:rPr>
              <w:tab/>
            </w:r>
          </w:p>
          <w:p w:rsidR="00FD00D1" w:rsidRDefault="00983FC6">
            <w:pPr>
              <w:pStyle w:val="Other10"/>
              <w:tabs>
                <w:tab w:val="left" w:leader="dot" w:pos="6174"/>
              </w:tabs>
              <w:spacing w:after="60"/>
              <w:ind w:firstLine="260"/>
            </w:pPr>
            <w:r>
              <w:rPr>
                <w:b/>
                <w:bCs/>
              </w:rPr>
              <w:t xml:space="preserve">Jiná sleva / přirážka </w:t>
            </w:r>
            <w:r>
              <w:rPr>
                <w:b/>
                <w:bCs/>
              </w:rPr>
              <w:tab/>
            </w:r>
          </w:p>
          <w:p w:rsidR="00FD00D1" w:rsidRDefault="00983FC6">
            <w:pPr>
              <w:pStyle w:val="Other10"/>
              <w:tabs>
                <w:tab w:val="left" w:leader="dot" w:pos="6366"/>
              </w:tabs>
              <w:spacing w:after="60"/>
              <w:ind w:firstLine="260"/>
            </w:pPr>
            <w:r>
              <w:rPr>
                <w:b/>
                <w:bCs/>
              </w:rPr>
              <w:t xml:space="preserve">Celkem sleva / přirážka </w:t>
            </w:r>
            <w:r>
              <w:rPr>
                <w:b/>
                <w:bCs/>
              </w:rPr>
              <w:tab/>
            </w:r>
          </w:p>
          <w:p w:rsidR="00FD00D1" w:rsidRDefault="00983FC6">
            <w:pPr>
              <w:pStyle w:val="Other10"/>
              <w:tabs>
                <w:tab w:val="left" w:leader="dot" w:pos="6255"/>
              </w:tabs>
              <w:spacing w:after="60"/>
              <w:ind w:firstLine="260"/>
            </w:pPr>
            <w:r>
              <w:rPr>
                <w:b/>
                <w:bCs/>
              </w:rPr>
              <w:t xml:space="preserve">Celkové roční pojistné po úpravě </w:t>
            </w:r>
            <w:r>
              <w:rPr>
                <w:b/>
                <w:bCs/>
              </w:rPr>
              <w:tab/>
            </w:r>
          </w:p>
          <w:p w:rsidR="00FD00D1" w:rsidRDefault="00983FC6">
            <w:pPr>
              <w:pStyle w:val="Other10"/>
              <w:tabs>
                <w:tab w:val="left" w:leader="dot" w:pos="6270"/>
              </w:tabs>
              <w:spacing w:after="60"/>
              <w:ind w:firstLine="260"/>
            </w:pPr>
            <w:r>
              <w:rPr>
                <w:b/>
                <w:bCs/>
              </w:rPr>
              <w:t xml:space="preserve">Pojistné za pojistné období </w:t>
            </w:r>
            <w:r>
              <w:rPr>
                <w:b/>
                <w:bCs/>
              </w:rPr>
              <w:tab/>
            </w:r>
          </w:p>
        </w:tc>
        <w:tc>
          <w:tcPr>
            <w:tcW w:w="1133" w:type="dxa"/>
            <w:shd w:val="clear" w:color="auto" w:fill="FFFFFF"/>
            <w:vAlign w:val="bottom"/>
          </w:tcPr>
          <w:p w:rsidR="00FD00D1" w:rsidRDefault="00983FC6">
            <w:pPr>
              <w:pStyle w:val="Other10"/>
              <w:spacing w:after="380"/>
              <w:ind w:firstLine="260"/>
              <w:jc w:val="both"/>
            </w:pPr>
            <w:r>
              <w:rPr>
                <w:b/>
                <w:bCs/>
              </w:rPr>
              <w:t>15 879 Kč</w:t>
            </w:r>
          </w:p>
          <w:p w:rsidR="00FD00D1" w:rsidRDefault="00983FC6">
            <w:pPr>
              <w:pStyle w:val="Other10"/>
              <w:spacing w:after="60"/>
              <w:jc w:val="right"/>
            </w:pPr>
            <w:r>
              <w:rPr>
                <w:b/>
                <w:bCs/>
              </w:rPr>
              <w:t>-5%</w:t>
            </w:r>
          </w:p>
          <w:p w:rsidR="00FD00D1" w:rsidRDefault="00983FC6">
            <w:pPr>
              <w:pStyle w:val="Other10"/>
              <w:spacing w:after="60"/>
              <w:jc w:val="right"/>
            </w:pPr>
            <w:r>
              <w:rPr>
                <w:b/>
                <w:bCs/>
              </w:rPr>
              <w:t>-30 %</w:t>
            </w:r>
          </w:p>
          <w:p w:rsidR="00FD00D1" w:rsidRDefault="00983FC6">
            <w:pPr>
              <w:pStyle w:val="Other10"/>
              <w:spacing w:after="60"/>
              <w:jc w:val="right"/>
            </w:pPr>
            <w:r>
              <w:rPr>
                <w:b/>
                <w:bCs/>
              </w:rPr>
              <w:t>-35 %</w:t>
            </w:r>
          </w:p>
          <w:p w:rsidR="00FD00D1" w:rsidRDefault="00983FC6">
            <w:pPr>
              <w:pStyle w:val="Other10"/>
              <w:spacing w:after="60"/>
              <w:jc w:val="right"/>
            </w:pPr>
            <w:r>
              <w:rPr>
                <w:b/>
                <w:bCs/>
              </w:rPr>
              <w:t>10 321 Kč</w:t>
            </w:r>
          </w:p>
          <w:p w:rsidR="00FD00D1" w:rsidRDefault="00983FC6">
            <w:pPr>
              <w:pStyle w:val="Other10"/>
              <w:spacing w:after="60"/>
              <w:jc w:val="right"/>
            </w:pPr>
            <w:r>
              <w:rPr>
                <w:b/>
                <w:bCs/>
              </w:rPr>
              <w:t>10 321 Kč</w:t>
            </w:r>
          </w:p>
        </w:tc>
      </w:tr>
    </w:tbl>
    <w:p w:rsidR="00FD00D1" w:rsidRDefault="00FD00D1">
      <w:pPr>
        <w:spacing w:after="519" w:line="1" w:lineRule="exact"/>
      </w:pPr>
    </w:p>
    <w:p w:rsidR="00FD00D1" w:rsidRDefault="00983FC6">
      <w:pPr>
        <w:pStyle w:val="Bodytext10"/>
        <w:numPr>
          <w:ilvl w:val="0"/>
          <w:numId w:val="10"/>
        </w:numPr>
        <w:tabs>
          <w:tab w:val="left" w:pos="325"/>
        </w:tabs>
        <w:ind w:left="260" w:hanging="260"/>
      </w:pPr>
      <w:bookmarkStart w:id="99" w:name="bookmark104"/>
      <w:bookmarkEnd w:id="99"/>
      <w:r>
        <w:t>Vzniklý nedoplatek pojistného za pojistné období, v němž nabyl účinnosti tento dodatek, činí: 2 295 Kč a bude uhrazen prostřednictvím mimořádného předpisu ke dni nabytí účinnosti tohoto dodatku.</w:t>
      </w:r>
    </w:p>
    <w:p w:rsidR="00FD00D1" w:rsidRDefault="00983FC6">
      <w:pPr>
        <w:pStyle w:val="Bodytext10"/>
        <w:numPr>
          <w:ilvl w:val="0"/>
          <w:numId w:val="10"/>
        </w:numPr>
        <w:tabs>
          <w:tab w:val="left" w:pos="330"/>
        </w:tabs>
        <w:spacing w:after="0" w:line="276" w:lineRule="auto"/>
      </w:pPr>
      <w:bookmarkStart w:id="100" w:name="bookmark105"/>
      <w:bookmarkEnd w:id="100"/>
      <w:r>
        <w:rPr>
          <w:b/>
          <w:bCs/>
        </w:rPr>
        <w:t>Pojistné za pojistné období po zohlednění změn provedených tímto dodatkem je splatné:</w:t>
      </w:r>
    </w:p>
    <w:p w:rsidR="00FD00D1" w:rsidRDefault="00983FC6">
      <w:pPr>
        <w:pStyle w:val="Bodytext10"/>
        <w:spacing w:after="0" w:line="276" w:lineRule="auto"/>
        <w:ind w:left="1960"/>
      </w:pPr>
      <w:r>
        <w:t>k 16.12.</w:t>
      </w:r>
    </w:p>
    <w:p w:rsidR="00FD00D1" w:rsidRDefault="00983FC6">
      <w:pPr>
        <w:pStyle w:val="Bodytext10"/>
        <w:spacing w:after="0" w:line="276" w:lineRule="auto"/>
        <w:ind w:left="260" w:firstLine="20"/>
      </w:pPr>
      <w:r>
        <w:rPr>
          <w:noProof/>
          <w:lang w:bidi="ar-SA"/>
        </w:rPr>
        <mc:AlternateContent>
          <mc:Choice Requires="wps">
            <w:drawing>
              <wp:anchor distT="0" distB="203200" distL="0" distR="0" simplePos="0" relativeHeight="125829382" behindDoc="0" locked="0" layoutInCell="1" allowOverlap="1">
                <wp:simplePos x="0" y="0"/>
                <wp:positionH relativeFrom="page">
                  <wp:posOffset>1117600</wp:posOffset>
                </wp:positionH>
                <wp:positionV relativeFrom="paragraph">
                  <wp:posOffset>241300</wp:posOffset>
                </wp:positionV>
                <wp:extent cx="5779135" cy="65532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779135" cy="65532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162"/>
                            </w:tblGrid>
                            <w:tr w:rsidR="00226378">
                              <w:trPr>
                                <w:trHeight w:hRule="exact" w:val="485"/>
                                <w:tblHeader/>
                              </w:trPr>
                              <w:tc>
                                <w:tcPr>
                                  <w:tcW w:w="1162" w:type="dxa"/>
                                  <w:shd w:val="clear" w:color="auto" w:fill="FFFFFF"/>
                                  <w:vAlign w:val="bottom"/>
                                </w:tcPr>
                                <w:p w:rsidR="00226378" w:rsidRDefault="00226378">
                                  <w:pPr>
                                    <w:pStyle w:val="Other10"/>
                                    <w:spacing w:after="0"/>
                                    <w:jc w:val="right"/>
                                    <w:rPr>
                                      <w:sz w:val="42"/>
                                      <w:szCs w:val="42"/>
                                    </w:rPr>
                                  </w:pPr>
                                  <w:r>
                                    <w:rPr>
                                      <w:rFonts w:ascii="Times New Roman" w:eastAsia="Times New Roman" w:hAnsi="Times New Roman" w:cs="Times New Roman"/>
                                      <w:sz w:val="42"/>
                                      <w:szCs w:val="42"/>
                                    </w:rPr>
                                    <w:t>xxxxxxxxxxxxxxxxxx</w:t>
                                  </w:r>
                                </w:p>
                              </w:tc>
                            </w:tr>
                            <w:tr w:rsidR="00226378">
                              <w:trPr>
                                <w:trHeight w:hRule="exact" w:val="547"/>
                              </w:trPr>
                              <w:tc>
                                <w:tcPr>
                                  <w:tcW w:w="1162" w:type="dxa"/>
                                  <w:shd w:val="clear" w:color="auto" w:fill="FFFFFF"/>
                                </w:tcPr>
                                <w:p w:rsidR="00226378" w:rsidRDefault="00226378">
                                  <w:pPr>
                                    <w:rPr>
                                      <w:sz w:val="10"/>
                                      <w:szCs w:val="10"/>
                                    </w:rPr>
                                  </w:pPr>
                                </w:p>
                              </w:tc>
                            </w:tr>
                          </w:tbl>
                          <w:p w:rsidR="00FD00D1" w:rsidRDefault="00FD00D1">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left:0;text-align:left;margin-left:88pt;margin-top:19pt;width:455.05pt;height:51.6pt;z-index:125829382;visibility:visible;mso-wrap-style:square;mso-wrap-distance-left:0;mso-wrap-distance-top:0;mso-wrap-distance-right:0;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162"/>
                      </w:tblGrid>
                      <w:tr w:rsidR="00226378">
                        <w:trPr>
                          <w:trHeight w:hRule="exact" w:val="485"/>
                          <w:tblHeader/>
                        </w:trPr>
                        <w:tc>
                          <w:tcPr>
                            <w:tcW w:w="1162" w:type="dxa"/>
                            <w:shd w:val="clear" w:color="auto" w:fill="FFFFFF"/>
                            <w:vAlign w:val="bottom"/>
                          </w:tcPr>
                          <w:p w:rsidR="00226378" w:rsidRDefault="00226378">
                            <w:pPr>
                              <w:pStyle w:val="Other10"/>
                              <w:spacing w:after="0"/>
                              <w:jc w:val="right"/>
                              <w:rPr>
                                <w:sz w:val="42"/>
                                <w:szCs w:val="42"/>
                              </w:rPr>
                            </w:pPr>
                            <w:r>
                              <w:rPr>
                                <w:rFonts w:ascii="Times New Roman" w:eastAsia="Times New Roman" w:hAnsi="Times New Roman" w:cs="Times New Roman"/>
                                <w:sz w:val="42"/>
                                <w:szCs w:val="42"/>
                              </w:rPr>
                              <w:t>xxxxxxxxxxxxxxxxxx</w:t>
                            </w:r>
                          </w:p>
                        </w:tc>
                      </w:tr>
                      <w:tr w:rsidR="00226378">
                        <w:trPr>
                          <w:trHeight w:hRule="exact" w:val="547"/>
                        </w:trPr>
                        <w:tc>
                          <w:tcPr>
                            <w:tcW w:w="1162" w:type="dxa"/>
                            <w:shd w:val="clear" w:color="auto" w:fill="FFFFFF"/>
                          </w:tcPr>
                          <w:p w:rsidR="00226378" w:rsidRDefault="00226378">
                            <w:pPr>
                              <w:rPr>
                                <w:sz w:val="10"/>
                                <w:szCs w:val="10"/>
                              </w:rPr>
                            </w:pPr>
                          </w:p>
                        </w:tc>
                      </w:tr>
                    </w:tbl>
                    <w:p w:rsidR="00FD00D1" w:rsidRDefault="00FD00D1">
                      <w:pPr>
                        <w:spacing w:line="1" w:lineRule="exact"/>
                      </w:pPr>
                    </w:p>
                  </w:txbxContent>
                </v:textbox>
                <w10:wrap type="topAndBottom" anchorx="page"/>
              </v:shape>
            </w:pict>
          </mc:Fallback>
        </mc:AlternateContent>
      </w:r>
      <w:r>
        <w:t>každého roku převodním příkazem s připomenutím platby na účet pojistitele. Peněžní ústav: Česká spořitelna a.s.</w:t>
      </w:r>
    </w:p>
    <w:p w:rsidR="00FD00D1" w:rsidRDefault="00983FC6">
      <w:pPr>
        <w:pStyle w:val="Heading610"/>
        <w:keepNext/>
        <w:keepLines/>
        <w:spacing w:before="120" w:after="0"/>
        <w:jc w:val="center"/>
      </w:pPr>
      <w:bookmarkStart w:id="101" w:name="bookmark106"/>
      <w:bookmarkStart w:id="102" w:name="bookmark107"/>
      <w:bookmarkStart w:id="103" w:name="bookmark108"/>
      <w:r>
        <w:t>ČLÁNEK 6.</w:t>
      </w:r>
      <w:bookmarkEnd w:id="101"/>
      <w:bookmarkEnd w:id="102"/>
      <w:bookmarkEnd w:id="103"/>
    </w:p>
    <w:p w:rsidR="00FD00D1" w:rsidRDefault="00983FC6">
      <w:pPr>
        <w:pStyle w:val="Bodytext10"/>
        <w:spacing w:after="320"/>
        <w:jc w:val="center"/>
      </w:pPr>
      <w:r>
        <w:rPr>
          <w:b/>
          <w:bCs/>
          <w:u w:val="single"/>
        </w:rPr>
        <w:t>Hlášení škodných událostí</w:t>
      </w:r>
    </w:p>
    <w:p w:rsidR="00FD00D1" w:rsidRDefault="00983FC6">
      <w:pPr>
        <w:pStyle w:val="Bodytext10"/>
        <w:ind w:firstLine="260"/>
      </w:pPr>
      <w:r>
        <w:t>Vznik škodné události hlásí pojistník bez zbytečného odkladu na níže uvedené kontaktní údaje:</w:t>
      </w:r>
    </w:p>
    <w:p w:rsidR="00FD00D1" w:rsidRDefault="00226378">
      <w:pPr>
        <w:pStyle w:val="Bodytext10"/>
        <w:spacing w:after="60"/>
        <w:ind w:firstLine="260"/>
      </w:pPr>
      <w:r>
        <w:t>xxxxxxxxxxxxxxxxxxxx</w:t>
      </w:r>
      <w:r w:rsidR="00983FC6">
        <w:br w:type="page"/>
      </w:r>
    </w:p>
    <w:p w:rsidR="00FD00D1" w:rsidRDefault="00983FC6">
      <w:pPr>
        <w:pStyle w:val="Bodytext10"/>
        <w:spacing w:after="0"/>
        <w:jc w:val="center"/>
      </w:pPr>
      <w:r>
        <w:rPr>
          <w:b/>
          <w:bCs/>
        </w:rPr>
        <w:t>ČLÁNEK 7.</w:t>
      </w:r>
    </w:p>
    <w:p w:rsidR="00FD00D1" w:rsidRDefault="00983FC6">
      <w:pPr>
        <w:pStyle w:val="Heading610"/>
        <w:keepNext/>
        <w:keepLines/>
        <w:spacing w:after="200"/>
        <w:jc w:val="center"/>
      </w:pPr>
      <w:bookmarkStart w:id="104" w:name="bookmark109"/>
      <w:bookmarkStart w:id="105" w:name="bookmark110"/>
      <w:bookmarkStart w:id="106" w:name="bookmark111"/>
      <w:r>
        <w:rPr>
          <w:u w:val="single"/>
        </w:rPr>
        <w:t>Prohlášení pojistníka</w:t>
      </w:r>
      <w:bookmarkEnd w:id="104"/>
      <w:bookmarkEnd w:id="105"/>
      <w:bookmarkEnd w:id="106"/>
    </w:p>
    <w:p w:rsidR="00FD00D1" w:rsidRDefault="00983FC6">
      <w:pPr>
        <w:pStyle w:val="Bodytext10"/>
        <w:numPr>
          <w:ilvl w:val="0"/>
          <w:numId w:val="11"/>
        </w:numPr>
        <w:tabs>
          <w:tab w:val="left" w:pos="320"/>
        </w:tabs>
        <w:spacing w:line="252" w:lineRule="auto"/>
        <w:ind w:left="260" w:hanging="260"/>
        <w:jc w:val="both"/>
      </w:pPr>
      <w:bookmarkStart w:id="107" w:name="bookmark112"/>
      <w:bookmarkEnd w:id="107"/>
      <w:r>
        <w:t xml:space="preserve">Pojistník potvrzuje, že před uzavřením pojistné smlouvy převzal v Listinné nebo, s jeho souhlasem, v jiné textové podobě (např. na trvalém nosiči dat) </w:t>
      </w:r>
      <w:r>
        <w:rPr>
          <w:b/>
          <w:bCs/>
        </w:rPr>
        <w:t xml:space="preserve">Informace pro zájemce o pojištění </w:t>
      </w:r>
      <w:r>
        <w:t>a seznámil se s nimi. Pojistník sí je vědom, že se jedná o důležité informace, které mu napomohou porozumět podmínkám sjednávaného pojištění, obsahují upozornění na důležité aspekty pojištění i významná ustanovení pojistných podmínek.</w:t>
      </w:r>
    </w:p>
    <w:p w:rsidR="00FD00D1" w:rsidRDefault="00983FC6">
      <w:pPr>
        <w:pStyle w:val="Bodytext10"/>
        <w:numPr>
          <w:ilvl w:val="0"/>
          <w:numId w:val="11"/>
        </w:numPr>
        <w:tabs>
          <w:tab w:val="left" w:pos="320"/>
        </w:tabs>
        <w:ind w:left="260" w:hanging="260"/>
        <w:jc w:val="both"/>
      </w:pPr>
      <w:bookmarkStart w:id="108" w:name="bookmark113"/>
      <w:bookmarkEnd w:id="108"/>
      <w:r>
        <w:t xml:space="preserve">Pojistník dále potvrzuje, že před uzavřením pojistné smlouvy převzal v listinné nebo jiné textové podobě (např. na trvalém nosiči dat) </w:t>
      </w:r>
      <w:r>
        <w:rPr>
          <w:b/>
          <w:bCs/>
        </w:rPr>
        <w:t xml:space="preserve">dokumenty uvedené v ČL 1 odst. 3) </w:t>
      </w:r>
      <w:r>
        <w:t>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FD00D1" w:rsidRDefault="00983FC6">
      <w:pPr>
        <w:pStyle w:val="Bodytext10"/>
        <w:numPr>
          <w:ilvl w:val="0"/>
          <w:numId w:val="11"/>
        </w:numPr>
        <w:tabs>
          <w:tab w:val="left" w:pos="320"/>
        </w:tabs>
        <w:jc w:val="both"/>
      </w:pPr>
      <w:bookmarkStart w:id="109" w:name="bookmark114"/>
      <w:bookmarkEnd w:id="109"/>
      <w:r>
        <w:t>Pojistník prohlašuje, že má pojistný zájem na pojištění pojištěného, pokud je osobou od něj odlišnou.</w:t>
      </w:r>
    </w:p>
    <w:p w:rsidR="00FD00D1" w:rsidRDefault="00983FC6">
      <w:pPr>
        <w:pStyle w:val="Bodytext10"/>
        <w:numPr>
          <w:ilvl w:val="0"/>
          <w:numId w:val="11"/>
        </w:numPr>
        <w:tabs>
          <w:tab w:val="left" w:pos="330"/>
        </w:tabs>
        <w:ind w:left="260" w:hanging="260"/>
        <w:jc w:val="both"/>
      </w:pPr>
      <w:bookmarkStart w:id="110" w:name="bookmark115"/>
      <w:bookmarkEnd w:id="110"/>
      <w:r>
        <w:t>Pojistník potvrzuje, že adresa jeho trvalého pobytu/bydliště či sídla a kontakty elektronické komunikace uvedené v této pojistné smlouvě ;sou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rsidR="00FD00D1" w:rsidRDefault="00983FC6">
      <w:pPr>
        <w:pStyle w:val="Bodytext10"/>
        <w:numPr>
          <w:ilvl w:val="0"/>
          <w:numId w:val="11"/>
        </w:numPr>
        <w:tabs>
          <w:tab w:val="left" w:pos="330"/>
        </w:tabs>
        <w:ind w:left="260" w:hanging="260"/>
        <w:jc w:val="both"/>
      </w:pPr>
      <w:bookmarkStart w:id="111" w:name="bookmark116"/>
      <w:bookmarkEnd w:id="111"/>
      <w:r>
        <w:t xml:space="preserve">Pojistník souhlasí, aby pojistitel předával jeho osobní údaje členům pojišťovací skupiny </w:t>
      </w:r>
      <w:r>
        <w:rPr>
          <w:lang w:val="en-US" w:eastAsia="en-US" w:bidi="en-US"/>
        </w:rPr>
        <w:t xml:space="preserve">Vienna </w:t>
      </w:r>
      <w:r>
        <w:t>Insurance Group a Finanční skupiny České spořitelny, a.s. (dále jen "spřízněné osoby"). Pojistník dále souhlasí, aby pojistitel i spřízněné osoby používali jeho osobní údaje, včetně kontaktů pro elektronickou komunikací, za účelem zasílání svých obchodní ch a reklamních sdělení a nabídky služeb.</w:t>
      </w:r>
    </w:p>
    <w:p w:rsidR="00FD00D1" w:rsidRDefault="00983FC6">
      <w:pPr>
        <w:pStyle w:val="Bodytext10"/>
        <w:numPr>
          <w:ilvl w:val="0"/>
          <w:numId w:val="11"/>
        </w:numPr>
        <w:tabs>
          <w:tab w:val="left" w:pos="330"/>
        </w:tabs>
        <w:spacing w:after="420" w:line="254" w:lineRule="auto"/>
        <w:ind w:left="260" w:hanging="260"/>
        <w:jc w:val="both"/>
      </w:pPr>
      <w:bookmarkStart w:id="112" w:name="bookmark117"/>
      <w:bookmarkEnd w:id="112"/>
      <w:r>
        <w:t>Pojistník prohlašuje, že věci nebo jiné hodnoty pojistného zájmu pojištěné touto pojistnou smlouvou nejsou k datu uzavření smlouvy pojištěny proti stejným nebezpečím u jiného pojistitele, pokud není v článku "Zvláštní údaje a ujednání" této smlouvy výslovně uvedeno jinak.</w:t>
      </w:r>
    </w:p>
    <w:p w:rsidR="00FD00D1" w:rsidRDefault="00983FC6">
      <w:pPr>
        <w:pStyle w:val="Bodytext10"/>
        <w:spacing w:after="0"/>
        <w:jc w:val="center"/>
      </w:pPr>
      <w:r>
        <w:rPr>
          <w:b/>
          <w:bCs/>
        </w:rPr>
        <w:t>ČLÁNEK 8.</w:t>
      </w:r>
    </w:p>
    <w:p w:rsidR="00FD00D1" w:rsidRDefault="00983FC6">
      <w:pPr>
        <w:pStyle w:val="Heading610"/>
        <w:keepNext/>
        <w:keepLines/>
        <w:spacing w:after="200"/>
        <w:jc w:val="center"/>
      </w:pPr>
      <w:bookmarkStart w:id="113" w:name="bookmark118"/>
      <w:bookmarkStart w:id="114" w:name="bookmark119"/>
      <w:bookmarkStart w:id="115" w:name="bookmark120"/>
      <w:r>
        <w:rPr>
          <w:u w:val="single"/>
        </w:rPr>
        <w:t>Závěrečná ustanovení</w:t>
      </w:r>
      <w:bookmarkEnd w:id="113"/>
      <w:bookmarkEnd w:id="114"/>
      <w:bookmarkEnd w:id="115"/>
    </w:p>
    <w:p w:rsidR="00FD00D1" w:rsidRDefault="00983FC6">
      <w:pPr>
        <w:pStyle w:val="Bodytext10"/>
        <w:numPr>
          <w:ilvl w:val="0"/>
          <w:numId w:val="12"/>
        </w:numPr>
        <w:tabs>
          <w:tab w:val="left" w:pos="325"/>
        </w:tabs>
        <w:ind w:left="260" w:hanging="260"/>
        <w:jc w:val="both"/>
      </w:pPr>
      <w:bookmarkStart w:id="116" w:name="bookmark121"/>
      <w:bookmarkEnd w:id="116"/>
      <w:r>
        <w:t>Návrh pojistitele na uzavření pojistné smlouvy (dále jen "nabídka") musí být pojistníkem přijat ve Lhůtě stanovené pojistitelem, a není-li taková Lhůta stanovena, pak do jednoho měsíce ode dne doručení nabídky pojistníkovi. Odpověď s dodatkem nebo odchylkou od nabídky se nepovažuje za její přijetí, a to ani v případě, že se takovou odchylkou podstatně nemění podmínky nabídky.</w:t>
      </w:r>
    </w:p>
    <w:p w:rsidR="00FD00D1" w:rsidRDefault="00983FC6">
      <w:pPr>
        <w:pStyle w:val="Bodytext10"/>
        <w:numPr>
          <w:ilvl w:val="0"/>
          <w:numId w:val="12"/>
        </w:numPr>
        <w:tabs>
          <w:tab w:val="left" w:pos="330"/>
        </w:tabs>
        <w:spacing w:line="257" w:lineRule="auto"/>
        <w:ind w:left="260" w:hanging="260"/>
        <w:jc w:val="both"/>
      </w:pPr>
      <w:bookmarkStart w:id="117" w:name="bookmark122"/>
      <w:bookmarkEnd w:id="117"/>
      <w:r>
        <w:t xml:space="preserve">Subjektem věcně příslušným k mimosoudnímu řešení spotřebitelských sporů z tohoto pojištění je Česká obchodní inspekce, Štěpánská 567/15, 120 00 Praha 2, </w:t>
      </w:r>
      <w:hyperlink r:id="rId10" w:history="1">
        <w:r>
          <w:rPr>
            <w:lang w:val="en-US" w:eastAsia="en-US" w:bidi="en-US"/>
          </w:rPr>
          <w:t>www.coi.cz</w:t>
        </w:r>
      </w:hyperlink>
      <w:r>
        <w:rPr>
          <w:lang w:val="en-US" w:eastAsia="en-US" w:bidi="en-US"/>
        </w:rPr>
        <w:t>.</w:t>
      </w:r>
    </w:p>
    <w:p w:rsidR="00FD00D1" w:rsidRDefault="00983FC6">
      <w:pPr>
        <w:pStyle w:val="Bodytext10"/>
        <w:numPr>
          <w:ilvl w:val="0"/>
          <w:numId w:val="12"/>
        </w:numPr>
        <w:tabs>
          <w:tab w:val="left" w:pos="330"/>
        </w:tabs>
        <w:spacing w:after="420"/>
        <w:jc w:val="both"/>
      </w:pPr>
      <w:bookmarkStart w:id="118" w:name="bookmark123"/>
      <w:bookmarkEnd w:id="118"/>
      <w:r>
        <w:t>Dodatek je vyhotoven ve 3 stejnopisech. Pojistník obdrží 1 stejnopis, pojistitel si ponechá 2 stejnopisy.</w:t>
      </w:r>
    </w:p>
    <w:p w:rsidR="00FD00D1" w:rsidRDefault="00226378">
      <w:pPr>
        <w:pStyle w:val="Bodytext10"/>
        <w:spacing w:line="216" w:lineRule="auto"/>
        <w:ind w:firstLine="560"/>
        <w:jc w:val="both"/>
        <w:sectPr w:rsidR="00FD00D1">
          <w:type w:val="continuous"/>
          <w:pgSz w:w="11900" w:h="16840"/>
          <w:pgMar w:top="1718" w:right="1017" w:bottom="1357" w:left="1738" w:header="1290" w:footer="3" w:gutter="0"/>
          <w:cols w:space="720"/>
          <w:noEndnote/>
          <w:docGrid w:linePitch="360"/>
        </w:sectPr>
      </w:pPr>
      <w:r>
        <w:t>xxxxxxxxxxxxxxxxxxxxxxxx</w:t>
      </w:r>
    </w:p>
    <w:p w:rsidR="00FD00D1" w:rsidRDefault="00983FC6">
      <w:pPr>
        <w:pStyle w:val="Heading610"/>
        <w:keepNext/>
        <w:keepLines/>
        <w:spacing w:after="200"/>
        <w:jc w:val="both"/>
      </w:pPr>
      <w:r>
        <w:rPr>
          <w:noProof/>
          <w:lang w:bidi="ar-SA"/>
        </w:rPr>
        <mc:AlternateContent>
          <mc:Choice Requires="wps">
            <w:drawing>
              <wp:anchor distT="0" distB="0" distL="114300" distR="114300" simplePos="0" relativeHeight="125829385" behindDoc="0" locked="0" layoutInCell="1" allowOverlap="1">
                <wp:simplePos x="0" y="0"/>
                <wp:positionH relativeFrom="page">
                  <wp:posOffset>6230620</wp:posOffset>
                </wp:positionH>
                <wp:positionV relativeFrom="paragraph">
                  <wp:posOffset>12700</wp:posOffset>
                </wp:positionV>
                <wp:extent cx="673735" cy="15557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673735" cy="155575"/>
                        </a:xfrm>
                        <a:prstGeom prst="rect">
                          <a:avLst/>
                        </a:prstGeom>
                        <a:noFill/>
                      </wps:spPr>
                      <wps:txbx>
                        <w:txbxContent>
                          <w:p w:rsidR="00FD00D1" w:rsidRDefault="00983FC6">
                            <w:pPr>
                              <w:pStyle w:val="Bodytext10"/>
                              <w:spacing w:after="0"/>
                            </w:pPr>
                            <w:r>
                              <w:rPr>
                                <w:b/>
                                <w:bCs/>
                              </w:rPr>
                              <w:t>ZSU-500/15</w:t>
                            </w:r>
                          </w:p>
                        </w:txbxContent>
                      </wps:txbx>
                      <wps:bodyPr wrap="none" lIns="0" tIns="0" rIns="0" bIns="0"/>
                    </wps:wsp>
                  </a:graphicData>
                </a:graphic>
              </wp:anchor>
            </w:drawing>
          </mc:Choice>
          <mc:Fallback>
            <w:pict>
              <v:shape id="_x0000_s1039" type="#_x0000_t202" style="position:absolute;margin-left:490.60000000000002pt;margin-top:1.pt;width:53.050000000000004pt;height:12.25pt;z-index:-12582936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cs-CZ" w:eastAsia="cs-CZ" w:bidi="cs-CZ"/>
                        </w:rPr>
                        <w:t>ZSU-500/15</w:t>
                      </w:r>
                    </w:p>
                  </w:txbxContent>
                </v:textbox>
                <w10:wrap type="square" anchorx="page"/>
              </v:shape>
            </w:pict>
          </mc:Fallback>
        </mc:AlternateContent>
      </w:r>
      <w:bookmarkStart w:id="119" w:name="bookmark124"/>
      <w:bookmarkStart w:id="120" w:name="bookmark125"/>
      <w:bookmarkStart w:id="121" w:name="bookmark126"/>
      <w:r>
        <w:t>Zvláštní smluvní ujednání k pojištěni odpovědnosti za újmu</w:t>
      </w:r>
      <w:bookmarkEnd w:id="119"/>
      <w:bookmarkEnd w:id="120"/>
      <w:bookmarkEnd w:id="121"/>
    </w:p>
    <w:p w:rsidR="00FD00D1" w:rsidRDefault="00983FC6">
      <w:pPr>
        <w:pStyle w:val="Bodytext10"/>
        <w:spacing w:after="0"/>
        <w:jc w:val="both"/>
      </w:pPr>
      <w:r>
        <w:t>Tato zvláštní smluvní ujednání (dále jen "ZSU") jsou nedílnou součástí pojistné smlouvy.</w:t>
      </w:r>
    </w:p>
    <w:p w:rsidR="00FD00D1" w:rsidRDefault="00983FC6">
      <w:pPr>
        <w:pStyle w:val="Bodytext10"/>
        <w:numPr>
          <w:ilvl w:val="0"/>
          <w:numId w:val="13"/>
        </w:numPr>
        <w:tabs>
          <w:tab w:val="left" w:pos="310"/>
        </w:tabs>
        <w:spacing w:after="0"/>
        <w:jc w:val="both"/>
      </w:pPr>
      <w:bookmarkStart w:id="122" w:name="bookmark127"/>
      <w:bookmarkEnd w:id="122"/>
      <w:r>
        <w:t>případě, že je jakékoli ustanovení těchto ZSU v rozporu s ustanovením pojistné smlouvy, má přednost příslušné ustanovení pojistné smlouvy. Nejsou-Li ustanovení pojistné smlouvy a těchto ZSU v rozporu, platí ustanovení pojistné smlouvy i ZSU zároveň.</w:t>
      </w:r>
    </w:p>
    <w:p w:rsidR="00FD00D1" w:rsidRDefault="00983FC6">
      <w:pPr>
        <w:pStyle w:val="Bodytext10"/>
        <w:numPr>
          <w:ilvl w:val="0"/>
          <w:numId w:val="13"/>
        </w:numPr>
        <w:tabs>
          <w:tab w:val="left" w:pos="310"/>
        </w:tabs>
        <w:jc w:val="both"/>
      </w:pPr>
      <w:bookmarkStart w:id="123" w:name="bookmark128"/>
      <w:bookmarkEnd w:id="123"/>
      <w:r>
        <w:t>případě, že je jakékoli ustanovení pojistných podmínek vztahujících se k pojištění odpovědnosti za újmu v rozporu s ustanovením těchto ZSU, má přednost příslušné ustanovení ZSU. Nejsou-li ustanovení pojistných podmínek a ZSU v rozporu, platí ustanovení pojistných podmínek a ZSU zároveň.</w:t>
      </w:r>
    </w:p>
    <w:p w:rsidR="00FD00D1" w:rsidRDefault="00983FC6">
      <w:pPr>
        <w:pStyle w:val="Heading610"/>
        <w:keepNext/>
        <w:keepLines/>
        <w:spacing w:after="0"/>
        <w:jc w:val="both"/>
      </w:pPr>
      <w:bookmarkStart w:id="124" w:name="bookmark131"/>
      <w:r>
        <w:t>Článek 1</w:t>
      </w:r>
      <w:bookmarkEnd w:id="124"/>
    </w:p>
    <w:p w:rsidR="00FD00D1" w:rsidRDefault="00983FC6">
      <w:pPr>
        <w:pStyle w:val="Heading610"/>
        <w:keepNext/>
        <w:keepLines/>
        <w:spacing w:after="200"/>
        <w:jc w:val="both"/>
      </w:pPr>
      <w:bookmarkStart w:id="125" w:name="bookmark129"/>
      <w:bookmarkStart w:id="126" w:name="bookmark130"/>
      <w:bookmarkStart w:id="127" w:name="bookmark132"/>
      <w:r>
        <w:t>Další výluky z pojištění</w:t>
      </w:r>
      <w:bookmarkEnd w:id="125"/>
      <w:bookmarkEnd w:id="126"/>
      <w:bookmarkEnd w:id="127"/>
    </w:p>
    <w:p w:rsidR="00FD00D1" w:rsidRDefault="00983FC6">
      <w:pPr>
        <w:pStyle w:val="Bodytext10"/>
        <w:spacing w:after="0"/>
        <w:jc w:val="both"/>
      </w:pPr>
      <w:r>
        <w:t>Vedle výluk vyplývajících z příslušných ustanovení pojistných podmínek a pojistné smlouvy se pojištění nevztahuje na povinnost nahradit újmu způsobenou v souvislosti s:</w:t>
      </w:r>
    </w:p>
    <w:p w:rsidR="00FD00D1" w:rsidRDefault="00983FC6">
      <w:pPr>
        <w:pStyle w:val="Bodytext10"/>
        <w:numPr>
          <w:ilvl w:val="0"/>
          <w:numId w:val="14"/>
        </w:numPr>
        <w:tabs>
          <w:tab w:val="left" w:pos="334"/>
        </w:tabs>
        <w:spacing w:after="0"/>
        <w:jc w:val="both"/>
      </w:pPr>
      <w:bookmarkStart w:id="128" w:name="bookmark133"/>
      <w:bookmarkEnd w:id="128"/>
      <w:r>
        <w:t>provozováním tržnic a stánkovým prodejem v tržnicích,</w:t>
      </w:r>
    </w:p>
    <w:p w:rsidR="00FD00D1" w:rsidRDefault="00983FC6">
      <w:pPr>
        <w:pStyle w:val="Bodytext10"/>
        <w:numPr>
          <w:ilvl w:val="0"/>
          <w:numId w:val="14"/>
        </w:numPr>
        <w:tabs>
          <w:tab w:val="left" w:pos="349"/>
        </w:tabs>
        <w:spacing w:after="0"/>
        <w:jc w:val="both"/>
      </w:pPr>
      <w:bookmarkStart w:id="129" w:name="bookmark134"/>
      <w:bookmarkEnd w:id="129"/>
      <w:r>
        <w:t>provozováním zastaváren, heren, non-stop pohostinských zařízení (restaurací, barů apod.),</w:t>
      </w:r>
    </w:p>
    <w:p w:rsidR="00FD00D1" w:rsidRDefault="00983FC6">
      <w:pPr>
        <w:pStyle w:val="Bodytext10"/>
        <w:numPr>
          <w:ilvl w:val="0"/>
          <w:numId w:val="14"/>
        </w:numPr>
        <w:tabs>
          <w:tab w:val="left" w:pos="349"/>
        </w:tabs>
        <w:spacing w:after="0"/>
        <w:ind w:left="260" w:hanging="260"/>
        <w:jc w:val="both"/>
      </w:pPr>
      <w:bookmarkStart w:id="130" w:name="bookmark135"/>
      <w:bookmarkEnd w:id="130"/>
      <w:r>
        <w:t xml:space="preserve">provozováním a pořádáním akcí motoristického sportu, paintballových střelnic, bobových a motokárových drah, vozítek segway, lanových parků, </w:t>
      </w:r>
      <w:r>
        <w:rPr>
          <w:lang w:val="en-US" w:eastAsia="en-US" w:bidi="en-US"/>
        </w:rPr>
        <w:t xml:space="preserve">bungee </w:t>
      </w:r>
      <w:r>
        <w:t>jumpingu, zorbingu, potápění, parasailingu, swoopingu, surfingu, raftingu, canyoningu a obdobných aktivit,</w:t>
      </w:r>
    </w:p>
    <w:p w:rsidR="00FD00D1" w:rsidRDefault="00983FC6">
      <w:pPr>
        <w:pStyle w:val="Bodytext10"/>
        <w:numPr>
          <w:ilvl w:val="0"/>
          <w:numId w:val="14"/>
        </w:numPr>
        <w:tabs>
          <w:tab w:val="left" w:pos="349"/>
        </w:tabs>
        <w:spacing w:after="0"/>
        <w:jc w:val="both"/>
      </w:pPr>
      <w:bookmarkStart w:id="131" w:name="bookmark136"/>
      <w:bookmarkEnd w:id="131"/>
      <w:r>
        <w:t>provozováním a pořádáním cirkusových představení, poutí a pouťových atrakcí, zábavních parků,</w:t>
      </w:r>
    </w:p>
    <w:p w:rsidR="00FD00D1" w:rsidRDefault="00983FC6">
      <w:pPr>
        <w:pStyle w:val="Bodytext10"/>
        <w:numPr>
          <w:ilvl w:val="0"/>
          <w:numId w:val="14"/>
        </w:numPr>
        <w:tabs>
          <w:tab w:val="left" w:pos="349"/>
        </w:tabs>
        <w:spacing w:after="0"/>
        <w:jc w:val="both"/>
      </w:pPr>
      <w:bookmarkStart w:id="132" w:name="bookmark137"/>
      <w:bookmarkEnd w:id="132"/>
      <w:r>
        <w:t>pořádáním tanečních zábav a diskoték pro více než 500 návštěvníků,</w:t>
      </w:r>
    </w:p>
    <w:p w:rsidR="00FD00D1" w:rsidRDefault="00983FC6">
      <w:pPr>
        <w:pStyle w:val="Bodytext10"/>
        <w:numPr>
          <w:ilvl w:val="0"/>
          <w:numId w:val="14"/>
        </w:numPr>
        <w:tabs>
          <w:tab w:val="left" w:pos="349"/>
        </w:tabs>
        <w:spacing w:after="0"/>
        <w:jc w:val="both"/>
      </w:pPr>
      <w:bookmarkStart w:id="133" w:name="bookmark138"/>
      <w:bookmarkEnd w:id="133"/>
      <w:r>
        <w:t>činností kaskadérů,</w:t>
      </w:r>
    </w:p>
    <w:p w:rsidR="00FD00D1" w:rsidRDefault="00983FC6">
      <w:pPr>
        <w:pStyle w:val="Bodytext10"/>
        <w:numPr>
          <w:ilvl w:val="0"/>
          <w:numId w:val="14"/>
        </w:numPr>
        <w:tabs>
          <w:tab w:val="left" w:pos="349"/>
        </w:tabs>
        <w:spacing w:after="0"/>
        <w:jc w:val="both"/>
      </w:pPr>
      <w:bookmarkStart w:id="134" w:name="bookmark139"/>
      <w:bookmarkEnd w:id="134"/>
      <w:r>
        <w:t>provozováním činnosti, při které je porušována integrita lidské kůže,</w:t>
      </w:r>
    </w:p>
    <w:p w:rsidR="00FD00D1" w:rsidRDefault="00983FC6">
      <w:pPr>
        <w:pStyle w:val="Bodytext10"/>
        <w:numPr>
          <w:ilvl w:val="0"/>
          <w:numId w:val="14"/>
        </w:numPr>
        <w:tabs>
          <w:tab w:val="left" w:pos="349"/>
        </w:tabs>
        <w:spacing w:after="0"/>
        <w:jc w:val="both"/>
      </w:pPr>
      <w:bookmarkStart w:id="135" w:name="bookmark140"/>
      <w:bookmarkEnd w:id="135"/>
      <w:r>
        <w:t>ochranou majetku a osob a službami soukromých detektivů,</w:t>
      </w:r>
    </w:p>
    <w:p w:rsidR="00FD00D1" w:rsidRDefault="00983FC6">
      <w:pPr>
        <w:pStyle w:val="Bodytext10"/>
        <w:numPr>
          <w:ilvl w:val="0"/>
          <w:numId w:val="14"/>
        </w:numPr>
        <w:tabs>
          <w:tab w:val="left" w:pos="349"/>
        </w:tabs>
        <w:spacing w:after="0"/>
      </w:pPr>
      <w:bookmarkStart w:id="136" w:name="bookmark141"/>
      <w:bookmarkEnd w:id="136"/>
      <w:r>
        <w:t>činností agentury práce,</w:t>
      </w:r>
    </w:p>
    <w:p w:rsidR="00FD00D1" w:rsidRDefault="00983FC6">
      <w:pPr>
        <w:pStyle w:val="Bodytext10"/>
        <w:numPr>
          <w:ilvl w:val="0"/>
          <w:numId w:val="14"/>
        </w:numPr>
        <w:tabs>
          <w:tab w:val="left" w:pos="349"/>
        </w:tabs>
        <w:spacing w:after="0"/>
      </w:pPr>
      <w:bookmarkStart w:id="137" w:name="bookmark142"/>
      <w:bookmarkEnd w:id="137"/>
      <w:r>
        <w:t>směnárenskou činností,</w:t>
      </w:r>
    </w:p>
    <w:p w:rsidR="00FD00D1" w:rsidRDefault="00983FC6">
      <w:pPr>
        <w:pStyle w:val="Bodytext10"/>
        <w:numPr>
          <w:ilvl w:val="0"/>
          <w:numId w:val="14"/>
        </w:numPr>
        <w:tabs>
          <w:tab w:val="left" w:pos="349"/>
        </w:tabs>
        <w:spacing w:after="0"/>
        <w:jc w:val="both"/>
      </w:pPr>
      <w:bookmarkStart w:id="138" w:name="bookmark143"/>
      <w:bookmarkEnd w:id="138"/>
      <w:r>
        <w:t>hornickou činností a činností prováděnou hornickým způsobem, ražbou tunelů a štol,</w:t>
      </w:r>
    </w:p>
    <w:p w:rsidR="00FD00D1" w:rsidRDefault="00983FC6">
      <w:pPr>
        <w:pStyle w:val="Bodytext10"/>
        <w:ind w:left="260" w:hanging="260"/>
        <w:jc w:val="both"/>
      </w:pPr>
      <w:r>
        <w:t>0 výrobou, opravami, úpravami, přepravou, nákupem, prodejem, půjčováním, uschováváním a znehodnocováním zbraní a bezpečnostního materiálu.</w:t>
      </w:r>
    </w:p>
    <w:p w:rsidR="00FD00D1" w:rsidRDefault="00983FC6">
      <w:pPr>
        <w:pStyle w:val="Heading610"/>
        <w:keepNext/>
        <w:keepLines/>
        <w:spacing w:after="0"/>
        <w:jc w:val="both"/>
      </w:pPr>
      <w:bookmarkStart w:id="139" w:name="bookmark146"/>
      <w:r>
        <w:t>Článek 2</w:t>
      </w:r>
      <w:bookmarkEnd w:id="139"/>
    </w:p>
    <w:p w:rsidR="00FD00D1" w:rsidRDefault="00983FC6">
      <w:pPr>
        <w:pStyle w:val="Heading610"/>
        <w:keepNext/>
        <w:keepLines/>
        <w:spacing w:after="200"/>
        <w:jc w:val="both"/>
      </w:pPr>
      <w:bookmarkStart w:id="140" w:name="bookmark144"/>
      <w:bookmarkStart w:id="141" w:name="bookmark145"/>
      <w:bookmarkStart w:id="142" w:name="bookmark147"/>
      <w:r>
        <w:t>Další výluky z pojištění odpovědnosti za újmu způsobenou vadou výrobku a vadou práce po předání</w:t>
      </w:r>
      <w:bookmarkEnd w:id="140"/>
      <w:bookmarkEnd w:id="141"/>
      <w:bookmarkEnd w:id="142"/>
    </w:p>
    <w:p w:rsidR="00FD00D1" w:rsidRDefault="00983FC6">
      <w:pPr>
        <w:pStyle w:val="Bodytext10"/>
        <w:spacing w:after="0" w:line="254" w:lineRule="auto"/>
        <w:jc w:val="both"/>
      </w:pPr>
      <w:r>
        <w:t>Vedle výluk vyplývajících z příslušných ustanovení pojistné smlouvy a pojistných podmínek se pojištěni odpovědnosti za újmu způsobenou vadou výrobku a vadou práce po předání nevztahuje na povinnost nahradit újmu způsobenou v souvislosti s:</w:t>
      </w:r>
    </w:p>
    <w:p w:rsidR="00FD00D1" w:rsidRDefault="00983FC6">
      <w:pPr>
        <w:pStyle w:val="Bodytext10"/>
        <w:numPr>
          <w:ilvl w:val="0"/>
          <w:numId w:val="15"/>
        </w:numPr>
        <w:tabs>
          <w:tab w:val="left" w:pos="334"/>
        </w:tabs>
        <w:spacing w:after="0" w:line="254" w:lineRule="auto"/>
        <w:ind w:left="260" w:hanging="260"/>
        <w:jc w:val="both"/>
      </w:pPr>
      <w:bookmarkStart w:id="143" w:name="bookmark148"/>
      <w:bookmarkEnd w:id="143"/>
      <w:r>
        <w:t>výsledky projektové, konstrukční, analytické, testovací, poradenské, konzultační, účetní, plánovací, výzkumné, překladatelské a jakékoli duševní tvůrčí činnosti,</w:t>
      </w:r>
    </w:p>
    <w:p w:rsidR="00FD00D1" w:rsidRDefault="00983FC6">
      <w:pPr>
        <w:pStyle w:val="Bodytext10"/>
        <w:numPr>
          <w:ilvl w:val="0"/>
          <w:numId w:val="15"/>
        </w:numPr>
        <w:tabs>
          <w:tab w:val="left" w:pos="344"/>
        </w:tabs>
        <w:spacing w:after="0" w:line="254" w:lineRule="auto"/>
        <w:ind w:left="260" w:hanging="260"/>
        <w:jc w:val="both"/>
      </w:pPr>
      <w:bookmarkStart w:id="144" w:name="bookmark149"/>
      <w:bookmarkEnd w:id="144"/>
      <w:r>
        <w:t>výsledky zkušební, kontrolní a revizní činnosti, s výjimkou zkoušek, kontrol a revizí elektrických, plynových, hasících, tlakových nebo zdvihacích zařízení a zařízení sloužících k vytápění nebo chlazení,</w:t>
      </w:r>
    </w:p>
    <w:p w:rsidR="00FD00D1" w:rsidRDefault="00983FC6">
      <w:pPr>
        <w:pStyle w:val="Bodytext10"/>
        <w:numPr>
          <w:ilvl w:val="0"/>
          <w:numId w:val="15"/>
        </w:numPr>
        <w:tabs>
          <w:tab w:val="left" w:pos="344"/>
        </w:tabs>
        <w:spacing w:after="0" w:line="254" w:lineRule="auto"/>
        <w:jc w:val="both"/>
      </w:pPr>
      <w:bookmarkStart w:id="145" w:name="bookmark150"/>
      <w:bookmarkEnd w:id="145"/>
      <w:r>
        <w:t>zastupováním, zprostředkovatelskou činností, správou majetku a jiných finančních hodnot,</w:t>
      </w:r>
    </w:p>
    <w:p w:rsidR="00FD00D1" w:rsidRDefault="00983FC6">
      <w:pPr>
        <w:pStyle w:val="Bodytext10"/>
        <w:numPr>
          <w:ilvl w:val="0"/>
          <w:numId w:val="15"/>
        </w:numPr>
        <w:tabs>
          <w:tab w:val="left" w:pos="349"/>
        </w:tabs>
        <w:spacing w:after="0" w:line="254" w:lineRule="auto"/>
        <w:jc w:val="both"/>
      </w:pPr>
      <w:bookmarkStart w:id="146" w:name="bookmark151"/>
      <w:bookmarkEnd w:id="146"/>
      <w:r>
        <w:t>poskytováním software, zpracováním a poskytováním dat a informací,</w:t>
      </w:r>
    </w:p>
    <w:p w:rsidR="00FD00D1" w:rsidRDefault="00983FC6">
      <w:pPr>
        <w:pStyle w:val="Bodytext10"/>
        <w:numPr>
          <w:ilvl w:val="0"/>
          <w:numId w:val="15"/>
        </w:numPr>
        <w:tabs>
          <w:tab w:val="left" w:pos="349"/>
        </w:tabs>
        <w:spacing w:after="0" w:line="254" w:lineRule="auto"/>
        <w:jc w:val="both"/>
      </w:pPr>
      <w:bookmarkStart w:id="147" w:name="bookmark152"/>
      <w:bookmarkEnd w:id="147"/>
      <w:r>
        <w:t>poskytováním technických služeb k ochraně majetku a osob (např. montáž EZS, EPS),</w:t>
      </w:r>
    </w:p>
    <w:p w:rsidR="00FD00D1" w:rsidRDefault="00983FC6">
      <w:pPr>
        <w:pStyle w:val="Bodytext10"/>
        <w:numPr>
          <w:ilvl w:val="0"/>
          <w:numId w:val="15"/>
        </w:numPr>
        <w:tabs>
          <w:tab w:val="left" w:pos="349"/>
        </w:tabs>
        <w:spacing w:after="0" w:line="254" w:lineRule="auto"/>
        <w:jc w:val="both"/>
      </w:pPr>
      <w:bookmarkStart w:id="148" w:name="bookmark153"/>
      <w:bookmarkEnd w:id="148"/>
      <w:r>
        <w:t>obchodem s Léčivy, s výjimkou obchodu s volně prodejnými léčivými přípravky mimo Lékárny,</w:t>
      </w:r>
    </w:p>
    <w:p w:rsidR="00FD00D1" w:rsidRDefault="00983FC6">
      <w:pPr>
        <w:pStyle w:val="Bodytext10"/>
        <w:numPr>
          <w:ilvl w:val="0"/>
          <w:numId w:val="15"/>
        </w:numPr>
        <w:tabs>
          <w:tab w:val="left" w:pos="349"/>
        </w:tabs>
        <w:spacing w:after="0" w:line="254" w:lineRule="auto"/>
      </w:pPr>
      <w:bookmarkStart w:id="149" w:name="bookmark154"/>
      <w:bookmarkEnd w:id="149"/>
      <w:r>
        <w:t>poskytováním zdravotní a veterinární péče,</w:t>
      </w:r>
    </w:p>
    <w:p w:rsidR="00FD00D1" w:rsidRDefault="00983FC6">
      <w:pPr>
        <w:pStyle w:val="Bodytext10"/>
        <w:numPr>
          <w:ilvl w:val="0"/>
          <w:numId w:val="15"/>
        </w:numPr>
        <w:tabs>
          <w:tab w:val="left" w:pos="349"/>
        </w:tabs>
        <w:spacing w:after="0" w:line="254" w:lineRule="auto"/>
        <w:ind w:left="260" w:hanging="260"/>
        <w:jc w:val="both"/>
      </w:pPr>
      <w:bookmarkStart w:id="150" w:name="bookmark155"/>
      <w:bookmarkEnd w:id="150"/>
      <w:r>
        <w:t>provozováním fit center a solárií, poskytováním kosmetických, masérských, rekondičních a regeneračních služeb a služeb trenérů,</w:t>
      </w:r>
    </w:p>
    <w:p w:rsidR="00FD00D1" w:rsidRDefault="00983FC6">
      <w:pPr>
        <w:pStyle w:val="Bodytext10"/>
        <w:numPr>
          <w:ilvl w:val="0"/>
          <w:numId w:val="15"/>
        </w:numPr>
        <w:tabs>
          <w:tab w:val="left" w:pos="349"/>
        </w:tabs>
        <w:spacing w:after="0" w:line="254" w:lineRule="auto"/>
      </w:pPr>
      <w:bookmarkStart w:id="151" w:name="bookmark156"/>
      <w:bookmarkEnd w:id="151"/>
      <w:r>
        <w:t>prováděním geologických prací,</w:t>
      </w:r>
    </w:p>
    <w:p w:rsidR="00FD00D1" w:rsidRDefault="00983FC6">
      <w:pPr>
        <w:pStyle w:val="Bodytext10"/>
        <w:numPr>
          <w:ilvl w:val="0"/>
          <w:numId w:val="15"/>
        </w:numPr>
        <w:tabs>
          <w:tab w:val="left" w:pos="349"/>
        </w:tabs>
        <w:spacing w:after="0" w:line="254" w:lineRule="auto"/>
        <w:ind w:left="260" w:hanging="260"/>
        <w:jc w:val="both"/>
      </w:pPr>
      <w:bookmarkStart w:id="152" w:name="bookmark157"/>
      <w:bookmarkEnd w:id="152"/>
      <w:r>
        <w:t>úpravou a rozvodem vody, výrobou, rozvodem, distribucí a prodejem elektrické energie, plynu, tepla apod.,</w:t>
      </w:r>
    </w:p>
    <w:p w:rsidR="00FD00D1" w:rsidRDefault="00983FC6">
      <w:pPr>
        <w:pStyle w:val="Bodytext10"/>
        <w:numPr>
          <w:ilvl w:val="0"/>
          <w:numId w:val="15"/>
        </w:numPr>
        <w:tabs>
          <w:tab w:val="left" w:pos="349"/>
        </w:tabs>
        <w:spacing w:line="254" w:lineRule="auto"/>
      </w:pPr>
      <w:bookmarkStart w:id="153" w:name="bookmark158"/>
      <w:bookmarkEnd w:id="153"/>
      <w:r>
        <w:t>obchodem s erotickým zbožím.</w:t>
      </w:r>
    </w:p>
    <w:p w:rsidR="00FD00D1" w:rsidRDefault="00983FC6">
      <w:pPr>
        <w:pStyle w:val="Heading610"/>
        <w:keepNext/>
        <w:keepLines/>
        <w:spacing w:after="0"/>
      </w:pPr>
      <w:bookmarkStart w:id="154" w:name="bookmark161"/>
      <w:r>
        <w:t>Článek 3</w:t>
      </w:r>
      <w:bookmarkEnd w:id="154"/>
    </w:p>
    <w:p w:rsidR="00FD00D1" w:rsidRDefault="00983FC6">
      <w:pPr>
        <w:pStyle w:val="Heading610"/>
        <w:keepNext/>
        <w:keepLines/>
        <w:spacing w:after="200"/>
      </w:pPr>
      <w:bookmarkStart w:id="155" w:name="bookmark159"/>
      <w:bookmarkStart w:id="156" w:name="bookmark160"/>
      <w:bookmarkStart w:id="157" w:name="bookmark162"/>
      <w:r>
        <w:t>Pojištění odpovědnosti z provozu pracovních strojů</w:t>
      </w:r>
      <w:bookmarkEnd w:id="155"/>
      <w:bookmarkEnd w:id="156"/>
      <w:bookmarkEnd w:id="157"/>
    </w:p>
    <w:p w:rsidR="00FD00D1" w:rsidRDefault="00983FC6">
      <w:pPr>
        <w:pStyle w:val="Bodytext10"/>
        <w:numPr>
          <w:ilvl w:val="0"/>
          <w:numId w:val="15"/>
        </w:numPr>
        <w:tabs>
          <w:tab w:val="left" w:pos="349"/>
        </w:tabs>
        <w:spacing w:after="0"/>
        <w:ind w:left="260" w:hanging="260"/>
        <w:jc w:val="both"/>
      </w:pPr>
      <w:bookmarkStart w:id="158" w:name="bookmark163"/>
      <w:bookmarkEnd w:id="158"/>
      <w:r>
        <w:t>Pojištění se vztahuje i na povinnost pojištěného nahradit újmu způsobenou v souvislosti s vlastnictvím nebo provozem motorového vozidla sloužícího jako pracovní stroj, včetně újmy způsobené výkonem činnosti pracovního stroje (odchylně od či. 2 odst. 1) písm. b) ZPP P-600/14).</w:t>
      </w:r>
    </w:p>
    <w:p w:rsidR="00FD00D1" w:rsidRDefault="00983FC6">
      <w:pPr>
        <w:pStyle w:val="Bodytext10"/>
        <w:numPr>
          <w:ilvl w:val="0"/>
          <w:numId w:val="16"/>
        </w:numPr>
        <w:tabs>
          <w:tab w:val="left" w:pos="354"/>
        </w:tabs>
        <w:spacing w:after="0"/>
        <w:jc w:val="both"/>
      </w:pPr>
      <w:bookmarkStart w:id="159" w:name="bookmark164"/>
      <w:bookmarkEnd w:id="159"/>
      <w:r>
        <w:t>Pojištění se však nevztahuje na povinnost pojištěného nahradit ujmu, pokud:</w:t>
      </w:r>
    </w:p>
    <w:p w:rsidR="00FD00D1" w:rsidRDefault="00983FC6">
      <w:pPr>
        <w:pStyle w:val="Bodytext10"/>
        <w:numPr>
          <w:ilvl w:val="0"/>
          <w:numId w:val="17"/>
        </w:numPr>
        <w:tabs>
          <w:tab w:val="left" w:pos="619"/>
        </w:tabs>
        <w:spacing w:after="0"/>
        <w:ind w:left="540" w:hanging="260"/>
        <w:jc w:val="both"/>
      </w:pPr>
      <w:bookmarkStart w:id="160" w:name="bookmark165"/>
      <w:bookmarkEnd w:id="160"/>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rsidR="00FD00D1" w:rsidRDefault="00983FC6">
      <w:pPr>
        <w:pStyle w:val="Bodytext10"/>
        <w:numPr>
          <w:ilvl w:val="0"/>
          <w:numId w:val="17"/>
        </w:numPr>
        <w:tabs>
          <w:tab w:val="left" w:pos="575"/>
        </w:tabs>
        <w:spacing w:after="0"/>
        <w:ind w:left="560" w:hanging="280"/>
        <w:jc w:val="both"/>
      </w:pPr>
      <w:bookmarkStart w:id="161" w:name="bookmark166"/>
      <w:bookmarkEnd w:id="161"/>
      <w:r>
        <w:t>jde o újmu, jejíž náhrada je předmětem povinného pojištění odpovědností za újmu způsobenou provozem vozidla, ale právo na plnění z takového pojištění nemohlo být uplatněno z důvodu, že:</w:t>
      </w:r>
    </w:p>
    <w:p w:rsidR="00FD00D1" w:rsidRDefault="00983FC6">
      <w:pPr>
        <w:pStyle w:val="Bodytext10"/>
        <w:numPr>
          <w:ilvl w:val="0"/>
          <w:numId w:val="18"/>
        </w:numPr>
        <w:tabs>
          <w:tab w:val="left" w:pos="855"/>
        </w:tabs>
        <w:spacing w:after="0"/>
        <w:ind w:firstLine="560"/>
        <w:jc w:val="both"/>
      </w:pPr>
      <w:bookmarkStart w:id="162" w:name="bookmark167"/>
      <w:bookmarkEnd w:id="162"/>
      <w:r>
        <w:t>byla porušena povinnost tak ové pojištění uzavřít,</w:t>
      </w:r>
    </w:p>
    <w:p w:rsidR="00FD00D1" w:rsidRDefault="00983FC6">
      <w:pPr>
        <w:pStyle w:val="Bodytext10"/>
        <w:numPr>
          <w:ilvl w:val="0"/>
          <w:numId w:val="18"/>
        </w:numPr>
        <w:tabs>
          <w:tab w:val="left" w:pos="923"/>
        </w:tabs>
        <w:spacing w:after="0"/>
        <w:ind w:left="880" w:hanging="300"/>
        <w:jc w:val="both"/>
      </w:pPr>
      <w:bookmarkStart w:id="163" w:name="bookmark168"/>
      <w:bookmarkEnd w:id="163"/>
      <w:r>
        <w:t>jde o vozidlo, pro které právní předpis stanoví výjimku z povinného pojištění odpovědnosti za újmu způsobenou provozem vozidla, nebo</w:t>
      </w:r>
    </w:p>
    <w:p w:rsidR="00FD00D1" w:rsidRDefault="00983FC6">
      <w:pPr>
        <w:pStyle w:val="Bodytext10"/>
        <w:numPr>
          <w:ilvl w:val="0"/>
          <w:numId w:val="18"/>
        </w:numPr>
        <w:tabs>
          <w:tab w:val="left" w:pos="990"/>
        </w:tabs>
        <w:spacing w:after="0"/>
        <w:ind w:left="880" w:hanging="300"/>
        <w:jc w:val="both"/>
      </w:pPr>
      <w:bookmarkStart w:id="164" w:name="bookmark169"/>
      <w:bookmarkEnd w:id="164"/>
      <w:r>
        <w:t>k újmě došlo při provozu vozidla na pozemní komunikaci, na které bylo toto vozidlo provozováno v rozporu s právními předpisy,</w:t>
      </w:r>
    </w:p>
    <w:p w:rsidR="00FD00D1" w:rsidRDefault="00983FC6">
      <w:pPr>
        <w:pStyle w:val="Bodytext10"/>
        <w:numPr>
          <w:ilvl w:val="0"/>
          <w:numId w:val="17"/>
        </w:numPr>
        <w:tabs>
          <w:tab w:val="left" w:pos="575"/>
        </w:tabs>
        <w:spacing w:after="0"/>
        <w:ind w:left="560" w:hanging="280"/>
        <w:jc w:val="both"/>
      </w:pPr>
      <w:bookmarkStart w:id="165" w:name="bookmark170"/>
      <w:bookmarkEnd w:id="165"/>
      <w:r>
        <w:t>jde o újmu, jejíž náhrada je právním předpisem vyloučena z povinného pojištění odpovědností za újmu způsobenou provozem vozidla,</w:t>
      </w:r>
    </w:p>
    <w:p w:rsidR="00FD00D1" w:rsidRDefault="00983FC6">
      <w:pPr>
        <w:pStyle w:val="Bodytext10"/>
        <w:numPr>
          <w:ilvl w:val="0"/>
          <w:numId w:val="17"/>
        </w:numPr>
        <w:tabs>
          <w:tab w:val="left" w:pos="555"/>
        </w:tabs>
        <w:spacing w:after="0"/>
        <w:ind w:firstLine="260"/>
        <w:jc w:val="both"/>
      </w:pPr>
      <w:bookmarkStart w:id="166" w:name="bookmark171"/>
      <w:bookmarkEnd w:id="166"/>
      <w:r>
        <w:t>ke vzniku újmy došlo při účastí na motoristickém závodě nebo soutěži nebo v průběhu přípravy na ně.</w:t>
      </w:r>
    </w:p>
    <w:p w:rsidR="00FD00D1" w:rsidRDefault="00983FC6">
      <w:pPr>
        <w:pStyle w:val="Bodytext10"/>
        <w:numPr>
          <w:ilvl w:val="0"/>
          <w:numId w:val="16"/>
        </w:numPr>
        <w:tabs>
          <w:tab w:val="left" w:pos="295"/>
        </w:tabs>
        <w:spacing w:after="0"/>
        <w:jc w:val="both"/>
      </w:pPr>
      <w:bookmarkStart w:id="167" w:name="bookmark172"/>
      <w:bookmarkEnd w:id="167"/>
      <w:r>
        <w:t>Pojistitel poskytne z pojištění dle tohoto článku pojistné plnění:</w:t>
      </w:r>
    </w:p>
    <w:p w:rsidR="00FD00D1" w:rsidRDefault="00983FC6">
      <w:pPr>
        <w:pStyle w:val="Bodytext10"/>
        <w:numPr>
          <w:ilvl w:val="0"/>
          <w:numId w:val="19"/>
        </w:numPr>
        <w:tabs>
          <w:tab w:val="left" w:pos="565"/>
        </w:tabs>
        <w:spacing w:after="0"/>
        <w:ind w:left="560" w:hanging="280"/>
        <w:jc w:val="both"/>
      </w:pPr>
      <w:bookmarkStart w:id="168" w:name="bookmark173"/>
      <w:bookmarkEnd w:id="168"/>
      <w:r>
        <w:t xml:space="preserve">v případě újmy způsobené výkonem činnosti pracovního stroje, která nemá původ v jeho jízdě, nejvýše do částky odpovídající sjednanému limitu pojistného plnění pro pojištění odpovědnosti za újmu a v jeho rámci </w:t>
      </w:r>
      <w:r>
        <w:rPr>
          <w:lang w:val="en-US" w:eastAsia="en-US" w:bidi="en-US"/>
        </w:rPr>
        <w:t>(subLimit),</w:t>
      </w:r>
    </w:p>
    <w:p w:rsidR="00FD00D1" w:rsidRDefault="00983FC6">
      <w:pPr>
        <w:pStyle w:val="Bodytext10"/>
        <w:numPr>
          <w:ilvl w:val="0"/>
          <w:numId w:val="19"/>
        </w:numPr>
        <w:tabs>
          <w:tab w:val="left" w:pos="575"/>
        </w:tabs>
        <w:ind w:left="560" w:hanging="280"/>
        <w:jc w:val="both"/>
      </w:pPr>
      <w:bookmarkStart w:id="169" w:name="bookmark174"/>
      <w:bookmarkEnd w:id="169"/>
      <w:r>
        <w:t xml:space="preserve">v případech neuvedených pod oism. a) nejvýše do částky odpovídající sjednanému limitu pojistného plnění pro pojištěni odpovědnosti za újmu, maximálně však do výše </w:t>
      </w:r>
      <w:r>
        <w:rPr>
          <w:b/>
          <w:bCs/>
        </w:rPr>
        <w:t xml:space="preserve">500.000,- Kč </w:t>
      </w:r>
      <w:r>
        <w:t xml:space="preserve">ze všech pojistných událostí nastalých v průběhu jednoho pojistného roku v rámci limitu pojistného plnění sjednaného pro základní pojištění odpovědnosti za újmu </w:t>
      </w:r>
      <w:r>
        <w:rPr>
          <w:lang w:val="en-US" w:eastAsia="en-US" w:bidi="en-US"/>
        </w:rPr>
        <w:t>(subLimit).</w:t>
      </w:r>
    </w:p>
    <w:p w:rsidR="00FD00D1" w:rsidRDefault="00983FC6">
      <w:pPr>
        <w:pStyle w:val="Heading610"/>
        <w:keepNext/>
        <w:keepLines/>
        <w:spacing w:after="0"/>
        <w:jc w:val="both"/>
      </w:pPr>
      <w:bookmarkStart w:id="170" w:name="bookmark177"/>
      <w:r>
        <w:t>Článek 4</w:t>
      </w:r>
      <w:bookmarkEnd w:id="170"/>
    </w:p>
    <w:p w:rsidR="00FD00D1" w:rsidRDefault="00983FC6">
      <w:pPr>
        <w:pStyle w:val="Heading610"/>
        <w:keepNext/>
        <w:keepLines/>
        <w:spacing w:after="200"/>
        <w:jc w:val="both"/>
      </w:pPr>
      <w:bookmarkStart w:id="171" w:name="bookmark175"/>
      <w:bookmarkStart w:id="172" w:name="bookmark176"/>
      <w:bookmarkStart w:id="173" w:name="bookmark178"/>
      <w:r>
        <w:t>Rozsah pojištění ve vztahu k vyjmenovaným případům odpovědnosti za újmu</w:t>
      </w:r>
      <w:bookmarkEnd w:id="171"/>
      <w:bookmarkEnd w:id="172"/>
      <w:bookmarkEnd w:id="173"/>
    </w:p>
    <w:p w:rsidR="00FD00D1" w:rsidRDefault="00983FC6">
      <w:pPr>
        <w:pStyle w:val="Bodytext10"/>
        <w:numPr>
          <w:ilvl w:val="0"/>
          <w:numId w:val="20"/>
        </w:numPr>
        <w:tabs>
          <w:tab w:val="left" w:pos="300"/>
        </w:tabs>
        <w:spacing w:after="0"/>
        <w:jc w:val="both"/>
      </w:pPr>
      <w:bookmarkStart w:id="174" w:name="bookmark179"/>
      <w:bookmarkEnd w:id="174"/>
      <w:r>
        <w:t>Z pojištění odpovědnosti za újmu způsobenou v souvislosti s:</w:t>
      </w:r>
    </w:p>
    <w:p w:rsidR="00FD00D1" w:rsidRDefault="00983FC6">
      <w:pPr>
        <w:pStyle w:val="Bodytext10"/>
        <w:numPr>
          <w:ilvl w:val="0"/>
          <w:numId w:val="21"/>
        </w:numPr>
        <w:tabs>
          <w:tab w:val="left" w:pos="565"/>
        </w:tabs>
        <w:spacing w:after="0"/>
        <w:ind w:left="560" w:hanging="280"/>
        <w:jc w:val="both"/>
      </w:pPr>
      <w:bookmarkStart w:id="175" w:name="bookmark180"/>
      <w:bookmarkEnd w:id="175"/>
      <w:r>
        <w:t>nakládáním s nebezpečnými cnemickými Látkami a přípravky, stlačenými nebo zkapalněnými plyny (odchylně od či. 2 odst. 1) písm. s) ZPP P-600/14),</w:t>
      </w:r>
    </w:p>
    <w:p w:rsidR="00FD00D1" w:rsidRDefault="00983FC6">
      <w:pPr>
        <w:pStyle w:val="Bodytext10"/>
        <w:numPr>
          <w:ilvl w:val="0"/>
          <w:numId w:val="21"/>
        </w:numPr>
        <w:tabs>
          <w:tab w:val="left" w:pos="575"/>
        </w:tabs>
        <w:spacing w:after="0"/>
        <w:ind w:left="560" w:hanging="280"/>
        <w:jc w:val="both"/>
      </w:pPr>
      <w:bookmarkStart w:id="176" w:name="bookmark181"/>
      <w:bookmarkEnd w:id="176"/>
      <w:r>
        <w:t>provozováním vodovodů a kanalizací, úpravou a rozvodem vody; výluka vyplývající z čl. 2 odst. 1 písm. r) ZPP P-600/14 není dotčena,</w:t>
      </w:r>
    </w:p>
    <w:p w:rsidR="00FD00D1" w:rsidRDefault="00983FC6">
      <w:pPr>
        <w:pStyle w:val="Bodytext10"/>
        <w:numPr>
          <w:ilvl w:val="0"/>
          <w:numId w:val="21"/>
        </w:numPr>
        <w:tabs>
          <w:tab w:val="left" w:pos="575"/>
        </w:tabs>
        <w:spacing w:after="0"/>
        <w:ind w:left="560" w:hanging="280"/>
        <w:jc w:val="both"/>
      </w:pPr>
      <w:bookmarkStart w:id="177" w:name="bookmark182"/>
      <w:bookmarkEnd w:id="177"/>
      <w:r>
        <w:t>pořádáním kulturních, prodejních a obdobných akcí, pořádáním sportovních akcí, organizováním sportovní činnosti,</w:t>
      </w:r>
    </w:p>
    <w:p w:rsidR="00FD00D1" w:rsidRDefault="00983FC6">
      <w:pPr>
        <w:pStyle w:val="Bodytext10"/>
        <w:numPr>
          <w:ilvl w:val="0"/>
          <w:numId w:val="21"/>
        </w:numPr>
        <w:tabs>
          <w:tab w:val="left" w:pos="560"/>
        </w:tabs>
        <w:spacing w:after="0"/>
        <w:ind w:firstLine="260"/>
        <w:jc w:val="both"/>
      </w:pPr>
      <w:bookmarkStart w:id="178" w:name="bookmark183"/>
      <w:bookmarkEnd w:id="178"/>
      <w:r>
        <w:t>stavbou, opravami a Likvidací lodí,</w:t>
      </w:r>
    </w:p>
    <w:p w:rsidR="00FD00D1" w:rsidRDefault="00983FC6">
      <w:pPr>
        <w:pStyle w:val="Bodytext10"/>
        <w:numPr>
          <w:ilvl w:val="0"/>
          <w:numId w:val="21"/>
        </w:numPr>
        <w:tabs>
          <w:tab w:val="left" w:pos="560"/>
        </w:tabs>
        <w:spacing w:after="0"/>
        <w:ind w:firstLine="260"/>
        <w:jc w:val="both"/>
      </w:pPr>
      <w:bookmarkStart w:id="179" w:name="bookmark184"/>
      <w:bookmarkEnd w:id="179"/>
      <w:r>
        <w:t>výstavbou a údržbou přehrad, pracemi pod vodou,</w:t>
      </w:r>
    </w:p>
    <w:p w:rsidR="00FD00D1" w:rsidRDefault="00983FC6">
      <w:pPr>
        <w:pStyle w:val="Bodytext10"/>
        <w:jc w:val="both"/>
      </w:pPr>
      <w:r>
        <w:t xml:space="preserve">poskytne pojistitel pojistné plnění do výše sjednaného Limitu pojistného plnění pro pojištěni odpovědnosti za újmu, maximálně však do výše </w:t>
      </w:r>
      <w:r>
        <w:rPr>
          <w:b/>
          <w:bCs/>
        </w:rPr>
        <w:t xml:space="preserve">5 000 000 Kč </w:t>
      </w:r>
      <w:r>
        <w:t xml:space="preserve">ze všech pojistných událostí nastalých v průběhu jednoho pojistného roku v rámci Limetu pojistného plnění sjednaného pro základní pojištění odpovědnosti za újmu </w:t>
      </w:r>
      <w:r>
        <w:rPr>
          <w:lang w:val="en-US" w:eastAsia="en-US" w:bidi="en-US"/>
        </w:rPr>
        <w:t>(subLimit).</w:t>
      </w:r>
    </w:p>
    <w:p w:rsidR="00FD00D1" w:rsidRDefault="00983FC6">
      <w:pPr>
        <w:pStyle w:val="Bodytext10"/>
        <w:numPr>
          <w:ilvl w:val="0"/>
          <w:numId w:val="20"/>
        </w:numPr>
        <w:tabs>
          <w:tab w:val="left" w:pos="300"/>
        </w:tabs>
        <w:spacing w:after="0"/>
        <w:jc w:val="both"/>
      </w:pPr>
      <w:bookmarkStart w:id="180" w:name="bookmark185"/>
      <w:bookmarkEnd w:id="180"/>
      <w:r>
        <w:t>Z pojištění odpovědností za újmu způsobenou vadou výrobku a vadou práce po předání v souvislostí s:</w:t>
      </w:r>
    </w:p>
    <w:p w:rsidR="00FD00D1" w:rsidRDefault="00983FC6">
      <w:pPr>
        <w:pStyle w:val="Bodytext10"/>
        <w:numPr>
          <w:ilvl w:val="0"/>
          <w:numId w:val="22"/>
        </w:numPr>
        <w:tabs>
          <w:tab w:val="left" w:pos="570"/>
        </w:tabs>
        <w:spacing w:after="0"/>
        <w:ind w:left="560" w:hanging="280"/>
        <w:jc w:val="both"/>
      </w:pPr>
      <w:bookmarkStart w:id="181" w:name="bookmark186"/>
      <w:bookmarkEnd w:id="181"/>
      <w:r>
        <w:t>výrobou a obchodem s motorovými vozidly a dalšími motorovými dopravními prostředky, včetně jejich součástí a příslušenství,</w:t>
      </w:r>
    </w:p>
    <w:p w:rsidR="00FD00D1" w:rsidRDefault="00983FC6">
      <w:pPr>
        <w:pStyle w:val="Bodytext10"/>
        <w:numPr>
          <w:ilvl w:val="0"/>
          <w:numId w:val="22"/>
        </w:numPr>
        <w:tabs>
          <w:tab w:val="left" w:pos="555"/>
        </w:tabs>
        <w:spacing w:after="0"/>
        <w:ind w:firstLine="260"/>
        <w:jc w:val="both"/>
      </w:pPr>
      <w:bookmarkStart w:id="182" w:name="bookmark187"/>
      <w:bookmarkEnd w:id="182"/>
      <w:r>
        <w:t>výrobou a prodejem pohonných hmot,</w:t>
      </w:r>
    </w:p>
    <w:p w:rsidR="00FD00D1" w:rsidRDefault="00983FC6">
      <w:pPr>
        <w:pStyle w:val="Bodytext10"/>
        <w:numPr>
          <w:ilvl w:val="0"/>
          <w:numId w:val="22"/>
        </w:numPr>
        <w:tabs>
          <w:tab w:val="left" w:pos="575"/>
        </w:tabs>
        <w:spacing w:after="0"/>
        <w:ind w:left="560" w:hanging="280"/>
        <w:jc w:val="both"/>
      </w:pPr>
      <w:bookmarkStart w:id="183" w:name="bookmark188"/>
      <w:bookmarkEnd w:id="183"/>
      <w:r>
        <w:t>prováděním revizí elektrických, plynových, hasících, tlakových nebo zdvihacích zařízení a zařízení sloužících k vytápění nebo chlazení,</w:t>
      </w:r>
    </w:p>
    <w:p w:rsidR="00FD00D1" w:rsidRDefault="00983FC6">
      <w:pPr>
        <w:pStyle w:val="Bodytext10"/>
        <w:numPr>
          <w:ilvl w:val="0"/>
          <w:numId w:val="22"/>
        </w:numPr>
        <w:tabs>
          <w:tab w:val="left" w:pos="560"/>
        </w:tabs>
        <w:spacing w:after="0"/>
        <w:ind w:firstLine="260"/>
        <w:jc w:val="both"/>
      </w:pPr>
      <w:bookmarkStart w:id="184" w:name="bookmark189"/>
      <w:bookmarkEnd w:id="184"/>
      <w:r>
        <w:t>poskytováním technických služeb,</w:t>
      </w:r>
    </w:p>
    <w:p w:rsidR="00FD00D1" w:rsidRDefault="00983FC6">
      <w:pPr>
        <w:pStyle w:val="Bodytext10"/>
        <w:numPr>
          <w:ilvl w:val="0"/>
          <w:numId w:val="22"/>
        </w:numPr>
        <w:tabs>
          <w:tab w:val="left" w:pos="560"/>
        </w:tabs>
        <w:spacing w:after="0"/>
        <w:ind w:firstLine="260"/>
        <w:jc w:val="both"/>
      </w:pPr>
      <w:bookmarkStart w:id="185" w:name="bookmark190"/>
      <w:bookmarkEnd w:id="185"/>
      <w:r>
        <w:t>provozováním útulků a jiných obdobných zařízení pečujících o zvířata,</w:t>
      </w:r>
    </w:p>
    <w:p w:rsidR="00FD00D1" w:rsidRDefault="00983FC6">
      <w:pPr>
        <w:pStyle w:val="Bodytext10"/>
        <w:jc w:val="both"/>
      </w:pPr>
      <w:r>
        <w:t xml:space="preserve">poskytne pojistitel pojistné plnění do výše sjednaného limitu pojistného plnění pro pojištění odpovědnosti za újmu, maximálně však do výše </w:t>
      </w:r>
      <w:r>
        <w:rPr>
          <w:b/>
          <w:bCs/>
        </w:rPr>
        <w:t xml:space="preserve">5 000 000 Kč </w:t>
      </w:r>
      <w:r>
        <w:t xml:space="preserve">ze všech pojistných událostí nastalých v průběhu jednoho pojistného roku v rámci Limitu pojistného plnění sjednaného pro základní pojištění odpovědnosti za újmu </w:t>
      </w:r>
      <w:r>
        <w:rPr>
          <w:lang w:val="en-US" w:eastAsia="en-US" w:bidi="en-US"/>
        </w:rPr>
        <w:t>(subLimit).</w:t>
      </w:r>
    </w:p>
    <w:p w:rsidR="00FD00D1" w:rsidRDefault="00983FC6">
      <w:pPr>
        <w:pStyle w:val="Bodytext10"/>
        <w:numPr>
          <w:ilvl w:val="0"/>
          <w:numId w:val="20"/>
        </w:numPr>
        <w:tabs>
          <w:tab w:val="left" w:pos="300"/>
        </w:tabs>
        <w:ind w:left="260" w:hanging="260"/>
        <w:jc w:val="both"/>
      </w:pPr>
      <w:bookmarkStart w:id="186" w:name="bookmark191"/>
      <w:bookmarkEnd w:id="186"/>
      <w:r>
        <w:t xml:space="preserve">Z pojištění odpovědnosti za újmu způsobenou vadou výrobku vzniklou </w:t>
      </w:r>
      <w:r>
        <w:rPr>
          <w:b/>
          <w:bCs/>
        </w:rPr>
        <w:t xml:space="preserve">spojením nebo smísením vadného výrobku s jinou věcí a újmu vzniklou dalším zpracováním nebo opracováním vadného výrobku </w:t>
      </w:r>
      <w:r>
        <w:t xml:space="preserve">poskytne pojistitel pojistné plnění (odchylně od čl. 3 odst. 2) písm. d) ZPP P-600/14) do výše sjednaného Limitu pojistného plnění pro pojištění odpovědností za újmu, maximálně však do výše </w:t>
      </w:r>
      <w:r>
        <w:rPr>
          <w:b/>
          <w:bCs/>
        </w:rPr>
        <w:t xml:space="preserve">5 000 000 Kč </w:t>
      </w:r>
      <w:r>
        <w:t xml:space="preserve">ze všech pojistných událostí nastalých v průběhu jednoho pojistného roku v rámci Limitu pojistného plnění sjednaného pro základní pojištění odpovědnosti za újmu </w:t>
      </w:r>
      <w:r>
        <w:rPr>
          <w:lang w:val="en-US" w:eastAsia="en-US" w:bidi="en-US"/>
        </w:rPr>
        <w:t>(subLimit)</w:t>
      </w:r>
    </w:p>
    <w:p w:rsidR="00FD00D1" w:rsidRDefault="00983FC6">
      <w:pPr>
        <w:pStyle w:val="Bodytext10"/>
        <w:numPr>
          <w:ilvl w:val="0"/>
          <w:numId w:val="20"/>
        </w:numPr>
        <w:tabs>
          <w:tab w:val="left" w:pos="304"/>
        </w:tabs>
        <w:spacing w:after="0"/>
        <w:ind w:left="260" w:hanging="260"/>
        <w:jc w:val="both"/>
      </w:pPr>
      <w:bookmarkStart w:id="187" w:name="bookmark192"/>
      <w:bookmarkEnd w:id="187"/>
      <w:r>
        <w:t xml:space="preserve">]e-li sjednáno pojištění odpovědnosti za újmu způsobenou v souvislosti s </w:t>
      </w:r>
      <w:r>
        <w:rPr>
          <w:b/>
          <w:bCs/>
        </w:rPr>
        <w:t xml:space="preserve">realitní činností nebo pronájmem nemovitosti </w:t>
      </w:r>
      <w:r>
        <w:t xml:space="preserve">nebo je-li pojištění sjednáno výslovně </w:t>
      </w:r>
      <w:r>
        <w:rPr>
          <w:b/>
          <w:bCs/>
        </w:rPr>
        <w:t xml:space="preserve">v rozsahu odpovědnosti za újmu způsobenou v souvislosti s vlastnictvím nebo držbou nemovitosti, </w:t>
      </w:r>
      <w:r>
        <w:t xml:space="preserve">vztahuje se takové pojištění na odpovědnost za újmu vyplývající z vlastnictví nebo držby pouze těch nemovitostí, které jsou v době vzniku škodné události z pojištění odpovědnosti za újmu </w:t>
      </w:r>
      <w:r>
        <w:rPr>
          <w:b/>
          <w:bCs/>
        </w:rPr>
        <w:t xml:space="preserve">majetkově pojištěny u pojistitele uvedeného v této pojistné smlouvě </w:t>
      </w:r>
      <w:r>
        <w:t>proti živelním pojistným nebezpečím, a pozemků k takovým nemovitostem příslušejícím.</w:t>
      </w:r>
    </w:p>
    <w:sectPr w:rsidR="00FD00D1">
      <w:footerReference w:type="default" r:id="rId11"/>
      <w:footerReference w:type="first" r:id="rId12"/>
      <w:pgSz w:w="11900" w:h="16840"/>
      <w:pgMar w:top="1718" w:right="1017" w:bottom="1357" w:left="173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2FA" w:rsidRDefault="009052FA">
      <w:r>
        <w:separator/>
      </w:r>
    </w:p>
  </w:endnote>
  <w:endnote w:type="continuationSeparator" w:id="0">
    <w:p w:rsidR="009052FA" w:rsidRDefault="0090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0D1" w:rsidRDefault="00983FC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3266440</wp:posOffset>
              </wp:positionH>
              <wp:positionV relativeFrom="page">
                <wp:posOffset>9957435</wp:posOffset>
              </wp:positionV>
              <wp:extent cx="147828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1478280" cy="121920"/>
                      </a:xfrm>
                      <a:prstGeom prst="rect">
                        <a:avLst/>
                      </a:prstGeom>
                      <a:noFill/>
                    </wps:spPr>
                    <wps:txbx>
                      <w:txbxContent>
                        <w:p w:rsidR="00FD00D1" w:rsidRDefault="00983FC6">
                          <w:pPr>
                            <w:pStyle w:val="Headerorfooter20"/>
                            <w:rPr>
                              <w:sz w:val="18"/>
                              <w:szCs w:val="18"/>
                            </w:rPr>
                          </w:pPr>
                          <w:r>
                            <w:rPr>
                              <w:rFonts w:ascii="Arial" w:eastAsia="Arial" w:hAnsi="Arial" w:cs="Arial"/>
                              <w:sz w:val="18"/>
                              <w:szCs w:val="18"/>
                            </w:rPr>
                            <w:t xml:space="preserve">Strana </w:t>
                          </w: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052FA">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(celkem 9), RTF uKl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257.2pt;margin-top:784.05pt;width:116.4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" filled="f" stroked="f">
              <v:textbox style="mso-fit-shape-to-text:t" inset="0,0,0,0">
                <w:txbxContent>
                  <w:p w:rsidR="00FD00D1" w:rsidRDefault="00983FC6">
                    <w:pPr>
                      <w:pStyle w:val="Headerorfooter20"/>
                      <w:rPr>
                        <w:sz w:val="18"/>
                        <w:szCs w:val="18"/>
                      </w:rPr>
                    </w:pPr>
                    <w:r>
                      <w:rPr>
                        <w:rFonts w:ascii="Arial" w:eastAsia="Arial" w:hAnsi="Arial" w:cs="Arial"/>
                        <w:sz w:val="18"/>
                        <w:szCs w:val="18"/>
                      </w:rPr>
                      <w:t xml:space="preserve">Strana </w:t>
                    </w: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052FA">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(celkem 9), RTF uKl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0D1" w:rsidRDefault="00983FC6">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3266440</wp:posOffset>
              </wp:positionH>
              <wp:positionV relativeFrom="page">
                <wp:posOffset>9957435</wp:posOffset>
              </wp:positionV>
              <wp:extent cx="1478280"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1478280" cy="121920"/>
                      </a:xfrm>
                      <a:prstGeom prst="rect">
                        <a:avLst/>
                      </a:prstGeom>
                      <a:noFill/>
                    </wps:spPr>
                    <wps:txbx>
                      <w:txbxContent>
                        <w:p w:rsidR="00FD00D1" w:rsidRDefault="00983FC6">
                          <w:pPr>
                            <w:pStyle w:val="Headerorfooter20"/>
                            <w:rPr>
                              <w:sz w:val="18"/>
                              <w:szCs w:val="18"/>
                            </w:rPr>
                          </w:pPr>
                          <w:r>
                            <w:rPr>
                              <w:rFonts w:ascii="Arial" w:eastAsia="Arial" w:hAnsi="Arial" w:cs="Arial"/>
                              <w:sz w:val="18"/>
                              <w:szCs w:val="18"/>
                            </w:rPr>
                            <w:t xml:space="preserve">Strana </w:t>
                          </w: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DD3BC8">
                            <w:rPr>
                              <w:rFonts w:ascii="Arial" w:eastAsia="Arial" w:hAnsi="Arial" w:cs="Arial"/>
                              <w:noProof/>
                              <w:sz w:val="18"/>
                              <w:szCs w:val="18"/>
                            </w:rPr>
                            <w:t>9</w:t>
                          </w:r>
                          <w:r>
                            <w:rPr>
                              <w:rFonts w:ascii="Arial" w:eastAsia="Arial" w:hAnsi="Arial" w:cs="Arial"/>
                              <w:sz w:val="18"/>
                              <w:szCs w:val="18"/>
                            </w:rPr>
                            <w:fldChar w:fldCharType="end"/>
                          </w:r>
                          <w:r>
                            <w:rPr>
                              <w:rFonts w:ascii="Arial" w:eastAsia="Arial" w:hAnsi="Arial" w:cs="Arial"/>
                              <w:sz w:val="18"/>
                              <w:szCs w:val="18"/>
                            </w:rPr>
                            <w:t xml:space="preserve"> (celkem 9), RTF uKl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0" type="#_x0000_t202" style="position:absolute;margin-left:257.2pt;margin-top:784.05pt;width:116.4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" filled="f" stroked="f">
              <v:textbox style="mso-fit-shape-to-text:t" inset="0,0,0,0">
                <w:txbxContent>
                  <w:p w:rsidR="00FD00D1" w:rsidRDefault="00983FC6">
                    <w:pPr>
                      <w:pStyle w:val="Headerorfooter20"/>
                      <w:rPr>
                        <w:sz w:val="18"/>
                        <w:szCs w:val="18"/>
                      </w:rPr>
                    </w:pPr>
                    <w:r>
                      <w:rPr>
                        <w:rFonts w:ascii="Arial" w:eastAsia="Arial" w:hAnsi="Arial" w:cs="Arial"/>
                        <w:sz w:val="18"/>
                        <w:szCs w:val="18"/>
                      </w:rPr>
                      <w:t xml:space="preserve">Strana </w:t>
                    </w: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DD3BC8">
                      <w:rPr>
                        <w:rFonts w:ascii="Arial" w:eastAsia="Arial" w:hAnsi="Arial" w:cs="Arial"/>
                        <w:noProof/>
                        <w:sz w:val="18"/>
                        <w:szCs w:val="18"/>
                      </w:rPr>
                      <w:t>9</w:t>
                    </w:r>
                    <w:r>
                      <w:rPr>
                        <w:rFonts w:ascii="Arial" w:eastAsia="Arial" w:hAnsi="Arial" w:cs="Arial"/>
                        <w:sz w:val="18"/>
                        <w:szCs w:val="18"/>
                      </w:rPr>
                      <w:fldChar w:fldCharType="end"/>
                    </w:r>
                    <w:r>
                      <w:rPr>
                        <w:rFonts w:ascii="Arial" w:eastAsia="Arial" w:hAnsi="Arial" w:cs="Arial"/>
                        <w:sz w:val="18"/>
                        <w:szCs w:val="18"/>
                      </w:rPr>
                      <w:t xml:space="preserve"> (celkem 9), RTF uKl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0D1" w:rsidRDefault="00983FC6">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3249930</wp:posOffset>
              </wp:positionH>
              <wp:positionV relativeFrom="page">
                <wp:posOffset>9765665</wp:posOffset>
              </wp:positionV>
              <wp:extent cx="1481455" cy="115570"/>
              <wp:effectExtent l="0" t="0" r="0" b="0"/>
              <wp:wrapNone/>
              <wp:docPr id="17" name="Shape 17"/>
              <wp:cNvGraphicFramePr/>
              <a:graphic xmlns:a="http://schemas.openxmlformats.org/drawingml/2006/main">
                <a:graphicData uri="http://schemas.microsoft.com/office/word/2010/wordprocessingShape">
                  <wps:wsp>
                    <wps:cNvSpPr txBox="1"/>
                    <wps:spPr>
                      <a:xfrm>
                        <a:off x="0" y="0"/>
                        <a:ext cx="1481455" cy="115570"/>
                      </a:xfrm>
                      <a:prstGeom prst="rect">
                        <a:avLst/>
                      </a:prstGeom>
                      <a:noFill/>
                    </wps:spPr>
                    <wps:txbx>
                      <w:txbxContent>
                        <w:p w:rsidR="00FD00D1" w:rsidRDefault="00983FC6">
                          <w:pPr>
                            <w:pStyle w:val="Headerorfooter20"/>
                            <w:rPr>
                              <w:sz w:val="18"/>
                              <w:szCs w:val="18"/>
                            </w:rPr>
                          </w:pPr>
                          <w:r>
                            <w:rPr>
                              <w:rFonts w:ascii="Arial" w:eastAsia="Arial" w:hAnsi="Arial" w:cs="Arial"/>
                              <w:sz w:val="18"/>
                              <w:szCs w:val="18"/>
                            </w:rPr>
                            <w:t xml:space="preserve">Strana </w:t>
                          </w: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DD3BC8">
                            <w:rPr>
                              <w:rFonts w:ascii="Arial" w:eastAsia="Arial" w:hAnsi="Arial" w:cs="Arial"/>
                              <w:noProof/>
                              <w:sz w:val="18"/>
                              <w:szCs w:val="18"/>
                            </w:rPr>
                            <w:t>8</w:t>
                          </w:r>
                          <w:r>
                            <w:rPr>
                              <w:rFonts w:ascii="Arial" w:eastAsia="Arial" w:hAnsi="Arial" w:cs="Arial"/>
                              <w:sz w:val="18"/>
                              <w:szCs w:val="18"/>
                            </w:rPr>
                            <w:fldChar w:fldCharType="end"/>
                          </w:r>
                          <w:r>
                            <w:rPr>
                              <w:rFonts w:ascii="Arial" w:eastAsia="Arial" w:hAnsi="Arial" w:cs="Arial"/>
                              <w:sz w:val="18"/>
                              <w:szCs w:val="18"/>
                            </w:rPr>
                            <w:t xml:space="preserve"> (celkem 9), RTF uf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1" type="#_x0000_t202" style="position:absolute;margin-left:255.9pt;margin-top:768.95pt;width:116.65pt;height:9.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" filled="f" stroked="f">
              <v:textbox style="mso-fit-shape-to-text:t" inset="0,0,0,0">
                <w:txbxContent>
                  <w:p w:rsidR="00FD00D1" w:rsidRDefault="00983FC6">
                    <w:pPr>
                      <w:pStyle w:val="Headerorfooter20"/>
                      <w:rPr>
                        <w:sz w:val="18"/>
                        <w:szCs w:val="18"/>
                      </w:rPr>
                    </w:pPr>
                    <w:r>
                      <w:rPr>
                        <w:rFonts w:ascii="Arial" w:eastAsia="Arial" w:hAnsi="Arial" w:cs="Arial"/>
                        <w:sz w:val="18"/>
                        <w:szCs w:val="18"/>
                      </w:rPr>
                      <w:t xml:space="preserve">Strana </w:t>
                    </w: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DD3BC8">
                      <w:rPr>
                        <w:rFonts w:ascii="Arial" w:eastAsia="Arial" w:hAnsi="Arial" w:cs="Arial"/>
                        <w:noProof/>
                        <w:sz w:val="18"/>
                        <w:szCs w:val="18"/>
                      </w:rPr>
                      <w:t>8</w:t>
                    </w:r>
                    <w:r>
                      <w:rPr>
                        <w:rFonts w:ascii="Arial" w:eastAsia="Arial" w:hAnsi="Arial" w:cs="Arial"/>
                        <w:sz w:val="18"/>
                        <w:szCs w:val="18"/>
                      </w:rPr>
                      <w:fldChar w:fldCharType="end"/>
                    </w:r>
                    <w:r>
                      <w:rPr>
                        <w:rFonts w:ascii="Arial" w:eastAsia="Arial" w:hAnsi="Arial" w:cs="Arial"/>
                        <w:sz w:val="18"/>
                        <w:szCs w:val="18"/>
                      </w:rPr>
                      <w:t xml:space="preserve"> (celkem 9), RTF uf 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2FA" w:rsidRDefault="009052FA"/>
  </w:footnote>
  <w:footnote w:type="continuationSeparator" w:id="0">
    <w:p w:rsidR="009052FA" w:rsidRDefault="009052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D50"/>
    <w:multiLevelType w:val="multilevel"/>
    <w:tmpl w:val="1E1C9A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4772E"/>
    <w:multiLevelType w:val="multilevel"/>
    <w:tmpl w:val="FA4CDCF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8266B"/>
    <w:multiLevelType w:val="multilevel"/>
    <w:tmpl w:val="306C192C"/>
    <w:lvl w:ilvl="0">
      <w:start w:val="1"/>
      <w:numFmt w:val="bullet"/>
      <w:lvlText w:val="&gt;"/>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F0432"/>
    <w:multiLevelType w:val="multilevel"/>
    <w:tmpl w:val="68F05E4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5F217F"/>
    <w:multiLevelType w:val="multilevel"/>
    <w:tmpl w:val="69566F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90701"/>
    <w:multiLevelType w:val="multilevel"/>
    <w:tmpl w:val="BBC4E9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1F4974"/>
    <w:multiLevelType w:val="multilevel"/>
    <w:tmpl w:val="4178E8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54617C"/>
    <w:multiLevelType w:val="multilevel"/>
    <w:tmpl w:val="53BE35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E97986"/>
    <w:multiLevelType w:val="multilevel"/>
    <w:tmpl w:val="9A9CC5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F11BE3"/>
    <w:multiLevelType w:val="multilevel"/>
    <w:tmpl w:val="29DA1818"/>
    <w:lvl w:ilvl="0">
      <w:start w:val="2"/>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092399"/>
    <w:multiLevelType w:val="multilevel"/>
    <w:tmpl w:val="A5702CB8"/>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single"/>
        <w:shd w:val="clear" w:color="auto" w:fill="FFFFFF"/>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8"/>
        <w:szCs w:val="18"/>
        <w:u w:val="none"/>
        <w:shd w:val="clear" w:color="auto" w:fill="FFFFFF"/>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985676"/>
    <w:multiLevelType w:val="multilevel"/>
    <w:tmpl w:val="4DC28AC4"/>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5F7162"/>
    <w:multiLevelType w:val="multilevel"/>
    <w:tmpl w:val="313E7298"/>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2E48D2"/>
    <w:multiLevelType w:val="multilevel"/>
    <w:tmpl w:val="D82E0BEE"/>
    <w:lvl w:ilvl="0">
      <w:start w:val="1"/>
      <w:numFmt w:val="bullet"/>
      <w:lvlText w:val="V"/>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436458"/>
    <w:multiLevelType w:val="multilevel"/>
    <w:tmpl w:val="9586E1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89396B"/>
    <w:multiLevelType w:val="multilevel"/>
    <w:tmpl w:val="F75649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E14D60"/>
    <w:multiLevelType w:val="multilevel"/>
    <w:tmpl w:val="3EF80AB0"/>
    <w:lvl w:ilvl="0">
      <w:start w:val="1"/>
      <w:numFmt w:val="decimal"/>
      <w:lvlText w:val="1.3.%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76FD1"/>
    <w:multiLevelType w:val="multilevel"/>
    <w:tmpl w:val="C576D8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7039F8"/>
    <w:multiLevelType w:val="multilevel"/>
    <w:tmpl w:val="2D78CC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4C6FD5"/>
    <w:multiLevelType w:val="multilevel"/>
    <w:tmpl w:val="2B469A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C37674"/>
    <w:multiLevelType w:val="multilevel"/>
    <w:tmpl w:val="FFE8F6A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5A545D"/>
    <w:multiLevelType w:val="multilevel"/>
    <w:tmpl w:val="69E62BB2"/>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single"/>
        <w:shd w:val="clear" w:color="auto" w:fill="FFFFFF"/>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16"/>
  </w:num>
  <w:num w:numId="4">
    <w:abstractNumId w:val="10"/>
  </w:num>
  <w:num w:numId="5">
    <w:abstractNumId w:val="20"/>
  </w:num>
  <w:num w:numId="6">
    <w:abstractNumId w:val="0"/>
  </w:num>
  <w:num w:numId="7">
    <w:abstractNumId w:val="6"/>
  </w:num>
  <w:num w:numId="8">
    <w:abstractNumId w:val="2"/>
  </w:num>
  <w:num w:numId="9">
    <w:abstractNumId w:val="3"/>
  </w:num>
  <w:num w:numId="10">
    <w:abstractNumId w:val="9"/>
  </w:num>
  <w:num w:numId="11">
    <w:abstractNumId w:val="15"/>
  </w:num>
  <w:num w:numId="12">
    <w:abstractNumId w:val="17"/>
  </w:num>
  <w:num w:numId="13">
    <w:abstractNumId w:val="13"/>
  </w:num>
  <w:num w:numId="14">
    <w:abstractNumId w:val="19"/>
  </w:num>
  <w:num w:numId="15">
    <w:abstractNumId w:val="4"/>
  </w:num>
  <w:num w:numId="16">
    <w:abstractNumId w:val="12"/>
  </w:num>
  <w:num w:numId="17">
    <w:abstractNumId w:val="18"/>
  </w:num>
  <w:num w:numId="18">
    <w:abstractNumId w:val="1"/>
  </w:num>
  <w:num w:numId="19">
    <w:abstractNumId w:val="14"/>
  </w:num>
  <w:num w:numId="20">
    <w:abstractNumId w:val="8"/>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D1"/>
    <w:rsid w:val="00226378"/>
    <w:rsid w:val="009052FA"/>
    <w:rsid w:val="00983FC6"/>
    <w:rsid w:val="00DD3BC8"/>
    <w:rsid w:val="00FD00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6138C-5480-4E7E-BF1D-5A072B6F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32"/>
      <w:szCs w:val="32"/>
      <w:u w:val="none"/>
      <w:shd w:val="clear" w:color="auto" w:fill="auto"/>
    </w:rPr>
  </w:style>
  <w:style w:type="character" w:customStyle="1" w:styleId="Bodytext4">
    <w:name w:val="Body text|4_"/>
    <w:basedOn w:val="Standardnpsmoodstavce"/>
    <w:link w:val="Bodytext40"/>
    <w:rPr>
      <w:b w:val="0"/>
      <w:bCs w:val="0"/>
      <w:i w:val="0"/>
      <w:iCs w:val="0"/>
      <w:smallCaps w:val="0"/>
      <w:strike w:val="0"/>
      <w:sz w:val="12"/>
      <w:szCs w:val="12"/>
      <w:u w:val="none"/>
      <w:shd w:val="clear" w:color="auto" w:fill="auto"/>
      <w:lang w:val="en-US" w:eastAsia="en-US" w:bidi="en-US"/>
    </w:rPr>
  </w:style>
  <w:style w:type="character" w:customStyle="1" w:styleId="Other1">
    <w:name w:val="Other|1_"/>
    <w:basedOn w:val="Standardnpsmoodstavce"/>
    <w:link w:val="Other10"/>
    <w:rPr>
      <w:rFonts w:ascii="Arial" w:eastAsia="Arial" w:hAnsi="Arial" w:cs="Arial"/>
      <w:b w:val="0"/>
      <w:bCs w:val="0"/>
      <w:i w:val="0"/>
      <w:iCs w:val="0"/>
      <w:smallCaps w:val="0"/>
      <w:strike w:val="0"/>
      <w:sz w:val="18"/>
      <w:szCs w:val="18"/>
      <w:u w:val="none"/>
      <w:shd w:val="clear" w:color="auto" w:fill="auto"/>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8"/>
      <w:szCs w:val="18"/>
      <w:u w:val="none"/>
      <w:shd w:val="clear" w:color="auto" w:fill="auto"/>
    </w:rPr>
  </w:style>
  <w:style w:type="character" w:customStyle="1" w:styleId="Heading21">
    <w:name w:val="Heading #2|1_"/>
    <w:basedOn w:val="Standardnpsmoodstavce"/>
    <w:link w:val="Heading210"/>
    <w:rPr>
      <w:rFonts w:ascii="Courier New" w:eastAsia="Courier New" w:hAnsi="Courier New" w:cs="Courier New"/>
      <w:b w:val="0"/>
      <w:bCs w:val="0"/>
      <w:i w:val="0"/>
      <w:iCs w:val="0"/>
      <w:smallCaps w:val="0"/>
      <w:strike w:val="0"/>
      <w:sz w:val="34"/>
      <w:szCs w:val="34"/>
      <w:u w:val="none"/>
      <w:shd w:val="clear" w:color="auto" w:fill="auto"/>
      <w:lang w:val="en-US" w:eastAsia="en-US" w:bidi="en-US"/>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3"/>
      <w:szCs w:val="13"/>
      <w:u w:val="none"/>
      <w:shd w:val="clear" w:color="auto" w:fill="auto"/>
    </w:rPr>
  </w:style>
  <w:style w:type="character" w:customStyle="1" w:styleId="Heading11">
    <w:name w:val="Heading #1|1_"/>
    <w:basedOn w:val="Standardnpsmoodstavce"/>
    <w:link w:val="Heading110"/>
    <w:rPr>
      <w:b w:val="0"/>
      <w:bCs w:val="0"/>
      <w:i w:val="0"/>
      <w:iCs w:val="0"/>
      <w:smallCaps w:val="0"/>
      <w:strike w:val="0"/>
      <w:sz w:val="40"/>
      <w:szCs w:val="40"/>
      <w:u w:val="none"/>
      <w:shd w:val="clear" w:color="auto" w:fill="auto"/>
    </w:rPr>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26"/>
      <w:szCs w:val="26"/>
      <w:u w:val="none"/>
      <w:shd w:val="clear" w:color="auto" w:fill="auto"/>
    </w:rPr>
  </w:style>
  <w:style w:type="character" w:customStyle="1" w:styleId="Heading51">
    <w:name w:val="Heading #5|1_"/>
    <w:basedOn w:val="Standardnpsmoodstavce"/>
    <w:link w:val="Heading510"/>
    <w:rPr>
      <w:rFonts w:ascii="Arial" w:eastAsia="Arial" w:hAnsi="Arial" w:cs="Arial"/>
      <w:b w:val="0"/>
      <w:bCs w:val="0"/>
      <w:i w:val="0"/>
      <w:iCs w:val="0"/>
      <w:smallCaps w:val="0"/>
      <w:strike w:val="0"/>
      <w:sz w:val="20"/>
      <w:szCs w:val="20"/>
      <w:u w:val="none"/>
      <w:shd w:val="clear" w:color="auto" w:fill="FFFFFF"/>
      <w:lang w:val="en-US" w:eastAsia="en-US" w:bidi="en-US"/>
    </w:rPr>
  </w:style>
  <w:style w:type="character" w:customStyle="1" w:styleId="Heading41">
    <w:name w:val="Heading #4|1_"/>
    <w:basedOn w:val="Standardnpsmoodstavce"/>
    <w:link w:val="Heading410"/>
    <w:rPr>
      <w:rFonts w:ascii="Arial" w:eastAsia="Arial" w:hAnsi="Arial" w:cs="Arial"/>
      <w:b w:val="0"/>
      <w:bCs w:val="0"/>
      <w:i w:val="0"/>
      <w:iCs w:val="0"/>
      <w:smallCaps w:val="0"/>
      <w:strike w:val="0"/>
      <w:sz w:val="22"/>
      <w:szCs w:val="22"/>
      <w:u w:val="none"/>
      <w:shd w:val="clear" w:color="auto" w:fill="auto"/>
    </w:rPr>
  </w:style>
  <w:style w:type="character" w:customStyle="1" w:styleId="Heading61">
    <w:name w:val="Heading #6|1_"/>
    <w:basedOn w:val="Standardnpsmoodstavce"/>
    <w:link w:val="Heading610"/>
    <w:rPr>
      <w:rFonts w:ascii="Arial" w:eastAsia="Arial" w:hAnsi="Arial" w:cs="Arial"/>
      <w:b/>
      <w:bCs/>
      <w:i w:val="0"/>
      <w:iCs w:val="0"/>
      <w:smallCaps w:val="0"/>
      <w:strike w:val="0"/>
      <w:sz w:val="18"/>
      <w:szCs w:val="18"/>
      <w:u w:val="none"/>
      <w:shd w:val="clear" w:color="auto" w:fill="auto"/>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8"/>
      <w:szCs w:val="18"/>
      <w:u w:val="none"/>
      <w:shd w:val="clear" w:color="auto" w:fill="auto"/>
    </w:rPr>
  </w:style>
  <w:style w:type="paragraph" w:customStyle="1" w:styleId="Headerorfooter20">
    <w:name w:val="Header or footer|2"/>
    <w:basedOn w:val="Normln"/>
    <w:link w:val="Headerorfooter2"/>
    <w:rPr>
      <w:sz w:val="20"/>
      <w:szCs w:val="20"/>
    </w:rPr>
  </w:style>
  <w:style w:type="paragraph" w:customStyle="1" w:styleId="Bodytext30">
    <w:name w:val="Body text|3"/>
    <w:basedOn w:val="Normln"/>
    <w:link w:val="Bodytext3"/>
    <w:rPr>
      <w:rFonts w:ascii="Arial" w:eastAsia="Arial" w:hAnsi="Arial" w:cs="Arial"/>
      <w:sz w:val="32"/>
      <w:szCs w:val="32"/>
    </w:rPr>
  </w:style>
  <w:style w:type="paragraph" w:customStyle="1" w:styleId="Bodytext40">
    <w:name w:val="Body text|4"/>
    <w:basedOn w:val="Normln"/>
    <w:link w:val="Bodytext4"/>
    <w:pPr>
      <w:spacing w:line="192" w:lineRule="auto"/>
    </w:pPr>
    <w:rPr>
      <w:sz w:val="12"/>
      <w:szCs w:val="12"/>
      <w:lang w:val="en-US" w:eastAsia="en-US" w:bidi="en-US"/>
    </w:rPr>
  </w:style>
  <w:style w:type="paragraph" w:customStyle="1" w:styleId="Other10">
    <w:name w:val="Other|1"/>
    <w:basedOn w:val="Normln"/>
    <w:link w:val="Other1"/>
    <w:pPr>
      <w:spacing w:after="200"/>
    </w:pPr>
    <w:rPr>
      <w:rFonts w:ascii="Arial" w:eastAsia="Arial" w:hAnsi="Arial" w:cs="Arial"/>
      <w:sz w:val="18"/>
      <w:szCs w:val="18"/>
    </w:rPr>
  </w:style>
  <w:style w:type="paragraph" w:customStyle="1" w:styleId="Bodytext10">
    <w:name w:val="Body text|1"/>
    <w:basedOn w:val="Normln"/>
    <w:link w:val="Bodytext1"/>
    <w:pPr>
      <w:spacing w:after="200"/>
    </w:pPr>
    <w:rPr>
      <w:rFonts w:ascii="Arial" w:eastAsia="Arial" w:hAnsi="Arial" w:cs="Arial"/>
      <w:sz w:val="18"/>
      <w:szCs w:val="18"/>
    </w:rPr>
  </w:style>
  <w:style w:type="paragraph" w:customStyle="1" w:styleId="Heading210">
    <w:name w:val="Heading #2|1"/>
    <w:basedOn w:val="Normln"/>
    <w:link w:val="Heading21"/>
    <w:pPr>
      <w:spacing w:after="100"/>
      <w:outlineLvl w:val="1"/>
    </w:pPr>
    <w:rPr>
      <w:rFonts w:ascii="Courier New" w:eastAsia="Courier New" w:hAnsi="Courier New" w:cs="Courier New"/>
      <w:sz w:val="34"/>
      <w:szCs w:val="34"/>
      <w:lang w:val="en-US" w:eastAsia="en-US" w:bidi="en-US"/>
    </w:rPr>
  </w:style>
  <w:style w:type="paragraph" w:customStyle="1" w:styleId="Bodytext20">
    <w:name w:val="Body text|2"/>
    <w:basedOn w:val="Normln"/>
    <w:link w:val="Bodytext2"/>
    <w:pPr>
      <w:spacing w:line="252" w:lineRule="auto"/>
      <w:ind w:left="2040" w:firstLine="20"/>
    </w:pPr>
    <w:rPr>
      <w:rFonts w:ascii="Arial" w:eastAsia="Arial" w:hAnsi="Arial" w:cs="Arial"/>
      <w:sz w:val="13"/>
      <w:szCs w:val="13"/>
    </w:rPr>
  </w:style>
  <w:style w:type="paragraph" w:customStyle="1" w:styleId="Heading110">
    <w:name w:val="Heading #1|1"/>
    <w:basedOn w:val="Normln"/>
    <w:link w:val="Heading11"/>
    <w:pPr>
      <w:spacing w:after="370"/>
      <w:outlineLvl w:val="0"/>
    </w:pPr>
    <w:rPr>
      <w:sz w:val="40"/>
      <w:szCs w:val="40"/>
    </w:rPr>
  </w:style>
  <w:style w:type="paragraph" w:customStyle="1" w:styleId="Heading310">
    <w:name w:val="Heading #3|1"/>
    <w:basedOn w:val="Normln"/>
    <w:link w:val="Heading31"/>
    <w:pPr>
      <w:spacing w:after="760"/>
      <w:outlineLvl w:val="2"/>
    </w:pPr>
    <w:rPr>
      <w:rFonts w:ascii="Arial" w:eastAsia="Arial" w:hAnsi="Arial" w:cs="Arial"/>
      <w:sz w:val="26"/>
      <w:szCs w:val="26"/>
    </w:rPr>
  </w:style>
  <w:style w:type="paragraph" w:customStyle="1" w:styleId="Heading510">
    <w:name w:val="Heading #5|1"/>
    <w:basedOn w:val="Normln"/>
    <w:link w:val="Heading51"/>
    <w:pPr>
      <w:spacing w:after="330" w:line="312" w:lineRule="auto"/>
      <w:outlineLvl w:val="4"/>
    </w:pPr>
    <w:rPr>
      <w:rFonts w:ascii="Arial" w:eastAsia="Arial" w:hAnsi="Arial" w:cs="Arial"/>
      <w:sz w:val="20"/>
      <w:szCs w:val="20"/>
      <w:shd w:val="clear" w:color="auto" w:fill="FFFFFF"/>
      <w:lang w:val="en-US" w:eastAsia="en-US" w:bidi="en-US"/>
    </w:rPr>
  </w:style>
  <w:style w:type="paragraph" w:customStyle="1" w:styleId="Heading410">
    <w:name w:val="Heading #4|1"/>
    <w:basedOn w:val="Normln"/>
    <w:link w:val="Heading41"/>
    <w:pPr>
      <w:spacing w:after="100"/>
      <w:outlineLvl w:val="3"/>
    </w:pPr>
    <w:rPr>
      <w:rFonts w:ascii="Arial" w:eastAsia="Arial" w:hAnsi="Arial" w:cs="Arial"/>
      <w:sz w:val="22"/>
      <w:szCs w:val="22"/>
    </w:rPr>
  </w:style>
  <w:style w:type="paragraph" w:customStyle="1" w:styleId="Heading610">
    <w:name w:val="Heading #6|1"/>
    <w:basedOn w:val="Normln"/>
    <w:link w:val="Heading61"/>
    <w:pPr>
      <w:spacing w:after="100"/>
      <w:outlineLvl w:val="5"/>
    </w:pPr>
    <w:rPr>
      <w:rFonts w:ascii="Arial" w:eastAsia="Arial" w:hAnsi="Arial" w:cs="Arial"/>
      <w:b/>
      <w:bCs/>
      <w:sz w:val="18"/>
      <w:szCs w:val="18"/>
    </w:rPr>
  </w:style>
  <w:style w:type="paragraph" w:customStyle="1" w:styleId="Tablecaption10">
    <w:name w:val="Table caption|1"/>
    <w:basedOn w:val="Normln"/>
    <w:link w:val="Tablecaption1"/>
    <w:pPr>
      <w:spacing w:after="50"/>
      <w:ind w:firstLine="14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coi.cz"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3520</Words>
  <Characters>20769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Neulsová</dc:creator>
  <cp:keywords/>
  <cp:lastModifiedBy>Krejčiříková Jaroslava</cp:lastModifiedBy>
  <cp:revision>2</cp:revision>
  <dcterms:created xsi:type="dcterms:W3CDTF">2021-10-15T08:30:00Z</dcterms:created>
  <dcterms:modified xsi:type="dcterms:W3CDTF">2021-10-15T08:30:00Z</dcterms:modified>
</cp:coreProperties>
</file>