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3CEC1" w14:textId="77777777" w:rsidR="000E6BDE" w:rsidRDefault="000E6BDE" w:rsidP="000E6BDE">
      <w:pPr>
        <w:spacing w:beforeLines="60" w:before="144"/>
        <w:jc w:val="both"/>
        <w:rPr>
          <w:rFonts w:ascii="Arial" w:hAnsi="Arial" w:cs="Arial"/>
          <w:b/>
          <w:sz w:val="24"/>
          <w:szCs w:val="24"/>
          <w:u w:val="single"/>
        </w:rPr>
      </w:pPr>
      <w:bookmarkStart w:id="0" w:name="_GoBack"/>
      <w:bookmarkEnd w:id="0"/>
      <w:r>
        <w:rPr>
          <w:rFonts w:ascii="Arial" w:hAnsi="Arial" w:cs="Arial"/>
          <w:b/>
          <w:sz w:val="24"/>
          <w:szCs w:val="24"/>
          <w:u w:val="single"/>
        </w:rPr>
        <w:t>Příloha č. 3 smlouvy: Seznam SW</w:t>
      </w:r>
    </w:p>
    <w:p w14:paraId="03AF7931" w14:textId="77777777" w:rsidR="000E6BDE" w:rsidRDefault="000E6BDE" w:rsidP="000E6BDE">
      <w:pPr>
        <w:jc w:val="both"/>
        <w:rPr>
          <w:rFonts w:ascii="Arial" w:hAnsi="Arial" w:cs="Arial"/>
          <w:b/>
          <w:sz w:val="24"/>
          <w:szCs w:val="24"/>
          <w:u w:val="single"/>
        </w:rPr>
      </w:pPr>
    </w:p>
    <w:p w14:paraId="7DC8ED51" w14:textId="77777777" w:rsidR="000E6BDE" w:rsidRDefault="000E6BDE" w:rsidP="000E6BDE">
      <w:pPr>
        <w:jc w:val="both"/>
        <w:rPr>
          <w:rFonts w:ascii="Arial" w:hAnsi="Arial" w:cs="Arial"/>
        </w:rPr>
      </w:pPr>
      <w:r>
        <w:rPr>
          <w:rFonts w:ascii="Arial" w:hAnsi="Arial" w:cs="Arial"/>
        </w:rPr>
        <w:t xml:space="preserve">V této příloze je v souladu s článkem I. uveden SW, který je nainstalován na výpočetní technice, předané nájemci. K tomuto </w:t>
      </w:r>
      <w:r w:rsidR="0003658C">
        <w:rPr>
          <w:rFonts w:ascii="Arial" w:hAnsi="Arial" w:cs="Arial"/>
        </w:rPr>
        <w:t>SW pronají</w:t>
      </w:r>
      <w:r>
        <w:rPr>
          <w:rFonts w:ascii="Arial" w:hAnsi="Arial" w:cs="Arial"/>
        </w:rPr>
        <w:t>matel vlastní příslušné licence</w:t>
      </w:r>
      <w:r w:rsidR="0003658C">
        <w:rPr>
          <w:rFonts w:ascii="Arial" w:hAnsi="Arial" w:cs="Arial"/>
        </w:rPr>
        <w:t>.</w:t>
      </w:r>
    </w:p>
    <w:p w14:paraId="20453630" w14:textId="77777777" w:rsidR="000E6BDE" w:rsidRDefault="000E6BDE" w:rsidP="000E6BD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tblGrid>
      <w:tr w:rsidR="005F4D45" w:rsidRPr="00224577" w14:paraId="60AFAF78" w14:textId="77777777" w:rsidTr="005F4D45">
        <w:tc>
          <w:tcPr>
            <w:tcW w:w="5437" w:type="dxa"/>
            <w:shd w:val="clear" w:color="auto" w:fill="auto"/>
          </w:tcPr>
          <w:p w14:paraId="1A3C895C" w14:textId="77777777" w:rsidR="005F4D45" w:rsidRPr="00224577" w:rsidRDefault="005F4D45" w:rsidP="00FE0BF3">
            <w:pPr>
              <w:jc w:val="both"/>
              <w:rPr>
                <w:rFonts w:ascii="Arial" w:hAnsi="Arial" w:cs="Arial"/>
              </w:rPr>
            </w:pPr>
            <w:r w:rsidRPr="00224577">
              <w:rPr>
                <w:rFonts w:ascii="Arial" w:hAnsi="Arial" w:cs="Arial"/>
              </w:rPr>
              <w:t>Popis licence</w:t>
            </w:r>
          </w:p>
        </w:tc>
      </w:tr>
      <w:tr w:rsidR="005F4D45" w:rsidRPr="00224577" w14:paraId="60C9E1D1" w14:textId="77777777" w:rsidTr="005F4D45">
        <w:tc>
          <w:tcPr>
            <w:tcW w:w="5437" w:type="dxa"/>
            <w:shd w:val="clear" w:color="auto" w:fill="auto"/>
          </w:tcPr>
          <w:p w14:paraId="4EEB7997" w14:textId="77777777" w:rsidR="005F4D45" w:rsidRPr="00224577" w:rsidRDefault="005F4D45" w:rsidP="0003658C">
            <w:pPr>
              <w:jc w:val="both"/>
              <w:rPr>
                <w:rFonts w:ascii="Arial" w:hAnsi="Arial" w:cs="Arial"/>
              </w:rPr>
            </w:pPr>
            <w:r>
              <w:rPr>
                <w:rFonts w:ascii="Arial" w:hAnsi="Arial" w:cs="Arial"/>
              </w:rPr>
              <w:t>Windows 10 Pro</w:t>
            </w:r>
          </w:p>
        </w:tc>
      </w:tr>
      <w:tr w:rsidR="005F4D45" w:rsidRPr="00224577" w14:paraId="17B8039E" w14:textId="77777777" w:rsidTr="005F4D45">
        <w:tc>
          <w:tcPr>
            <w:tcW w:w="5437" w:type="dxa"/>
            <w:shd w:val="clear" w:color="auto" w:fill="auto"/>
          </w:tcPr>
          <w:p w14:paraId="3BE90158" w14:textId="0E954E66" w:rsidR="005F4D45" w:rsidRPr="00224577" w:rsidRDefault="005F4D45" w:rsidP="005F4D45">
            <w:pPr>
              <w:jc w:val="both"/>
              <w:rPr>
                <w:rFonts w:ascii="Arial" w:hAnsi="Arial" w:cs="Arial"/>
              </w:rPr>
            </w:pPr>
            <w:r>
              <w:rPr>
                <w:rFonts w:ascii="Arial" w:hAnsi="Arial" w:cs="Arial"/>
              </w:rPr>
              <w:t xml:space="preserve">Kaspersky Anti-Virus </w:t>
            </w:r>
            <w:proofErr w:type="spellStart"/>
            <w:r>
              <w:rPr>
                <w:rFonts w:ascii="Arial" w:hAnsi="Arial" w:cs="Arial"/>
              </w:rPr>
              <w:t>Suite</w:t>
            </w:r>
            <w:proofErr w:type="spellEnd"/>
          </w:p>
        </w:tc>
      </w:tr>
      <w:tr w:rsidR="005F4D45" w:rsidRPr="00224577" w14:paraId="5D2B1877" w14:textId="77777777" w:rsidTr="005F4D45">
        <w:tc>
          <w:tcPr>
            <w:tcW w:w="5437" w:type="dxa"/>
            <w:shd w:val="clear" w:color="auto" w:fill="auto"/>
          </w:tcPr>
          <w:p w14:paraId="096F85AA" w14:textId="15DDF73F" w:rsidR="005F4D45" w:rsidRPr="00224577" w:rsidRDefault="005F4D45" w:rsidP="006972D8">
            <w:pPr>
              <w:jc w:val="both"/>
              <w:rPr>
                <w:rFonts w:ascii="Arial" w:hAnsi="Arial" w:cs="Arial"/>
              </w:rPr>
            </w:pPr>
            <w:r>
              <w:rPr>
                <w:rFonts w:ascii="Arial" w:hAnsi="Arial" w:cs="Arial"/>
              </w:rPr>
              <w:t>CARDPAY 2.</w:t>
            </w:r>
            <w:r w:rsidR="006972D8">
              <w:rPr>
                <w:rFonts w:ascii="Arial" w:hAnsi="Arial" w:cs="Arial"/>
              </w:rPr>
              <w:t>9</w:t>
            </w:r>
            <w:r>
              <w:rPr>
                <w:rFonts w:ascii="Arial" w:hAnsi="Arial" w:cs="Arial"/>
              </w:rPr>
              <w:t>.</w:t>
            </w:r>
            <w:r w:rsidR="006972D8">
              <w:rPr>
                <w:rFonts w:ascii="Arial" w:hAnsi="Arial" w:cs="Arial"/>
              </w:rPr>
              <w:t>2</w:t>
            </w:r>
          </w:p>
        </w:tc>
      </w:tr>
      <w:tr w:rsidR="005F4D45" w:rsidRPr="00224577" w14:paraId="2D53D487" w14:textId="77777777" w:rsidTr="005F4D45">
        <w:tc>
          <w:tcPr>
            <w:tcW w:w="5437" w:type="dxa"/>
            <w:shd w:val="clear" w:color="auto" w:fill="auto"/>
          </w:tcPr>
          <w:p w14:paraId="5956862A" w14:textId="3F2F121B" w:rsidR="005F4D45" w:rsidRPr="00224577" w:rsidRDefault="005F4D45" w:rsidP="00FE0BF3">
            <w:pPr>
              <w:jc w:val="both"/>
              <w:rPr>
                <w:rFonts w:ascii="Arial" w:hAnsi="Arial" w:cs="Arial"/>
              </w:rPr>
            </w:pPr>
            <w:r>
              <w:rPr>
                <w:rFonts w:ascii="Arial" w:hAnsi="Arial" w:cs="Arial"/>
              </w:rPr>
              <w:t>MS Office</w:t>
            </w:r>
            <w:r w:rsidR="00204873">
              <w:rPr>
                <w:rFonts w:ascii="Arial" w:hAnsi="Arial" w:cs="Arial"/>
              </w:rPr>
              <w:t xml:space="preserve"> 2016</w:t>
            </w:r>
          </w:p>
        </w:tc>
      </w:tr>
    </w:tbl>
    <w:p w14:paraId="040D0ED8" w14:textId="77777777" w:rsidR="000E6BDE" w:rsidRDefault="000E6BDE" w:rsidP="000E6BDE">
      <w:pPr>
        <w:jc w:val="both"/>
        <w:rPr>
          <w:rFonts w:ascii="Arial" w:hAnsi="Arial" w:cs="Arial"/>
        </w:rPr>
      </w:pPr>
    </w:p>
    <w:p w14:paraId="03FF391B" w14:textId="77777777" w:rsidR="000E6BDE" w:rsidRDefault="000E6BDE" w:rsidP="000E6BDE">
      <w:pPr>
        <w:jc w:val="both"/>
        <w:rPr>
          <w:rFonts w:ascii="Arial" w:hAnsi="Arial" w:cs="Arial"/>
        </w:rPr>
      </w:pPr>
    </w:p>
    <w:p w14:paraId="713E82F8" w14:textId="77777777" w:rsidR="000E6BDE" w:rsidRDefault="000E6BDE" w:rsidP="000E6BDE">
      <w:pPr>
        <w:jc w:val="both"/>
        <w:rPr>
          <w:rFonts w:ascii="Arial" w:hAnsi="Arial" w:cs="Arial"/>
        </w:rPr>
      </w:pPr>
    </w:p>
    <w:p w14:paraId="06334CD9" w14:textId="77777777" w:rsidR="000E6BDE" w:rsidRDefault="000E6BDE" w:rsidP="000E6BDE">
      <w:pPr>
        <w:jc w:val="both"/>
        <w:rPr>
          <w:rFonts w:ascii="Arial" w:hAnsi="Arial" w:cs="Arial"/>
        </w:rPr>
      </w:pPr>
    </w:p>
    <w:p w14:paraId="7917D1E8" w14:textId="77777777" w:rsidR="000E6BDE" w:rsidRDefault="000E6BDE" w:rsidP="000E6BDE">
      <w:pPr>
        <w:jc w:val="both"/>
        <w:rPr>
          <w:rFonts w:ascii="Arial" w:hAnsi="Arial" w:cs="Arial"/>
        </w:rPr>
      </w:pPr>
    </w:p>
    <w:p w14:paraId="21DCB083" w14:textId="77777777" w:rsidR="000E6BDE" w:rsidRDefault="000E6BDE" w:rsidP="000E6BDE">
      <w:pPr>
        <w:jc w:val="both"/>
        <w:rPr>
          <w:rFonts w:ascii="Arial" w:hAnsi="Arial" w:cs="Arial"/>
        </w:rPr>
      </w:pPr>
    </w:p>
    <w:p w14:paraId="6944D618" w14:textId="77777777" w:rsidR="008D1D6D" w:rsidRPr="00452752" w:rsidRDefault="000E6BDE" w:rsidP="008D1D6D">
      <w:pPr>
        <w:overflowPunct w:val="0"/>
        <w:autoSpaceDE w:val="0"/>
        <w:autoSpaceDN w:val="0"/>
        <w:adjustRightInd w:val="0"/>
        <w:spacing w:before="120" w:line="280" w:lineRule="atLeast"/>
        <w:jc w:val="both"/>
        <w:rPr>
          <w:rFonts w:ascii="Arial" w:eastAsia="Times New Roman" w:hAnsi="Arial" w:cs="Arial"/>
          <w:b/>
          <w:sz w:val="24"/>
        </w:rPr>
      </w:pPr>
      <w:r>
        <w:rPr>
          <w:rFonts w:ascii="Arial" w:hAnsi="Arial" w:cs="Arial"/>
          <w:b/>
          <w:sz w:val="24"/>
          <w:szCs w:val="24"/>
          <w:u w:val="single"/>
        </w:rPr>
        <w:br w:type="page"/>
      </w:r>
      <w:r w:rsidR="008D1D6D" w:rsidRPr="00452752">
        <w:rPr>
          <w:rFonts w:ascii="Arial" w:eastAsia="Times New Roman" w:hAnsi="Arial" w:cs="Arial"/>
          <w:b/>
          <w:sz w:val="24"/>
        </w:rPr>
        <w:lastRenderedPageBreak/>
        <w:t>Bezpečnostní pravidla pro práci v informačním systému (IS) Zlínského kraje (</w:t>
      </w:r>
      <w:r w:rsidR="008D1D6D">
        <w:rPr>
          <w:rFonts w:ascii="Arial" w:eastAsia="Times New Roman" w:hAnsi="Arial" w:cs="Arial"/>
          <w:b/>
          <w:sz w:val="24"/>
        </w:rPr>
        <w:t>ZK</w:t>
      </w:r>
      <w:r w:rsidR="008D1D6D" w:rsidRPr="00452752">
        <w:rPr>
          <w:rFonts w:ascii="Arial" w:eastAsia="Times New Roman" w:hAnsi="Arial" w:cs="Arial"/>
          <w:b/>
          <w:sz w:val="24"/>
        </w:rPr>
        <w:t>)</w:t>
      </w:r>
    </w:p>
    <w:p w14:paraId="10D656ED" w14:textId="77777777" w:rsidR="008D1D6D" w:rsidRPr="00452752" w:rsidRDefault="008D1D6D" w:rsidP="008D1D6D">
      <w:pPr>
        <w:rPr>
          <w:rFonts w:ascii="Arial" w:hAnsi="Arial" w:cs="Arial"/>
        </w:rPr>
      </w:pPr>
    </w:p>
    <w:p w14:paraId="09D16D69" w14:textId="77777777" w:rsidR="008D1D6D" w:rsidRPr="00452752" w:rsidRDefault="008D1D6D" w:rsidP="008D1D6D">
      <w:pPr>
        <w:rPr>
          <w:rFonts w:ascii="Arial" w:hAnsi="Arial" w:cs="Arial"/>
        </w:rPr>
      </w:pPr>
      <w:r w:rsidRPr="00452752">
        <w:rPr>
          <w:rFonts w:ascii="Arial" w:hAnsi="Arial" w:cs="Arial"/>
        </w:rPr>
        <w:t>ICT (informační a komunikační technologie) jsou veškeré informační technologie používané pro komunikaci a práci s informacemi</w:t>
      </w:r>
    </w:p>
    <w:p w14:paraId="425F082C" w14:textId="77777777" w:rsidR="008D1D6D" w:rsidRPr="00452752" w:rsidRDefault="008D1D6D" w:rsidP="008D1D6D">
      <w:pPr>
        <w:rPr>
          <w:rFonts w:ascii="Arial" w:hAnsi="Arial" w:cs="Arial"/>
          <w:strike/>
        </w:rPr>
      </w:pPr>
      <w:r w:rsidRPr="00452752">
        <w:rPr>
          <w:rFonts w:ascii="Arial" w:hAnsi="Arial" w:cs="Arial"/>
        </w:rPr>
        <w:t>IS (Informační systém) je celek složený z počítačového hardwaru, souvisejícího softwaru a dat.</w:t>
      </w:r>
    </w:p>
    <w:p w14:paraId="52C94E35" w14:textId="77777777" w:rsidR="008D1D6D" w:rsidRPr="00452752" w:rsidRDefault="008D1D6D" w:rsidP="008D1D6D">
      <w:pPr>
        <w:numPr>
          <w:ilvl w:val="0"/>
          <w:numId w:val="1"/>
        </w:numPr>
        <w:overflowPunct w:val="0"/>
        <w:autoSpaceDE w:val="0"/>
        <w:autoSpaceDN w:val="0"/>
        <w:adjustRightInd w:val="0"/>
        <w:spacing w:before="120" w:line="280" w:lineRule="atLeast"/>
        <w:jc w:val="both"/>
        <w:rPr>
          <w:rFonts w:ascii="Arial" w:eastAsia="Times New Roman" w:hAnsi="Arial" w:cs="Arial"/>
          <w:b/>
          <w:sz w:val="24"/>
        </w:rPr>
      </w:pPr>
      <w:proofErr w:type="gramStart"/>
      <w:r w:rsidRPr="00452752">
        <w:rPr>
          <w:rFonts w:ascii="Arial" w:eastAsia="Times New Roman" w:hAnsi="Arial" w:cs="Arial"/>
          <w:b/>
          <w:sz w:val="24"/>
        </w:rPr>
        <w:t>Přístup k IS</w:t>
      </w:r>
      <w:proofErr w:type="gramEnd"/>
      <w:r>
        <w:rPr>
          <w:rFonts w:ascii="Arial" w:eastAsia="Times New Roman" w:hAnsi="Arial" w:cs="Arial"/>
          <w:b/>
          <w:sz w:val="24"/>
        </w:rPr>
        <w:t xml:space="preserve"> ZK</w:t>
      </w:r>
    </w:p>
    <w:p w14:paraId="0FCA395F" w14:textId="77777777" w:rsidR="008D1D6D" w:rsidRPr="00452752"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 xml:space="preserve">Přístup jiných subjektů </w:t>
      </w:r>
      <w:r w:rsidRPr="00452752">
        <w:rPr>
          <w:rFonts w:ascii="Arial" w:hAnsi="Arial" w:cs="Arial"/>
          <w:lang w:eastAsia="x-none"/>
        </w:rPr>
        <w:t>(</w:t>
      </w:r>
      <w:r w:rsidRPr="00255DF5">
        <w:rPr>
          <w:rFonts w:ascii="Arial" w:hAnsi="Arial" w:cs="Arial"/>
          <w:lang w:eastAsia="x-none"/>
        </w:rPr>
        <w:t xml:space="preserve">dále </w:t>
      </w:r>
      <w:r w:rsidRPr="00255DF5">
        <w:rPr>
          <w:rFonts w:ascii="Arial" w:hAnsi="Arial" w:cs="Arial"/>
          <w:lang w:val="x-none" w:eastAsia="x-none"/>
        </w:rPr>
        <w:t>jen druhá smluvní strana</w:t>
      </w:r>
      <w:r w:rsidRPr="00452752">
        <w:rPr>
          <w:rFonts w:ascii="Arial" w:hAnsi="Arial" w:cs="Arial"/>
          <w:lang w:eastAsia="x-none"/>
        </w:rPr>
        <w:t>)</w:t>
      </w:r>
      <w:r w:rsidRPr="00452752">
        <w:rPr>
          <w:rFonts w:ascii="Arial" w:hAnsi="Arial" w:cs="Arial"/>
          <w:lang w:val="x-none" w:eastAsia="x-none"/>
        </w:rPr>
        <w:t xml:space="preserve"> k </w:t>
      </w:r>
      <w:r w:rsidRPr="00452752">
        <w:rPr>
          <w:rFonts w:ascii="Arial" w:hAnsi="Arial" w:cs="Arial"/>
          <w:lang w:eastAsia="x-none"/>
        </w:rPr>
        <w:t>IS</w:t>
      </w:r>
      <w:r w:rsidRPr="00452752">
        <w:rPr>
          <w:rFonts w:ascii="Arial" w:hAnsi="Arial" w:cs="Arial"/>
          <w:lang w:val="x-none" w:eastAsia="x-none"/>
        </w:rPr>
        <w:t xml:space="preserve"> </w:t>
      </w:r>
      <w:r>
        <w:rPr>
          <w:rFonts w:ascii="Arial" w:hAnsi="Arial" w:cs="Arial"/>
          <w:lang w:eastAsia="x-none"/>
        </w:rPr>
        <w:t>ZK</w:t>
      </w:r>
      <w:r w:rsidRPr="00452752">
        <w:rPr>
          <w:rFonts w:ascii="Arial" w:hAnsi="Arial" w:cs="Arial"/>
          <w:lang w:val="x-none" w:eastAsia="x-none"/>
        </w:rPr>
        <w:t xml:space="preserve"> je možný pouze na základě smluvně ošetřeného vztahu s</w:t>
      </w:r>
      <w:r>
        <w:rPr>
          <w:rFonts w:ascii="Arial" w:hAnsi="Arial" w:cs="Arial"/>
          <w:lang w:eastAsia="x-none"/>
        </w:rPr>
        <w:t>e Zlínským</w:t>
      </w:r>
      <w:r w:rsidRPr="00452752">
        <w:rPr>
          <w:rFonts w:ascii="Arial" w:hAnsi="Arial" w:cs="Arial"/>
          <w:lang w:val="x-none" w:eastAsia="x-none"/>
        </w:rPr>
        <w:t> krajem.</w:t>
      </w:r>
    </w:p>
    <w:p w14:paraId="5C07BD7D" w14:textId="77777777" w:rsidR="008D1D6D" w:rsidRPr="00452752"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Druhá smluvní strana je povinna dodržovat bezpečnost</w:t>
      </w:r>
      <w:r>
        <w:rPr>
          <w:rFonts w:ascii="Arial" w:hAnsi="Arial" w:cs="Arial"/>
          <w:lang w:val="x-none" w:eastAsia="x-none"/>
        </w:rPr>
        <w:t xml:space="preserve">ní pravidla pro práci v IS </w:t>
      </w:r>
      <w:r>
        <w:rPr>
          <w:rFonts w:ascii="Arial" w:hAnsi="Arial" w:cs="Arial"/>
          <w:lang w:eastAsia="x-none"/>
        </w:rPr>
        <w:t>ZK</w:t>
      </w:r>
      <w:r>
        <w:rPr>
          <w:rFonts w:ascii="Arial" w:hAnsi="Arial" w:cs="Arial"/>
          <w:lang w:val="x-none" w:eastAsia="x-none"/>
        </w:rPr>
        <w:t xml:space="preserve"> </w:t>
      </w:r>
      <w:r w:rsidRPr="00452752">
        <w:rPr>
          <w:rFonts w:ascii="Arial" w:hAnsi="Arial" w:cs="Arial"/>
          <w:lang w:val="x-none" w:eastAsia="x-none"/>
        </w:rPr>
        <w:t>a nese v souladu s platnou legislativou a předpisy svůj díl odpovědnosti za nedodržení či porušení pravidel, případně za škody vzniklé v důsledku bezpečnostních incidentů, které zavinila.</w:t>
      </w:r>
      <w:r w:rsidRPr="00452752">
        <w:rPr>
          <w:rFonts w:ascii="Arial" w:hAnsi="Arial" w:cs="Arial"/>
          <w:lang w:eastAsia="x-none"/>
        </w:rPr>
        <w:t xml:space="preserve"> </w:t>
      </w:r>
    </w:p>
    <w:p w14:paraId="2FFD454B"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w:t>
      </w:r>
    </w:p>
    <w:p w14:paraId="225822C4"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Druhá smluvní strana je povinna používat pouze jí přidělené přístupy a</w:t>
      </w:r>
      <w:r w:rsidRPr="00D71427">
        <w:rPr>
          <w:rFonts w:ascii="Arial" w:hAnsi="Arial" w:cs="Arial"/>
          <w:lang w:val="x-none" w:eastAsia="x-none"/>
        </w:rPr>
        <w:t xml:space="preserve"> povolené způsoby přístupu, </w:t>
      </w:r>
      <w:r w:rsidRPr="00D71427">
        <w:rPr>
          <w:rFonts w:ascii="Arial" w:hAnsi="Arial" w:cs="Arial"/>
          <w:lang w:eastAsia="x-none"/>
        </w:rPr>
        <w:t xml:space="preserve">(fyzické přístupy, </w:t>
      </w:r>
      <w:r w:rsidRPr="00D71427">
        <w:rPr>
          <w:rFonts w:ascii="Arial" w:hAnsi="Arial" w:cs="Arial"/>
          <w:lang w:val="x-none" w:eastAsia="x-none"/>
        </w:rPr>
        <w:t>přístupové údaje</w:t>
      </w:r>
      <w:r w:rsidRPr="00D71427">
        <w:rPr>
          <w:rFonts w:ascii="Arial" w:hAnsi="Arial" w:cs="Arial"/>
          <w:lang w:eastAsia="x-none"/>
        </w:rPr>
        <w:t>,</w:t>
      </w:r>
      <w:r w:rsidRPr="00D71427">
        <w:rPr>
          <w:rFonts w:ascii="Arial" w:hAnsi="Arial" w:cs="Arial"/>
          <w:lang w:val="x-none" w:eastAsia="x-none"/>
        </w:rPr>
        <w:t xml:space="preserve"> povolené časy pro přístup a přidělená oprávnění</w:t>
      </w:r>
      <w:r w:rsidRPr="00D71427">
        <w:rPr>
          <w:rFonts w:ascii="Arial" w:hAnsi="Arial" w:cs="Arial"/>
          <w:lang w:eastAsia="x-none"/>
        </w:rPr>
        <w:t>), a je odpovědná za jejich používání,</w:t>
      </w:r>
      <w:r w:rsidRPr="00D71427">
        <w:rPr>
          <w:rFonts w:ascii="Arial" w:hAnsi="Arial" w:cs="Arial"/>
          <w:lang w:val="x-none" w:eastAsia="x-none"/>
        </w:rPr>
        <w:t xml:space="preserve"> za svou </w:t>
      </w:r>
      <w:proofErr w:type="gramStart"/>
      <w:r w:rsidRPr="00D71427">
        <w:rPr>
          <w:rFonts w:ascii="Arial" w:hAnsi="Arial" w:cs="Arial"/>
          <w:lang w:val="x-none" w:eastAsia="x-none"/>
        </w:rPr>
        <w:t>činnost v IS</w:t>
      </w:r>
      <w:proofErr w:type="gramEnd"/>
      <w:r w:rsidRPr="00D71427">
        <w:rPr>
          <w:rFonts w:ascii="Arial" w:hAnsi="Arial" w:cs="Arial"/>
          <w:lang w:val="x-none" w:eastAsia="x-none"/>
        </w:rPr>
        <w:t xml:space="preserve"> </w:t>
      </w:r>
      <w:r w:rsidRPr="00D71427">
        <w:rPr>
          <w:rFonts w:ascii="Arial" w:hAnsi="Arial" w:cs="Arial"/>
          <w:lang w:eastAsia="x-none"/>
        </w:rPr>
        <w:t>ZK</w:t>
      </w:r>
      <w:r w:rsidRPr="00D71427">
        <w:rPr>
          <w:rFonts w:ascii="Arial" w:hAnsi="Arial" w:cs="Arial"/>
          <w:lang w:val="x-none" w:eastAsia="x-none"/>
        </w:rPr>
        <w:t xml:space="preserve"> a </w:t>
      </w:r>
      <w:r w:rsidRPr="00D71427">
        <w:rPr>
          <w:rFonts w:ascii="Arial" w:hAnsi="Arial" w:cs="Arial"/>
          <w:lang w:eastAsia="x-none"/>
        </w:rPr>
        <w:t xml:space="preserve">dodržování bezpečnostních pravidel </w:t>
      </w:r>
      <w:r w:rsidRPr="00D71427">
        <w:rPr>
          <w:rFonts w:ascii="Arial" w:hAnsi="Arial" w:cs="Arial"/>
          <w:lang w:val="x-none" w:eastAsia="x-none"/>
        </w:rPr>
        <w:t>při práci s informacemi</w:t>
      </w:r>
      <w:r w:rsidRPr="00D71427">
        <w:rPr>
          <w:rFonts w:ascii="Arial" w:hAnsi="Arial" w:cs="Arial"/>
          <w:lang w:eastAsia="x-none"/>
        </w:rPr>
        <w:t>. Přidělené</w:t>
      </w:r>
      <w:r w:rsidRPr="00D71427">
        <w:rPr>
          <w:rFonts w:ascii="Arial" w:hAnsi="Arial" w:cs="Arial"/>
          <w:lang w:val="x-none" w:eastAsia="x-none"/>
        </w:rPr>
        <w:t xml:space="preserve"> údaje jsou</w:t>
      </w:r>
      <w:r w:rsidRPr="00D71427">
        <w:rPr>
          <w:rFonts w:ascii="Arial" w:hAnsi="Arial" w:cs="Arial"/>
          <w:lang w:eastAsia="x-none"/>
        </w:rPr>
        <w:t xml:space="preserve"> pro druhou stranu závazné,</w:t>
      </w:r>
      <w:r w:rsidRPr="00D71427">
        <w:rPr>
          <w:rFonts w:ascii="Arial" w:hAnsi="Arial" w:cs="Arial"/>
          <w:lang w:val="x-none" w:eastAsia="x-none"/>
        </w:rPr>
        <w:t xml:space="preserve"> </w:t>
      </w:r>
      <w:r w:rsidRPr="00D71427">
        <w:rPr>
          <w:rFonts w:ascii="Arial" w:hAnsi="Arial" w:cs="Arial"/>
          <w:lang w:eastAsia="x-none"/>
        </w:rPr>
        <w:t xml:space="preserve">jsou </w:t>
      </w:r>
      <w:r w:rsidRPr="00D71427">
        <w:rPr>
          <w:rFonts w:ascii="Arial" w:hAnsi="Arial" w:cs="Arial"/>
          <w:lang w:val="x-none" w:eastAsia="x-none"/>
        </w:rPr>
        <w:t>důvěrné a jsou platné jen po dobu platnosti smlouvy.</w:t>
      </w:r>
      <w:r w:rsidRPr="00D71427">
        <w:rPr>
          <w:rFonts w:ascii="Arial" w:hAnsi="Arial" w:cs="Arial"/>
          <w:lang w:eastAsia="x-none"/>
        </w:rPr>
        <w:t xml:space="preserve"> Tyto údaje jsou </w:t>
      </w:r>
      <w:r w:rsidRPr="00D71427">
        <w:rPr>
          <w:rFonts w:ascii="Arial" w:hAnsi="Arial" w:cs="Arial"/>
          <w:lang w:val="x-none" w:eastAsia="x-none"/>
        </w:rPr>
        <w:t>uvedeny ve smlouvě</w:t>
      </w:r>
      <w:r w:rsidRPr="00D71427">
        <w:rPr>
          <w:rFonts w:ascii="Arial" w:hAnsi="Arial" w:cs="Arial"/>
          <w:lang w:eastAsia="x-none"/>
        </w:rPr>
        <w:t xml:space="preserve"> nebo v Předávacím protokolu k účtu.</w:t>
      </w:r>
    </w:p>
    <w:p w14:paraId="2A3A8ED9"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Přístup</w:t>
      </w:r>
      <w:r w:rsidRPr="00D71427">
        <w:rPr>
          <w:rFonts w:ascii="Arial" w:hAnsi="Arial" w:cs="Arial"/>
          <w:lang w:eastAsia="x-none"/>
        </w:rPr>
        <w:t>y</w:t>
      </w:r>
      <w:r w:rsidRPr="00D71427">
        <w:rPr>
          <w:rFonts w:ascii="Arial" w:hAnsi="Arial" w:cs="Arial"/>
          <w:lang w:val="x-none" w:eastAsia="x-none"/>
        </w:rPr>
        <w:t xml:space="preserve"> a přístupová oprávnění jsou přidělena pouze v rozsahu nezbytně nutném pro výkon smluvních závazků.</w:t>
      </w:r>
      <w:r w:rsidRPr="00D71427">
        <w:rPr>
          <w:rFonts w:ascii="Arial" w:hAnsi="Arial" w:cs="Arial"/>
          <w:lang w:eastAsia="x-none"/>
        </w:rPr>
        <w:t xml:space="preserve"> Druhá smluvní strana nesmí do přidělených oprávnění zasahovat a měnit je. Pokud zjistí, že oprávnění jsou odlišná od dohodnutých, neprodleně na to upozorní odpovědné osoby nebo Správce IS.</w:t>
      </w:r>
    </w:p>
    <w:p w14:paraId="2386E5EA"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 xml:space="preserve">Druhá smluvní strana nesmí vytvářet žádné přístupové cesty do IS ZK a měnit přístupová oprávnění. Tyto změny může provádět Správce IS na základě písemné žádosti.   </w:t>
      </w:r>
    </w:p>
    <w:p w14:paraId="092EF5A3"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Přistupovat k IS </w:t>
      </w:r>
      <w:r w:rsidRPr="00D71427">
        <w:rPr>
          <w:rFonts w:ascii="Arial" w:hAnsi="Arial" w:cs="Arial"/>
          <w:lang w:eastAsia="x-none"/>
        </w:rPr>
        <w:t>ZK</w:t>
      </w:r>
      <w:r w:rsidRPr="00D71427">
        <w:rPr>
          <w:rFonts w:ascii="Arial" w:hAnsi="Arial" w:cs="Arial"/>
          <w:lang w:val="x-none" w:eastAsia="x-none"/>
        </w:rPr>
        <w:t xml:space="preserve"> mohou pouze poučení pracovníci druhé smluvní strany. Druhá smluvní strana zajistí před zahájením</w:t>
      </w:r>
      <w:r w:rsidRPr="00D71427">
        <w:rPr>
          <w:rFonts w:ascii="Arial" w:hAnsi="Arial" w:cs="Arial"/>
          <w:lang w:eastAsia="x-none"/>
        </w:rPr>
        <w:t xml:space="preserve"> prací</w:t>
      </w:r>
      <w:r w:rsidRPr="00D71427">
        <w:rPr>
          <w:rFonts w:ascii="Arial" w:hAnsi="Arial" w:cs="Arial"/>
          <w:lang w:val="x-none" w:eastAsia="x-none"/>
        </w:rPr>
        <w:t xml:space="preserve"> poučení a proškolení všech svých pracovníků a subdodavatelů, kteří budou přistupovat k I</w:t>
      </w:r>
      <w:r w:rsidRPr="00D71427">
        <w:rPr>
          <w:rFonts w:ascii="Arial" w:hAnsi="Arial" w:cs="Arial"/>
          <w:lang w:eastAsia="x-none"/>
        </w:rPr>
        <w:t>S</w:t>
      </w:r>
      <w:r w:rsidRPr="00D71427">
        <w:rPr>
          <w:rFonts w:ascii="Arial" w:hAnsi="Arial" w:cs="Arial"/>
          <w:lang w:val="x-none" w:eastAsia="x-none"/>
        </w:rPr>
        <w:t xml:space="preserve"> </w:t>
      </w:r>
      <w:r w:rsidRPr="00D71427">
        <w:rPr>
          <w:rFonts w:ascii="Arial" w:hAnsi="Arial" w:cs="Arial"/>
          <w:lang w:eastAsia="x-none"/>
        </w:rPr>
        <w:t>ZK</w:t>
      </w:r>
      <w:r w:rsidRPr="00D71427">
        <w:rPr>
          <w:rFonts w:ascii="Arial" w:hAnsi="Arial" w:cs="Arial"/>
          <w:lang w:val="x-none" w:eastAsia="x-none"/>
        </w:rPr>
        <w:t>.</w:t>
      </w:r>
    </w:p>
    <w:p w14:paraId="69922775" w14:textId="5403125B"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Pracovníci druhé smluvní strany jsou povinni řídit se pokyny </w:t>
      </w:r>
      <w:r w:rsidRPr="00D71427">
        <w:rPr>
          <w:rFonts w:ascii="Arial" w:hAnsi="Arial" w:cs="Arial"/>
          <w:lang w:eastAsia="x-none"/>
        </w:rPr>
        <w:t xml:space="preserve">odpovědných </w:t>
      </w:r>
      <w:r w:rsidRPr="00D71427">
        <w:rPr>
          <w:rFonts w:ascii="Arial" w:hAnsi="Arial" w:cs="Arial"/>
          <w:lang w:val="x-none" w:eastAsia="x-none"/>
        </w:rPr>
        <w:t>osob</w:t>
      </w:r>
      <w:r w:rsidRPr="00D71427">
        <w:rPr>
          <w:rFonts w:ascii="Arial" w:hAnsi="Arial" w:cs="Arial"/>
          <w:lang w:eastAsia="x-none"/>
        </w:rPr>
        <w:t xml:space="preserve"> (uvedených ve smlouvě),</w:t>
      </w:r>
      <w:r w:rsidRPr="00D71427">
        <w:rPr>
          <w:rFonts w:ascii="Arial" w:hAnsi="Arial" w:cs="Arial"/>
          <w:lang w:val="x-none" w:eastAsia="x-none"/>
        </w:rPr>
        <w:t xml:space="preserve"> </w:t>
      </w:r>
      <w:r w:rsidRPr="00D71427">
        <w:rPr>
          <w:rFonts w:ascii="Arial" w:hAnsi="Arial" w:cs="Arial"/>
          <w:lang w:eastAsia="x-none"/>
        </w:rPr>
        <w:t xml:space="preserve">Správců IS a </w:t>
      </w:r>
      <w:r w:rsidRPr="00D71427">
        <w:rPr>
          <w:rFonts w:ascii="Arial" w:hAnsi="Arial" w:cs="Arial"/>
          <w:lang w:val="x-none" w:eastAsia="x-none"/>
        </w:rPr>
        <w:t xml:space="preserve">dalších pracovníků </w:t>
      </w:r>
      <w:r w:rsidR="006972D8">
        <w:rPr>
          <w:rFonts w:ascii="Arial" w:hAnsi="Arial" w:cs="Arial"/>
          <w:lang w:eastAsia="x-none"/>
        </w:rPr>
        <w:t>odboru informačních a komunikačních technologií.</w:t>
      </w:r>
      <w:r w:rsidRPr="00D71427">
        <w:rPr>
          <w:rFonts w:ascii="Arial" w:hAnsi="Arial" w:cs="Arial"/>
          <w:lang w:eastAsia="x-none"/>
        </w:rPr>
        <w:t xml:space="preserve"> </w:t>
      </w:r>
    </w:p>
    <w:p w14:paraId="2700AB04"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Činnost druhé smluvní strany v IS </w:t>
      </w:r>
      <w:r w:rsidRPr="00D71427">
        <w:rPr>
          <w:rFonts w:ascii="Arial" w:hAnsi="Arial" w:cs="Arial"/>
          <w:lang w:eastAsia="x-none"/>
        </w:rPr>
        <w:t>ZK</w:t>
      </w:r>
      <w:r w:rsidRPr="00D71427">
        <w:rPr>
          <w:rFonts w:ascii="Arial" w:hAnsi="Arial" w:cs="Arial"/>
          <w:lang w:val="x-none" w:eastAsia="x-none"/>
        </w:rPr>
        <w:t xml:space="preserve"> je monitorována a evidována. Pověření pracovníci </w:t>
      </w:r>
      <w:r w:rsidRPr="00D71427">
        <w:rPr>
          <w:rFonts w:ascii="Arial" w:hAnsi="Arial" w:cs="Arial"/>
          <w:lang w:eastAsia="x-none"/>
        </w:rPr>
        <w:t>ZK</w:t>
      </w:r>
      <w:r w:rsidRPr="00D71427">
        <w:rPr>
          <w:rFonts w:ascii="Arial" w:hAnsi="Arial" w:cs="Arial"/>
          <w:lang w:val="x-none" w:eastAsia="x-none"/>
        </w:rPr>
        <w:t xml:space="preserve"> mohou ověřovat dodržování stanovených bezpečnostních pravidel a zakázat neoprávněné aktivity.</w:t>
      </w:r>
    </w:p>
    <w:p w14:paraId="5FAD876D" w14:textId="77777777" w:rsidR="008D1D6D" w:rsidRPr="00D71427" w:rsidRDefault="008D1D6D" w:rsidP="008D1D6D">
      <w:pPr>
        <w:numPr>
          <w:ilvl w:val="0"/>
          <w:numId w:val="2"/>
        </w:numPr>
        <w:overflowPunct w:val="0"/>
        <w:autoSpaceDE w:val="0"/>
        <w:autoSpaceDN w:val="0"/>
        <w:adjustRightInd w:val="0"/>
        <w:spacing w:before="120" w:line="276" w:lineRule="auto"/>
        <w:contextualSpacing/>
        <w:jc w:val="both"/>
        <w:rPr>
          <w:rFonts w:ascii="Arial" w:hAnsi="Arial" w:cs="Arial"/>
          <w:lang w:val="x-none" w:eastAsia="x-none"/>
        </w:rPr>
      </w:pPr>
      <w:r w:rsidRPr="00D71427">
        <w:rPr>
          <w:rFonts w:ascii="Arial" w:hAnsi="Arial" w:cs="Arial"/>
          <w:lang w:eastAsia="x-none"/>
        </w:rPr>
        <w:t xml:space="preserve">Porušení </w:t>
      </w:r>
      <w:r w:rsidRPr="00D71427">
        <w:rPr>
          <w:rFonts w:ascii="Arial" w:hAnsi="Arial" w:cs="Arial"/>
          <w:lang w:val="x-none" w:eastAsia="x-none"/>
        </w:rPr>
        <w:t xml:space="preserve">bezpečnostních pravidel </w:t>
      </w:r>
      <w:r w:rsidRPr="00D71427">
        <w:rPr>
          <w:rFonts w:ascii="Arial" w:hAnsi="Arial" w:cs="Arial"/>
          <w:lang w:eastAsia="x-none"/>
        </w:rPr>
        <w:t>je sankcionováno smluvní pokutou.</w:t>
      </w:r>
    </w:p>
    <w:p w14:paraId="1F314BAC" w14:textId="77777777" w:rsidR="008D1D6D" w:rsidRPr="00D71427" w:rsidRDefault="008D1D6D" w:rsidP="008D1D6D">
      <w:pPr>
        <w:numPr>
          <w:ilvl w:val="0"/>
          <w:numId w:val="2"/>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Druhá smluvní strana je povinna předávat informace o provedených zásazích a změnách, a bez zbytečného prodlení je promítnout do dokumentace.</w:t>
      </w:r>
    </w:p>
    <w:p w14:paraId="4130CE9D" w14:textId="77777777" w:rsidR="008D1D6D" w:rsidRPr="00D71427"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D71427">
        <w:rPr>
          <w:rFonts w:ascii="Arial" w:hAnsi="Arial" w:cs="Arial"/>
          <w:b/>
        </w:rPr>
        <w:t>Účty a hesla</w:t>
      </w:r>
    </w:p>
    <w:p w14:paraId="087341AB" w14:textId="77777777" w:rsidR="008D1D6D" w:rsidRPr="00D71427" w:rsidRDefault="008D1D6D" w:rsidP="008D1D6D">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 xml:space="preserve">Přidělené </w:t>
      </w:r>
      <w:r w:rsidRPr="00D71427">
        <w:rPr>
          <w:rFonts w:ascii="Arial" w:hAnsi="Arial" w:cs="Arial"/>
          <w:lang w:val="x-none" w:eastAsia="x-none"/>
        </w:rPr>
        <w:t>přihlašovací účty jsou chráněny heslem. Názvy přihlašovacích účtů a hesla nesmějí být sděleny žádné neoprávněné osobě</w:t>
      </w:r>
      <w:r w:rsidRPr="00D71427">
        <w:rPr>
          <w:rFonts w:ascii="Arial" w:hAnsi="Arial" w:cs="Arial"/>
          <w:lang w:eastAsia="x-none"/>
        </w:rPr>
        <w:t>.</w:t>
      </w:r>
      <w:r w:rsidRPr="00D71427">
        <w:rPr>
          <w:rFonts w:ascii="Arial" w:hAnsi="Arial" w:cs="Arial"/>
          <w:lang w:val="x-none" w:eastAsia="x-none"/>
        </w:rPr>
        <w:t xml:space="preserve"> Heslo musí splňovat aktuální požadavky na kvalitu a platnost</w:t>
      </w:r>
      <w:r w:rsidRPr="00D71427">
        <w:rPr>
          <w:rFonts w:ascii="Arial" w:hAnsi="Arial" w:cs="Arial"/>
          <w:lang w:eastAsia="x-none"/>
        </w:rPr>
        <w:t xml:space="preserve"> a</w:t>
      </w:r>
      <w:r w:rsidRPr="00D71427">
        <w:rPr>
          <w:rFonts w:ascii="Arial" w:hAnsi="Arial" w:cs="Arial"/>
          <w:lang w:val="x-none" w:eastAsia="x-none"/>
        </w:rPr>
        <w:t xml:space="preserve"> musí být uchováno v tajnosti.</w:t>
      </w:r>
      <w:r w:rsidRPr="00D71427">
        <w:rPr>
          <w:rFonts w:ascii="Arial" w:hAnsi="Arial" w:cs="Arial"/>
          <w:lang w:eastAsia="x-none"/>
        </w:rPr>
        <w:t xml:space="preserve"> Pokud je to možné, je použita </w:t>
      </w:r>
      <w:proofErr w:type="spellStart"/>
      <w:r w:rsidRPr="00D71427">
        <w:rPr>
          <w:rFonts w:ascii="Arial" w:hAnsi="Arial" w:cs="Arial"/>
          <w:lang w:eastAsia="x-none"/>
        </w:rPr>
        <w:t>vícefaktorová</w:t>
      </w:r>
      <w:proofErr w:type="spellEnd"/>
      <w:r w:rsidRPr="00D71427">
        <w:rPr>
          <w:rFonts w:ascii="Arial" w:hAnsi="Arial" w:cs="Arial"/>
          <w:lang w:eastAsia="x-none"/>
        </w:rPr>
        <w:t xml:space="preserve"> autentizace.</w:t>
      </w:r>
    </w:p>
    <w:p w14:paraId="48AAEE6C" w14:textId="7F62EA73" w:rsidR="008D1D6D" w:rsidRPr="006972D8" w:rsidRDefault="008D1D6D" w:rsidP="008D1D6D">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eastAsia="x-none"/>
        </w:rPr>
        <w:t xml:space="preserve">Mimo </w:t>
      </w:r>
      <w:r>
        <w:rPr>
          <w:rFonts w:ascii="Arial" w:hAnsi="Arial" w:cs="Arial"/>
          <w:lang w:eastAsia="x-none"/>
        </w:rPr>
        <w:t>dohodnuté</w:t>
      </w:r>
      <w:r w:rsidRPr="00452752">
        <w:rPr>
          <w:rFonts w:ascii="Arial" w:hAnsi="Arial" w:cs="Arial"/>
          <w:lang w:eastAsia="x-none"/>
        </w:rPr>
        <w:t xml:space="preserve"> časy jsou přístupové účty neaktivní. V případě potřeby mohou jejich aktivaci schválit a zajistit odpovědné osoby.</w:t>
      </w:r>
    </w:p>
    <w:p w14:paraId="60899301" w14:textId="479FFB3A" w:rsidR="008D1D6D" w:rsidRPr="006972D8" w:rsidRDefault="008D1D6D" w:rsidP="006972D8">
      <w:pPr>
        <w:numPr>
          <w:ilvl w:val="0"/>
          <w:numId w:val="3"/>
        </w:numPr>
        <w:overflowPunct w:val="0"/>
        <w:autoSpaceDE w:val="0"/>
        <w:autoSpaceDN w:val="0"/>
        <w:adjustRightInd w:val="0"/>
        <w:spacing w:before="120" w:after="200" w:line="276" w:lineRule="auto"/>
        <w:contextualSpacing/>
        <w:jc w:val="both"/>
        <w:rPr>
          <w:rFonts w:ascii="Arial" w:hAnsi="Arial" w:cs="Arial"/>
          <w:lang w:val="x-none" w:eastAsia="x-none"/>
        </w:rPr>
      </w:pPr>
      <w:r w:rsidRPr="006972D8">
        <w:rPr>
          <w:rFonts w:ascii="Arial" w:hAnsi="Arial" w:cs="Arial"/>
          <w:lang w:eastAsia="x-none"/>
        </w:rPr>
        <w:t>Při porušení bezpečnostních pravidel druhou smluvní stranou mohou být přidělené přístupové účty zablokovány nebo zcela odebrány.</w:t>
      </w:r>
    </w:p>
    <w:p w14:paraId="18D96B2D" w14:textId="77777777" w:rsidR="008D1D6D" w:rsidRDefault="008D1D6D" w:rsidP="008D1D6D">
      <w:pPr>
        <w:overflowPunct w:val="0"/>
        <w:autoSpaceDE w:val="0"/>
        <w:autoSpaceDN w:val="0"/>
        <w:adjustRightInd w:val="0"/>
        <w:spacing w:before="120" w:after="200" w:line="276" w:lineRule="auto"/>
        <w:ind w:left="720"/>
        <w:contextualSpacing/>
        <w:jc w:val="both"/>
        <w:rPr>
          <w:rFonts w:ascii="Arial" w:hAnsi="Arial" w:cs="Arial"/>
          <w:lang w:eastAsia="x-none"/>
        </w:rPr>
      </w:pPr>
    </w:p>
    <w:p w14:paraId="67F160B5" w14:textId="77777777" w:rsidR="008D1D6D" w:rsidRPr="00452752" w:rsidRDefault="008D1D6D" w:rsidP="008D1D6D">
      <w:pPr>
        <w:overflowPunct w:val="0"/>
        <w:autoSpaceDE w:val="0"/>
        <w:autoSpaceDN w:val="0"/>
        <w:adjustRightInd w:val="0"/>
        <w:spacing w:before="120" w:after="200" w:line="276" w:lineRule="auto"/>
        <w:ind w:left="720"/>
        <w:contextualSpacing/>
        <w:jc w:val="both"/>
        <w:rPr>
          <w:rFonts w:ascii="Arial" w:hAnsi="Arial" w:cs="Arial"/>
          <w:lang w:eastAsia="x-none"/>
        </w:rPr>
      </w:pPr>
    </w:p>
    <w:p w14:paraId="3217E4E9" w14:textId="77777777" w:rsidR="008D1D6D" w:rsidRPr="00452752" w:rsidRDefault="008D1D6D" w:rsidP="008D1D6D">
      <w:pPr>
        <w:numPr>
          <w:ilvl w:val="0"/>
          <w:numId w:val="1"/>
        </w:numPr>
        <w:overflowPunct w:val="0"/>
        <w:autoSpaceDE w:val="0"/>
        <w:autoSpaceDN w:val="0"/>
        <w:adjustRightInd w:val="0"/>
        <w:spacing w:line="280" w:lineRule="atLeast"/>
        <w:jc w:val="both"/>
        <w:rPr>
          <w:rFonts w:ascii="Arial" w:hAnsi="Arial" w:cs="Arial"/>
          <w:b/>
        </w:rPr>
      </w:pPr>
      <w:r w:rsidRPr="00452752">
        <w:rPr>
          <w:rFonts w:ascii="Arial" w:hAnsi="Arial" w:cs="Arial"/>
          <w:b/>
        </w:rPr>
        <w:t>Vzdálený přístup a vzdálená údržba</w:t>
      </w:r>
    </w:p>
    <w:p w14:paraId="59B57A5C" w14:textId="77777777" w:rsidR="008D1D6D" w:rsidRPr="00452752" w:rsidRDefault="008D1D6D" w:rsidP="008D1D6D">
      <w:pPr>
        <w:numPr>
          <w:ilvl w:val="0"/>
          <w:numId w:val="4"/>
        </w:numPr>
        <w:overflowPunct w:val="0"/>
        <w:autoSpaceDE w:val="0"/>
        <w:autoSpaceDN w:val="0"/>
        <w:adjustRightInd w:val="0"/>
        <w:spacing w:before="120" w:after="200" w:line="276" w:lineRule="auto"/>
        <w:contextualSpacing/>
        <w:jc w:val="both"/>
        <w:rPr>
          <w:rFonts w:ascii="Arial" w:hAnsi="Arial" w:cs="Arial"/>
          <w:lang w:val="x-none" w:eastAsia="x-none"/>
        </w:rPr>
      </w:pPr>
      <w:r>
        <w:rPr>
          <w:rFonts w:ascii="Arial" w:hAnsi="Arial" w:cs="Arial"/>
          <w:lang w:val="x-none" w:eastAsia="x-none"/>
        </w:rPr>
        <w:t xml:space="preserve">Vzdálený přístup do IS </w:t>
      </w:r>
      <w:r>
        <w:rPr>
          <w:rFonts w:ascii="Arial" w:hAnsi="Arial" w:cs="Arial"/>
          <w:lang w:eastAsia="x-none"/>
        </w:rPr>
        <w:t>ZK</w:t>
      </w:r>
      <w:r w:rsidRPr="00452752">
        <w:rPr>
          <w:rFonts w:ascii="Arial" w:hAnsi="Arial" w:cs="Arial"/>
          <w:lang w:val="x-none" w:eastAsia="x-none"/>
        </w:rPr>
        <w:t xml:space="preserve"> je možný pouze dohodnutým způsobem</w:t>
      </w:r>
      <w:r w:rsidRPr="00452752">
        <w:rPr>
          <w:rFonts w:ascii="Arial" w:hAnsi="Arial" w:cs="Arial"/>
          <w:lang w:eastAsia="x-none"/>
        </w:rPr>
        <w:t>. Vzdálený přístup je vždy šifrován.</w:t>
      </w:r>
    </w:p>
    <w:p w14:paraId="222412B6" w14:textId="77777777" w:rsidR="008D1D6D" w:rsidRPr="00D71427" w:rsidRDefault="008D1D6D" w:rsidP="008D1D6D">
      <w:pPr>
        <w:numPr>
          <w:ilvl w:val="0"/>
          <w:numId w:val="4"/>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lastRenderedPageBreak/>
        <w:t>Přístup je možný pouze</w:t>
      </w:r>
      <w:r w:rsidRPr="00D71427">
        <w:rPr>
          <w:rFonts w:ascii="Arial" w:hAnsi="Arial" w:cs="Arial"/>
          <w:lang w:val="x-none" w:eastAsia="x-none"/>
        </w:rPr>
        <w:t xml:space="preserve"> z pracovní stanice</w:t>
      </w:r>
      <w:r w:rsidRPr="00D71427">
        <w:rPr>
          <w:rFonts w:ascii="Arial" w:hAnsi="Arial" w:cs="Arial"/>
          <w:lang w:eastAsia="x-none"/>
        </w:rPr>
        <w:t>,</w:t>
      </w:r>
      <w:r w:rsidRPr="00D71427">
        <w:rPr>
          <w:rFonts w:ascii="Arial" w:hAnsi="Arial" w:cs="Arial"/>
          <w:lang w:val="x-none" w:eastAsia="x-none"/>
        </w:rPr>
        <w:t xml:space="preserve"> která má </w:t>
      </w:r>
      <w:r w:rsidRPr="00D71427">
        <w:rPr>
          <w:rFonts w:ascii="Arial" w:hAnsi="Arial" w:cs="Arial"/>
          <w:lang w:eastAsia="x-none"/>
        </w:rPr>
        <w:t xml:space="preserve">nainstalovaný podporovaný operační systém, </w:t>
      </w:r>
      <w:r w:rsidRPr="00D71427">
        <w:rPr>
          <w:rFonts w:ascii="Arial" w:hAnsi="Arial" w:cs="Arial"/>
          <w:lang w:val="x-none" w:eastAsia="x-none"/>
        </w:rPr>
        <w:t>nainstalovány všechny bezpečnostní záplaty operačního systému vydané výrobcem</w:t>
      </w:r>
      <w:r w:rsidRPr="00D71427">
        <w:rPr>
          <w:rFonts w:ascii="Arial" w:hAnsi="Arial" w:cs="Arial"/>
          <w:lang w:eastAsia="x-none"/>
        </w:rPr>
        <w:t xml:space="preserve">, a má </w:t>
      </w:r>
      <w:r w:rsidRPr="00D71427">
        <w:rPr>
          <w:rFonts w:ascii="Arial" w:hAnsi="Arial" w:cs="Arial"/>
          <w:lang w:val="x-none" w:eastAsia="x-none"/>
        </w:rPr>
        <w:t>aktivní a aktuální antivirovou ochranu</w:t>
      </w:r>
      <w:r w:rsidRPr="00D71427">
        <w:rPr>
          <w:rFonts w:ascii="Arial" w:hAnsi="Arial" w:cs="Arial"/>
          <w:lang w:eastAsia="x-none"/>
        </w:rPr>
        <w:t>.</w:t>
      </w:r>
    </w:p>
    <w:p w14:paraId="5CEE8A2F" w14:textId="77777777" w:rsidR="008D1D6D" w:rsidRPr="00D71427" w:rsidRDefault="008D1D6D" w:rsidP="008D1D6D">
      <w:pPr>
        <w:numPr>
          <w:ilvl w:val="0"/>
          <w:numId w:val="4"/>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Pro zvýšení bezpečnosti </w:t>
      </w:r>
      <w:r w:rsidRPr="00D71427">
        <w:rPr>
          <w:rFonts w:ascii="Arial" w:hAnsi="Arial" w:cs="Arial"/>
          <w:lang w:eastAsia="x-none"/>
        </w:rPr>
        <w:t>může být</w:t>
      </w:r>
      <w:r w:rsidRPr="00D71427">
        <w:rPr>
          <w:rFonts w:ascii="Arial" w:hAnsi="Arial" w:cs="Arial"/>
          <w:lang w:val="x-none" w:eastAsia="x-none"/>
        </w:rPr>
        <w:t xml:space="preserve"> </w:t>
      </w:r>
      <w:r w:rsidRPr="00D71427">
        <w:rPr>
          <w:rFonts w:ascii="Arial" w:hAnsi="Arial" w:cs="Arial"/>
          <w:lang w:eastAsia="x-none"/>
        </w:rPr>
        <w:t xml:space="preserve">vzdálený </w:t>
      </w:r>
      <w:r w:rsidRPr="00D71427">
        <w:rPr>
          <w:rFonts w:ascii="Arial" w:hAnsi="Arial" w:cs="Arial"/>
          <w:lang w:val="x-none" w:eastAsia="x-none"/>
        </w:rPr>
        <w:t xml:space="preserve">přístup </w:t>
      </w:r>
      <w:r w:rsidRPr="00D71427">
        <w:rPr>
          <w:rFonts w:ascii="Arial" w:hAnsi="Arial" w:cs="Arial"/>
          <w:lang w:eastAsia="x-none"/>
        </w:rPr>
        <w:t>umožněn</w:t>
      </w:r>
      <w:r w:rsidRPr="00D71427">
        <w:rPr>
          <w:rFonts w:ascii="Arial" w:hAnsi="Arial" w:cs="Arial"/>
          <w:lang w:val="x-none" w:eastAsia="x-none"/>
        </w:rPr>
        <w:t xml:space="preserve"> pouze z </w:t>
      </w:r>
      <w:r w:rsidRPr="00D71427">
        <w:rPr>
          <w:rFonts w:ascii="Arial" w:hAnsi="Arial" w:cs="Arial"/>
          <w:lang w:eastAsia="x-none"/>
        </w:rPr>
        <w:t xml:space="preserve">ověřených </w:t>
      </w:r>
      <w:r w:rsidRPr="00D71427">
        <w:rPr>
          <w:rFonts w:ascii="Arial" w:hAnsi="Arial" w:cs="Arial"/>
          <w:lang w:val="x-none" w:eastAsia="x-none"/>
        </w:rPr>
        <w:t>konkrétních</w:t>
      </w:r>
      <w:r w:rsidRPr="00D71427">
        <w:rPr>
          <w:rFonts w:ascii="Arial" w:hAnsi="Arial" w:cs="Arial"/>
          <w:lang w:eastAsia="x-none"/>
        </w:rPr>
        <w:t xml:space="preserve"> předem definovaných</w:t>
      </w:r>
      <w:r w:rsidRPr="00D71427">
        <w:rPr>
          <w:rFonts w:ascii="Arial" w:hAnsi="Arial" w:cs="Arial"/>
          <w:lang w:val="x-none" w:eastAsia="x-none"/>
        </w:rPr>
        <w:t xml:space="preserve"> IP adres druhé smluvní strany</w:t>
      </w:r>
      <w:r w:rsidRPr="00D71427">
        <w:rPr>
          <w:rFonts w:ascii="Arial" w:hAnsi="Arial" w:cs="Arial"/>
          <w:lang w:eastAsia="x-none"/>
        </w:rPr>
        <w:t>.</w:t>
      </w:r>
    </w:p>
    <w:p w14:paraId="46382483" w14:textId="77777777" w:rsidR="008D1D6D" w:rsidRPr="00D71427" w:rsidRDefault="008D1D6D" w:rsidP="008D1D6D">
      <w:pPr>
        <w:numPr>
          <w:ilvl w:val="0"/>
          <w:numId w:val="4"/>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Přístup k systémům v oblastech s vysokou úrovní zabezpečení za účelem vzdálené údržby (např. </w:t>
      </w:r>
      <w:r w:rsidRPr="00D71427">
        <w:rPr>
          <w:rFonts w:ascii="Arial" w:hAnsi="Arial" w:cs="Arial"/>
          <w:lang w:eastAsia="x-none"/>
        </w:rPr>
        <w:t>u významných informačních systémů ZK</w:t>
      </w:r>
      <w:r w:rsidRPr="00D71427">
        <w:rPr>
          <w:rFonts w:ascii="Arial" w:hAnsi="Arial" w:cs="Arial"/>
          <w:lang w:val="x-none" w:eastAsia="x-none"/>
        </w:rPr>
        <w:t xml:space="preserve">) musí být chráněn </w:t>
      </w:r>
      <w:r w:rsidRPr="00D71427">
        <w:rPr>
          <w:rFonts w:ascii="Arial" w:hAnsi="Arial" w:cs="Arial"/>
          <w:lang w:eastAsia="x-none"/>
        </w:rPr>
        <w:t xml:space="preserve">kromě </w:t>
      </w:r>
      <w:r w:rsidRPr="00D71427">
        <w:rPr>
          <w:rFonts w:ascii="Arial" w:hAnsi="Arial" w:cs="Arial"/>
          <w:lang w:val="x-none" w:eastAsia="x-none"/>
        </w:rPr>
        <w:t xml:space="preserve">šifrování </w:t>
      </w:r>
      <w:r w:rsidRPr="00D71427">
        <w:rPr>
          <w:rFonts w:ascii="Arial" w:hAnsi="Arial" w:cs="Arial"/>
          <w:lang w:eastAsia="x-none"/>
        </w:rPr>
        <w:t>i</w:t>
      </w:r>
      <w:r w:rsidRPr="00D71427">
        <w:rPr>
          <w:rFonts w:ascii="Arial" w:hAnsi="Arial" w:cs="Arial"/>
          <w:lang w:val="x-none" w:eastAsia="x-none"/>
        </w:rPr>
        <w:t xml:space="preserve"> silnou autentizací </w:t>
      </w:r>
      <w:r w:rsidRPr="00D71427">
        <w:rPr>
          <w:rFonts w:ascii="Arial" w:hAnsi="Arial" w:cs="Arial"/>
          <w:lang w:eastAsia="x-none"/>
        </w:rPr>
        <w:t>druhé smluvní strany</w:t>
      </w:r>
      <w:r w:rsidRPr="00D71427">
        <w:rPr>
          <w:rFonts w:ascii="Arial" w:hAnsi="Arial" w:cs="Arial"/>
          <w:lang w:val="x-none" w:eastAsia="x-none"/>
        </w:rPr>
        <w:t>.</w:t>
      </w:r>
    </w:p>
    <w:p w14:paraId="72DD7D98" w14:textId="77777777" w:rsidR="008D1D6D" w:rsidRPr="00452752" w:rsidRDefault="008D1D6D" w:rsidP="008D1D6D">
      <w:pPr>
        <w:numPr>
          <w:ilvl w:val="0"/>
          <w:numId w:val="4"/>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eastAsia="x-none"/>
        </w:rPr>
        <w:t>Pracovní stanice</w:t>
      </w:r>
      <w:r w:rsidRPr="00452752">
        <w:rPr>
          <w:rFonts w:ascii="Arial" w:hAnsi="Arial" w:cs="Arial"/>
          <w:lang w:val="x-none" w:eastAsia="x-none"/>
        </w:rPr>
        <w:t xml:space="preserve"> určené k přístupu do</w:t>
      </w:r>
      <w:r w:rsidRPr="00452752">
        <w:rPr>
          <w:rFonts w:ascii="Arial" w:hAnsi="Arial" w:cs="Arial"/>
          <w:lang w:eastAsia="x-none"/>
        </w:rPr>
        <w:t xml:space="preserve"> IS</w:t>
      </w:r>
      <w:r w:rsidRPr="00452752">
        <w:rPr>
          <w:rFonts w:ascii="Arial" w:hAnsi="Arial" w:cs="Arial"/>
          <w:lang w:val="x-none" w:eastAsia="x-none"/>
        </w:rPr>
        <w:t xml:space="preserve"> </w:t>
      </w:r>
      <w:r>
        <w:rPr>
          <w:rFonts w:ascii="Arial" w:hAnsi="Arial" w:cs="Arial"/>
          <w:lang w:eastAsia="x-none"/>
        </w:rPr>
        <w:t>ZK</w:t>
      </w:r>
      <w:r w:rsidRPr="00452752">
        <w:rPr>
          <w:rFonts w:ascii="Arial" w:hAnsi="Arial" w:cs="Arial"/>
          <w:lang w:val="x-none" w:eastAsia="x-none"/>
        </w:rPr>
        <w:t xml:space="preserve"> ze vzdálené lokality</w:t>
      </w:r>
      <w:r w:rsidRPr="00452752">
        <w:rPr>
          <w:rFonts w:ascii="Arial" w:hAnsi="Arial" w:cs="Arial"/>
          <w:lang w:eastAsia="x-none"/>
        </w:rPr>
        <w:t xml:space="preserve"> </w:t>
      </w:r>
      <w:r w:rsidRPr="00452752">
        <w:rPr>
          <w:rFonts w:ascii="Arial" w:hAnsi="Arial" w:cs="Arial"/>
          <w:lang w:val="x-none" w:eastAsia="x-none"/>
        </w:rPr>
        <w:t xml:space="preserve">musí být fyzicky zabezpečeny proti přístupu </w:t>
      </w:r>
      <w:r w:rsidRPr="00452752">
        <w:rPr>
          <w:rFonts w:ascii="Arial" w:hAnsi="Arial" w:cs="Arial"/>
          <w:lang w:eastAsia="x-none"/>
        </w:rPr>
        <w:t>neoprávněných osob</w:t>
      </w:r>
      <w:r w:rsidRPr="00452752">
        <w:rPr>
          <w:rFonts w:ascii="Arial" w:hAnsi="Arial" w:cs="Arial"/>
          <w:lang w:val="x-none" w:eastAsia="x-none"/>
        </w:rPr>
        <w:t>.</w:t>
      </w:r>
    </w:p>
    <w:p w14:paraId="36281F6A" w14:textId="77777777" w:rsidR="008D1D6D" w:rsidRPr="00452752"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452752">
        <w:rPr>
          <w:rFonts w:ascii="Arial" w:hAnsi="Arial" w:cs="Arial"/>
          <w:b/>
        </w:rPr>
        <w:t xml:space="preserve">Zabezpečení fyzického </w:t>
      </w:r>
      <w:proofErr w:type="gramStart"/>
      <w:r w:rsidRPr="00452752">
        <w:rPr>
          <w:rFonts w:ascii="Arial" w:hAnsi="Arial" w:cs="Arial"/>
          <w:b/>
        </w:rPr>
        <w:t>přístupu k IS</w:t>
      </w:r>
      <w:proofErr w:type="gramEnd"/>
    </w:p>
    <w:p w14:paraId="3C49EE44" w14:textId="77777777" w:rsidR="008D1D6D" w:rsidRPr="006654F3"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Servery</w:t>
      </w:r>
      <w:r w:rsidRPr="00452752">
        <w:rPr>
          <w:rFonts w:ascii="Arial" w:hAnsi="Arial" w:cs="Arial"/>
          <w:lang w:eastAsia="x-none"/>
        </w:rPr>
        <w:t>,</w:t>
      </w:r>
      <w:r w:rsidRPr="00452752">
        <w:rPr>
          <w:rFonts w:ascii="Arial" w:hAnsi="Arial" w:cs="Arial"/>
          <w:lang w:val="x-none" w:eastAsia="x-none"/>
        </w:rPr>
        <w:t xml:space="preserve"> </w:t>
      </w:r>
      <w:r w:rsidRPr="00452752">
        <w:rPr>
          <w:rFonts w:ascii="Arial" w:hAnsi="Arial" w:cs="Arial"/>
          <w:lang w:eastAsia="x-none"/>
        </w:rPr>
        <w:t>síťové komponenty a další ICT zařízení</w:t>
      </w:r>
      <w:r w:rsidRPr="00452752">
        <w:rPr>
          <w:rFonts w:ascii="Arial" w:hAnsi="Arial" w:cs="Arial"/>
          <w:lang w:val="x-none" w:eastAsia="x-none"/>
        </w:rPr>
        <w:t xml:space="preserve"> </w:t>
      </w:r>
      <w:r w:rsidRPr="00452752">
        <w:rPr>
          <w:rFonts w:ascii="Arial" w:hAnsi="Arial" w:cs="Arial"/>
          <w:lang w:eastAsia="x-none"/>
        </w:rPr>
        <w:t>jsou</w:t>
      </w:r>
      <w:r w:rsidRPr="00452752">
        <w:rPr>
          <w:rFonts w:ascii="Arial" w:hAnsi="Arial" w:cs="Arial"/>
          <w:lang w:val="x-none" w:eastAsia="x-none"/>
        </w:rPr>
        <w:t xml:space="preserve"> zabezpečeny proti fyzickému přístupu</w:t>
      </w:r>
      <w:r w:rsidRPr="00452752">
        <w:rPr>
          <w:rFonts w:ascii="Arial" w:hAnsi="Arial" w:cs="Arial"/>
          <w:lang w:eastAsia="x-none"/>
        </w:rPr>
        <w:t xml:space="preserve">. </w:t>
      </w:r>
      <w:r w:rsidRPr="00452752">
        <w:rPr>
          <w:rFonts w:ascii="Arial" w:hAnsi="Arial" w:cs="Arial"/>
          <w:lang w:val="x-none" w:eastAsia="x-none"/>
        </w:rPr>
        <w:t xml:space="preserve">Přístup do místností se servery s citlivými daty a přístup k síťovým zařízením </w:t>
      </w:r>
      <w:r w:rsidRPr="00452752">
        <w:rPr>
          <w:rFonts w:ascii="Arial" w:hAnsi="Arial" w:cs="Arial"/>
          <w:lang w:eastAsia="x-none"/>
        </w:rPr>
        <w:t>je</w:t>
      </w:r>
      <w:r w:rsidRPr="00452752">
        <w:rPr>
          <w:rFonts w:ascii="Arial" w:hAnsi="Arial" w:cs="Arial"/>
          <w:lang w:val="x-none" w:eastAsia="x-none"/>
        </w:rPr>
        <w:t xml:space="preserve"> regulován a odpovídajícím způsobem monitorován. </w:t>
      </w:r>
      <w:r w:rsidRPr="00452752">
        <w:rPr>
          <w:rFonts w:ascii="Arial" w:hAnsi="Arial" w:cs="Arial"/>
          <w:lang w:eastAsia="x-none"/>
        </w:rPr>
        <w:t>Pokud fyzické zabezpečení citlivých dat není dostatečné, musí být zabezpečena šifrováním.</w:t>
      </w:r>
    </w:p>
    <w:p w14:paraId="7B46687D" w14:textId="77777777" w:rsidR="008D1D6D" w:rsidRPr="006654F3"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eastAsia="x-none"/>
        </w:rPr>
        <w:t>Opravy</w:t>
      </w:r>
      <w:r w:rsidRPr="00452752">
        <w:rPr>
          <w:rFonts w:ascii="Arial" w:hAnsi="Arial" w:cs="Arial"/>
          <w:lang w:val="x-none" w:eastAsia="x-none"/>
        </w:rPr>
        <w:t xml:space="preserve"> I</w:t>
      </w:r>
      <w:r w:rsidRPr="00452752">
        <w:rPr>
          <w:rFonts w:ascii="Arial" w:hAnsi="Arial" w:cs="Arial"/>
          <w:lang w:eastAsia="x-none"/>
        </w:rPr>
        <w:t>C</w:t>
      </w:r>
      <w:r w:rsidRPr="00452752">
        <w:rPr>
          <w:rFonts w:ascii="Arial" w:hAnsi="Arial" w:cs="Arial"/>
          <w:lang w:val="x-none" w:eastAsia="x-none"/>
        </w:rPr>
        <w:t>T komponent mohou být prováděny pouze na základě smluvně ošetřeného vztahu s</w:t>
      </w:r>
      <w:r>
        <w:rPr>
          <w:rFonts w:ascii="Arial" w:hAnsi="Arial" w:cs="Arial"/>
          <w:lang w:eastAsia="x-none"/>
        </w:rPr>
        <w:t>e</w:t>
      </w:r>
      <w:r w:rsidRPr="00452752">
        <w:rPr>
          <w:rFonts w:ascii="Arial" w:hAnsi="Arial" w:cs="Arial"/>
          <w:lang w:val="x-none" w:eastAsia="x-none"/>
        </w:rPr>
        <w:t> </w:t>
      </w:r>
      <w:r>
        <w:rPr>
          <w:rFonts w:ascii="Arial" w:hAnsi="Arial" w:cs="Arial"/>
          <w:lang w:eastAsia="x-none"/>
        </w:rPr>
        <w:t>ZK</w:t>
      </w:r>
      <w:r w:rsidRPr="00452752">
        <w:rPr>
          <w:rFonts w:ascii="Arial" w:hAnsi="Arial" w:cs="Arial"/>
          <w:lang w:eastAsia="x-none"/>
        </w:rPr>
        <w:t>.</w:t>
      </w:r>
    </w:p>
    <w:p w14:paraId="57236FAE" w14:textId="3BA7DBEF" w:rsidR="008D1D6D" w:rsidRPr="00452752"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 xml:space="preserve">Fyzický přístup k prostředkům IS je </w:t>
      </w:r>
      <w:r w:rsidRPr="00452752">
        <w:rPr>
          <w:rFonts w:ascii="Arial" w:hAnsi="Arial" w:cs="Arial"/>
          <w:lang w:eastAsia="x-none"/>
        </w:rPr>
        <w:t xml:space="preserve">umožněn </w:t>
      </w:r>
      <w:r w:rsidRPr="00452752">
        <w:rPr>
          <w:rFonts w:ascii="Arial" w:hAnsi="Arial" w:cs="Arial"/>
          <w:lang w:val="x-none" w:eastAsia="x-none"/>
        </w:rPr>
        <w:t>pou</w:t>
      </w:r>
      <w:r w:rsidRPr="00452752">
        <w:rPr>
          <w:rFonts w:ascii="Arial" w:hAnsi="Arial" w:cs="Arial"/>
          <w:lang w:eastAsia="x-none"/>
        </w:rPr>
        <w:t xml:space="preserve">ze druhým smluvním stranám </w:t>
      </w:r>
      <w:r w:rsidRPr="00452752">
        <w:rPr>
          <w:rFonts w:ascii="Arial" w:hAnsi="Arial" w:cs="Arial"/>
          <w:lang w:val="x-none" w:eastAsia="x-none"/>
        </w:rPr>
        <w:t>(servisní a dodavatelské organizace, dohody o provedení práce apod.)</w:t>
      </w:r>
      <w:r w:rsidRPr="00452752">
        <w:rPr>
          <w:rFonts w:ascii="Arial" w:hAnsi="Arial" w:cs="Arial"/>
          <w:lang w:eastAsia="x-none"/>
        </w:rPr>
        <w:t xml:space="preserve">, u kterých udělení přístupu vyplývá z uzavřené smlouvy. Fyzický přístup k prostředkům IS je možné uskutečnit pouze </w:t>
      </w:r>
      <w:r w:rsidRPr="00452752">
        <w:rPr>
          <w:rFonts w:ascii="Arial" w:hAnsi="Arial" w:cs="Arial"/>
          <w:lang w:val="x-none" w:eastAsia="x-none"/>
        </w:rPr>
        <w:t xml:space="preserve">se souhlasem </w:t>
      </w:r>
      <w:r>
        <w:rPr>
          <w:rFonts w:ascii="Arial" w:hAnsi="Arial" w:cs="Arial"/>
          <w:lang w:eastAsia="x-none"/>
        </w:rPr>
        <w:t>S</w:t>
      </w:r>
      <w:r w:rsidRPr="00452752">
        <w:rPr>
          <w:rFonts w:ascii="Arial" w:hAnsi="Arial" w:cs="Arial"/>
          <w:lang w:eastAsia="x-none"/>
        </w:rPr>
        <w:t>právce IS nebo</w:t>
      </w:r>
      <w:r w:rsidRPr="00452752">
        <w:rPr>
          <w:rFonts w:ascii="Arial" w:hAnsi="Arial" w:cs="Arial"/>
          <w:lang w:val="x-none" w:eastAsia="x-none"/>
        </w:rPr>
        <w:t xml:space="preserve"> vedoucí</w:t>
      </w:r>
      <w:r w:rsidRPr="00452752">
        <w:rPr>
          <w:rFonts w:ascii="Arial" w:hAnsi="Arial" w:cs="Arial"/>
          <w:lang w:eastAsia="x-none"/>
        </w:rPr>
        <w:t>ho</w:t>
      </w:r>
      <w:r w:rsidRPr="00452752">
        <w:rPr>
          <w:rFonts w:ascii="Arial" w:hAnsi="Arial" w:cs="Arial"/>
          <w:lang w:val="x-none" w:eastAsia="x-none"/>
        </w:rPr>
        <w:t xml:space="preserve"> </w:t>
      </w:r>
      <w:r w:rsidR="006972D8">
        <w:rPr>
          <w:rFonts w:ascii="Arial" w:hAnsi="Arial" w:cs="Arial"/>
          <w:lang w:eastAsia="x-none"/>
        </w:rPr>
        <w:t>odboru informačních a komunikačních technologií</w:t>
      </w:r>
      <w:r w:rsidRPr="00452752">
        <w:rPr>
          <w:rFonts w:ascii="Arial" w:hAnsi="Arial" w:cs="Arial"/>
          <w:lang w:val="x-none" w:eastAsia="x-none"/>
        </w:rPr>
        <w:t>.</w:t>
      </w:r>
    </w:p>
    <w:p w14:paraId="05805230" w14:textId="57BB3E26" w:rsidR="008D1D6D" w:rsidRPr="00452752"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Pohyb pracovníků druhých smluvních stran v prostorách serv</w:t>
      </w:r>
      <w:r w:rsidRPr="00452752">
        <w:rPr>
          <w:rFonts w:ascii="Arial" w:hAnsi="Arial" w:cs="Arial"/>
          <w:lang w:eastAsia="x-none"/>
        </w:rPr>
        <w:t>e</w:t>
      </w:r>
      <w:r w:rsidRPr="00452752">
        <w:rPr>
          <w:rFonts w:ascii="Arial" w:hAnsi="Arial" w:cs="Arial"/>
          <w:lang w:val="x-none" w:eastAsia="x-none"/>
        </w:rPr>
        <w:t xml:space="preserve">rovny (servisní zásah, revize zařízení apod.) je možný pouze v doprovodu odpovědných pracovníků </w:t>
      </w:r>
      <w:r w:rsidR="006972D8">
        <w:rPr>
          <w:rFonts w:ascii="Arial" w:hAnsi="Arial" w:cs="Arial"/>
          <w:lang w:eastAsia="x-none"/>
        </w:rPr>
        <w:t>odboru informačních a komunikačních technologií</w:t>
      </w:r>
      <w:r w:rsidR="006972D8" w:rsidRPr="00452752">
        <w:rPr>
          <w:rFonts w:ascii="Arial" w:hAnsi="Arial" w:cs="Arial"/>
          <w:lang w:eastAsia="x-none"/>
        </w:rPr>
        <w:t xml:space="preserve"> </w:t>
      </w:r>
      <w:r w:rsidRPr="00452752">
        <w:rPr>
          <w:rFonts w:ascii="Arial" w:hAnsi="Arial" w:cs="Arial"/>
          <w:lang w:eastAsia="x-none"/>
        </w:rPr>
        <w:t>nebo</w:t>
      </w:r>
      <w:r w:rsidRPr="00452752">
        <w:rPr>
          <w:rFonts w:ascii="Arial" w:hAnsi="Arial" w:cs="Arial"/>
          <w:lang w:val="x-none" w:eastAsia="x-none"/>
        </w:rPr>
        <w:t xml:space="preserve"> </w:t>
      </w:r>
      <w:r>
        <w:rPr>
          <w:rFonts w:ascii="Arial" w:hAnsi="Arial" w:cs="Arial"/>
          <w:lang w:eastAsia="x-none"/>
        </w:rPr>
        <w:t>jimi pověřených osob</w:t>
      </w:r>
      <w:r w:rsidRPr="00452752">
        <w:rPr>
          <w:rFonts w:ascii="Arial" w:hAnsi="Arial" w:cs="Arial"/>
          <w:lang w:val="x-none" w:eastAsia="x-none"/>
        </w:rPr>
        <w:t>.</w:t>
      </w:r>
    </w:p>
    <w:p w14:paraId="26DDA519" w14:textId="77777777" w:rsidR="008D1D6D" w:rsidRPr="00D71427"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Pro </w:t>
      </w:r>
      <w:r w:rsidRPr="00D71427">
        <w:rPr>
          <w:rFonts w:ascii="Arial" w:hAnsi="Arial" w:cs="Arial"/>
          <w:lang w:eastAsia="x-none"/>
        </w:rPr>
        <w:t>přímé připojení (v prostorech ZK) do</w:t>
      </w:r>
      <w:r w:rsidRPr="00D71427">
        <w:rPr>
          <w:rFonts w:ascii="Arial" w:hAnsi="Arial" w:cs="Arial"/>
          <w:lang w:val="x-none" w:eastAsia="x-none"/>
        </w:rPr>
        <w:t xml:space="preserve"> IS </w:t>
      </w:r>
      <w:r w:rsidRPr="00D71427">
        <w:rPr>
          <w:rFonts w:ascii="Arial" w:hAnsi="Arial" w:cs="Arial"/>
          <w:lang w:eastAsia="x-none"/>
        </w:rPr>
        <w:t>ZK</w:t>
      </w:r>
      <w:r w:rsidRPr="00D71427">
        <w:rPr>
          <w:rFonts w:ascii="Arial" w:hAnsi="Arial" w:cs="Arial"/>
          <w:lang w:val="x-none" w:eastAsia="x-none"/>
        </w:rPr>
        <w:t xml:space="preserve"> smí být použita pouze přidělená technika </w:t>
      </w:r>
      <w:r w:rsidRPr="00D71427">
        <w:rPr>
          <w:rFonts w:ascii="Arial" w:hAnsi="Arial" w:cs="Arial"/>
          <w:lang w:eastAsia="x-none"/>
        </w:rPr>
        <w:t>ZK</w:t>
      </w:r>
      <w:r w:rsidRPr="00D71427">
        <w:rPr>
          <w:rFonts w:ascii="Arial" w:hAnsi="Arial" w:cs="Arial"/>
          <w:lang w:val="x-none" w:eastAsia="x-none"/>
        </w:rPr>
        <w:t xml:space="preserve">. Připojování cizí techniky do vnitřní sítě </w:t>
      </w:r>
      <w:r w:rsidRPr="00D71427">
        <w:rPr>
          <w:rFonts w:ascii="Arial" w:hAnsi="Arial" w:cs="Arial"/>
          <w:lang w:eastAsia="x-none"/>
        </w:rPr>
        <w:t>ZK</w:t>
      </w:r>
      <w:r w:rsidRPr="00D71427">
        <w:rPr>
          <w:rFonts w:ascii="Arial" w:hAnsi="Arial" w:cs="Arial"/>
          <w:lang w:val="x-none" w:eastAsia="x-none"/>
        </w:rPr>
        <w:t xml:space="preserve"> je</w:t>
      </w:r>
      <w:r w:rsidRPr="00D71427">
        <w:rPr>
          <w:rFonts w:ascii="Arial" w:hAnsi="Arial" w:cs="Arial"/>
          <w:lang w:eastAsia="x-none"/>
        </w:rPr>
        <w:t xml:space="preserve"> zakázáno. Výjimky povoluje</w:t>
      </w:r>
      <w:r w:rsidRPr="00D71427">
        <w:rPr>
          <w:rFonts w:ascii="Arial" w:hAnsi="Arial" w:cs="Arial"/>
          <w:lang w:val="x-none" w:eastAsia="x-none"/>
        </w:rPr>
        <w:t xml:space="preserve"> </w:t>
      </w:r>
      <w:r w:rsidRPr="00D71427">
        <w:rPr>
          <w:rFonts w:ascii="Arial" w:hAnsi="Arial" w:cs="Arial"/>
          <w:lang w:eastAsia="x-none"/>
        </w:rPr>
        <w:t>Správce</w:t>
      </w:r>
      <w:r w:rsidRPr="00D71427">
        <w:rPr>
          <w:rFonts w:ascii="Arial" w:hAnsi="Arial" w:cs="Arial"/>
          <w:lang w:val="x-none" w:eastAsia="x-none"/>
        </w:rPr>
        <w:t xml:space="preserve"> </w:t>
      </w:r>
      <w:r w:rsidRPr="00D71427">
        <w:rPr>
          <w:rFonts w:ascii="Arial" w:hAnsi="Arial" w:cs="Arial"/>
          <w:lang w:eastAsia="x-none"/>
        </w:rPr>
        <w:t>IS</w:t>
      </w:r>
      <w:r w:rsidRPr="00D71427">
        <w:rPr>
          <w:rFonts w:ascii="Arial" w:hAnsi="Arial" w:cs="Arial"/>
          <w:lang w:val="x-none" w:eastAsia="x-none"/>
        </w:rPr>
        <w:t>.</w:t>
      </w:r>
    </w:p>
    <w:p w14:paraId="201389A0" w14:textId="77777777" w:rsidR="008D1D6D" w:rsidRPr="00D71427"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Na přidělenou techniku</w:t>
      </w:r>
      <w:r w:rsidRPr="00D71427">
        <w:rPr>
          <w:rFonts w:ascii="Arial" w:hAnsi="Arial" w:cs="Arial"/>
          <w:lang w:eastAsia="x-none"/>
        </w:rPr>
        <w:t xml:space="preserve"> ZK</w:t>
      </w:r>
      <w:r w:rsidRPr="00D71427">
        <w:rPr>
          <w:rFonts w:ascii="Arial" w:hAnsi="Arial" w:cs="Arial"/>
          <w:lang w:val="x-none" w:eastAsia="x-none"/>
        </w:rPr>
        <w:t xml:space="preserve"> nesmí být bez souhlasu pověřené osoby</w:t>
      </w:r>
      <w:r w:rsidRPr="00D71427">
        <w:rPr>
          <w:rFonts w:ascii="Arial" w:hAnsi="Arial" w:cs="Arial"/>
          <w:lang w:eastAsia="x-none"/>
        </w:rPr>
        <w:t xml:space="preserve"> nahráván, </w:t>
      </w:r>
      <w:r w:rsidRPr="00D71427">
        <w:rPr>
          <w:rFonts w:ascii="Arial" w:hAnsi="Arial" w:cs="Arial"/>
          <w:lang w:val="x-none" w:eastAsia="x-none"/>
        </w:rPr>
        <w:t>instalován nebo z ní odebírán žádný software.</w:t>
      </w:r>
    </w:p>
    <w:p w14:paraId="289374ED" w14:textId="77777777" w:rsidR="008D1D6D" w:rsidRPr="00D71427"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Při opuštění pracoviště je vždy nutné provést vhodným způsobem jeho zajištění (pracovní stanice, nosiče dat, papírové dokumenty).</w:t>
      </w:r>
      <w:r w:rsidRPr="00D71427">
        <w:rPr>
          <w:rFonts w:ascii="Arial" w:hAnsi="Arial" w:cs="Arial"/>
          <w:lang w:val="x-none" w:eastAsia="x-none"/>
        </w:rPr>
        <w:tab/>
      </w:r>
    </w:p>
    <w:p w14:paraId="3BF96B9C" w14:textId="77777777" w:rsidR="008D1D6D" w:rsidRPr="00452752"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Přenosná paměťová média</w:t>
      </w:r>
      <w:r w:rsidRPr="00452752">
        <w:rPr>
          <w:rFonts w:ascii="Arial" w:hAnsi="Arial" w:cs="Arial"/>
          <w:lang w:eastAsia="x-none"/>
        </w:rPr>
        <w:t xml:space="preserve"> musí být vždy</w:t>
      </w:r>
      <w:r w:rsidRPr="00452752">
        <w:rPr>
          <w:rFonts w:ascii="Arial" w:hAnsi="Arial" w:cs="Arial"/>
          <w:lang w:val="x-none" w:eastAsia="x-none"/>
        </w:rPr>
        <w:t xml:space="preserve"> uchováv</w:t>
      </w:r>
      <w:r w:rsidRPr="00452752">
        <w:rPr>
          <w:rFonts w:ascii="Arial" w:hAnsi="Arial" w:cs="Arial"/>
          <w:lang w:eastAsia="x-none"/>
        </w:rPr>
        <w:t>ána</w:t>
      </w:r>
      <w:r w:rsidRPr="00452752">
        <w:rPr>
          <w:rFonts w:ascii="Arial" w:hAnsi="Arial" w:cs="Arial"/>
          <w:lang w:val="x-none" w:eastAsia="x-none"/>
        </w:rPr>
        <w:t xml:space="preserve"> na bezpečném místě, </w:t>
      </w:r>
      <w:r w:rsidRPr="00452752">
        <w:rPr>
          <w:rFonts w:ascii="Arial" w:hAnsi="Arial" w:cs="Arial"/>
          <w:lang w:eastAsia="x-none"/>
        </w:rPr>
        <w:t>např.</w:t>
      </w:r>
      <w:r w:rsidRPr="00452752">
        <w:rPr>
          <w:rFonts w:ascii="Arial" w:hAnsi="Arial" w:cs="Arial"/>
          <w:lang w:val="x-none" w:eastAsia="x-none"/>
        </w:rPr>
        <w:t xml:space="preserve"> v uzamčené skříni, stolu nebo místnosti. </w:t>
      </w:r>
      <w:r w:rsidRPr="00452752">
        <w:rPr>
          <w:rFonts w:ascii="Arial" w:hAnsi="Arial" w:cs="Arial"/>
          <w:lang w:eastAsia="x-none"/>
        </w:rPr>
        <w:t xml:space="preserve">Originální </w:t>
      </w:r>
      <w:r w:rsidRPr="00452752">
        <w:rPr>
          <w:rFonts w:ascii="Arial" w:hAnsi="Arial" w:cs="Arial"/>
          <w:lang w:val="x-none" w:eastAsia="x-none"/>
        </w:rPr>
        <w:t>datová média a záložní kopie citlivých souborů musí být ukládány na bezpečném místě</w:t>
      </w:r>
      <w:r w:rsidRPr="00452752">
        <w:rPr>
          <w:rFonts w:ascii="Arial" w:hAnsi="Arial" w:cs="Arial"/>
          <w:lang w:eastAsia="x-none"/>
        </w:rPr>
        <w:t>,</w:t>
      </w:r>
      <w:r w:rsidRPr="00452752">
        <w:rPr>
          <w:rFonts w:ascii="Arial" w:hAnsi="Arial" w:cs="Arial"/>
          <w:lang w:val="x-none" w:eastAsia="x-none"/>
        </w:rPr>
        <w:t xml:space="preserve"> chráněném </w:t>
      </w:r>
      <w:r w:rsidRPr="00452752">
        <w:rPr>
          <w:rFonts w:ascii="Arial" w:hAnsi="Arial" w:cs="Arial"/>
          <w:lang w:eastAsia="x-none"/>
        </w:rPr>
        <w:t xml:space="preserve">nejen proti odcizení a zneužití, ale i </w:t>
      </w:r>
      <w:r w:rsidRPr="00452752">
        <w:rPr>
          <w:rFonts w:ascii="Arial" w:hAnsi="Arial" w:cs="Arial"/>
          <w:lang w:val="x-none" w:eastAsia="x-none"/>
        </w:rPr>
        <w:t>proti poškození nebo zničení</w:t>
      </w:r>
      <w:r w:rsidRPr="00452752">
        <w:rPr>
          <w:rFonts w:ascii="Arial" w:hAnsi="Arial" w:cs="Arial"/>
          <w:lang w:eastAsia="x-none"/>
        </w:rPr>
        <w:t>.</w:t>
      </w:r>
    </w:p>
    <w:p w14:paraId="6AA20C65" w14:textId="77777777" w:rsidR="008D1D6D" w:rsidRPr="00452752" w:rsidRDefault="008D1D6D" w:rsidP="008D1D6D">
      <w:pPr>
        <w:numPr>
          <w:ilvl w:val="0"/>
          <w:numId w:val="5"/>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eastAsia="x-none"/>
        </w:rPr>
        <w:t>Pracovní</w:t>
      </w:r>
      <w:r w:rsidRPr="00452752">
        <w:rPr>
          <w:rFonts w:ascii="Arial" w:hAnsi="Arial" w:cs="Arial"/>
          <w:lang w:val="x-none" w:eastAsia="x-none"/>
        </w:rPr>
        <w:t xml:space="preserve"> stanice a data na nich uložená </w:t>
      </w:r>
      <w:r w:rsidRPr="00452752">
        <w:rPr>
          <w:rFonts w:ascii="Arial" w:hAnsi="Arial" w:cs="Arial"/>
          <w:lang w:eastAsia="x-none"/>
        </w:rPr>
        <w:t>musí</w:t>
      </w:r>
      <w:r w:rsidRPr="00452752">
        <w:rPr>
          <w:rFonts w:ascii="Arial" w:hAnsi="Arial" w:cs="Arial"/>
          <w:lang w:val="x-none" w:eastAsia="x-none"/>
        </w:rPr>
        <w:t xml:space="preserve"> být chráněna proti odcizení</w:t>
      </w:r>
      <w:r w:rsidRPr="00452752">
        <w:rPr>
          <w:rFonts w:ascii="Arial" w:hAnsi="Arial" w:cs="Arial"/>
          <w:lang w:eastAsia="x-none"/>
        </w:rPr>
        <w:t>,</w:t>
      </w:r>
      <w:r w:rsidRPr="00452752">
        <w:rPr>
          <w:rFonts w:ascii="Arial" w:hAnsi="Arial" w:cs="Arial"/>
          <w:lang w:val="x-none" w:eastAsia="x-none"/>
        </w:rPr>
        <w:t xml:space="preserve"> proti neoprávněnému přístupu</w:t>
      </w:r>
      <w:r w:rsidRPr="00452752">
        <w:rPr>
          <w:rFonts w:ascii="Arial" w:hAnsi="Arial" w:cs="Arial"/>
          <w:lang w:eastAsia="x-none"/>
        </w:rPr>
        <w:t xml:space="preserve"> a proti poškození nebo zničení</w:t>
      </w:r>
      <w:r w:rsidRPr="00452752">
        <w:rPr>
          <w:rFonts w:ascii="Arial" w:hAnsi="Arial" w:cs="Arial"/>
          <w:lang w:val="x-none" w:eastAsia="x-none"/>
        </w:rPr>
        <w:t>.</w:t>
      </w:r>
    </w:p>
    <w:p w14:paraId="65C27EE4" w14:textId="77777777" w:rsidR="008D1D6D" w:rsidRPr="00452752"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452752">
        <w:rPr>
          <w:rFonts w:ascii="Arial" w:hAnsi="Arial" w:cs="Arial"/>
          <w:b/>
        </w:rPr>
        <w:t>Ochrana dat a informačních aktiv</w:t>
      </w:r>
    </w:p>
    <w:p w14:paraId="718AE8DC" w14:textId="77777777" w:rsidR="008D1D6D" w:rsidRPr="00D71427" w:rsidRDefault="008D1D6D" w:rsidP="008D1D6D">
      <w:pPr>
        <w:numPr>
          <w:ilvl w:val="0"/>
          <w:numId w:val="6"/>
        </w:numPr>
        <w:overflowPunct w:val="0"/>
        <w:autoSpaceDE w:val="0"/>
        <w:autoSpaceDN w:val="0"/>
        <w:adjustRightInd w:val="0"/>
        <w:spacing w:before="120" w:line="276" w:lineRule="auto"/>
        <w:contextualSpacing/>
        <w:jc w:val="both"/>
        <w:rPr>
          <w:rFonts w:ascii="Arial" w:hAnsi="Arial" w:cs="Arial"/>
          <w:lang w:val="x-none" w:eastAsia="x-none"/>
        </w:rPr>
      </w:pPr>
      <w:r w:rsidRPr="00D71427">
        <w:rPr>
          <w:rFonts w:ascii="Arial" w:hAnsi="Arial" w:cs="Arial"/>
          <w:lang w:val="x-none" w:eastAsia="x-none"/>
        </w:rPr>
        <w:t xml:space="preserve">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 všechny jejich kopie </w:t>
      </w:r>
      <w:r w:rsidRPr="00D71427">
        <w:rPr>
          <w:rFonts w:ascii="Arial" w:hAnsi="Arial" w:cs="Arial"/>
          <w:lang w:eastAsia="x-none"/>
        </w:rPr>
        <w:t xml:space="preserve">bezpečně </w:t>
      </w:r>
      <w:r w:rsidRPr="00D71427">
        <w:rPr>
          <w:rFonts w:ascii="Arial" w:hAnsi="Arial" w:cs="Arial"/>
          <w:lang w:val="x-none" w:eastAsia="x-none"/>
        </w:rPr>
        <w:t>zlikviduje</w:t>
      </w:r>
      <w:r w:rsidRPr="00D71427">
        <w:rPr>
          <w:rFonts w:ascii="Arial" w:hAnsi="Arial" w:cs="Arial"/>
          <w:lang w:eastAsia="x-none"/>
        </w:rPr>
        <w:t>.</w:t>
      </w:r>
    </w:p>
    <w:p w14:paraId="79143FAC" w14:textId="77777777" w:rsidR="008D1D6D" w:rsidRPr="00D71427" w:rsidRDefault="008D1D6D" w:rsidP="008D1D6D">
      <w:pPr>
        <w:numPr>
          <w:ilvl w:val="0"/>
          <w:numId w:val="6"/>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Druhá smluvní strana je do protokolárního předání pracovníkům </w:t>
      </w:r>
      <w:r w:rsidRPr="00D71427">
        <w:rPr>
          <w:rFonts w:ascii="Arial" w:hAnsi="Arial" w:cs="Arial"/>
          <w:lang w:eastAsia="x-none"/>
        </w:rPr>
        <w:t>ZK</w:t>
      </w:r>
      <w:r w:rsidRPr="00D71427">
        <w:rPr>
          <w:rFonts w:ascii="Arial" w:hAnsi="Arial" w:cs="Arial"/>
          <w:lang w:val="x-none" w:eastAsia="x-none"/>
        </w:rPr>
        <w:t xml:space="preserve"> odpovědná za všechna zpracovávaná aktiva a je povinna je odpovídajícím způsobem zabezpečit.</w:t>
      </w:r>
    </w:p>
    <w:p w14:paraId="18DB9E27" w14:textId="77777777" w:rsidR="008D1D6D" w:rsidRPr="00D71427" w:rsidRDefault="008D1D6D" w:rsidP="008D1D6D">
      <w:pPr>
        <w:numPr>
          <w:ilvl w:val="0"/>
          <w:numId w:val="6"/>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 xml:space="preserve">Ukládání </w:t>
      </w:r>
      <w:r w:rsidRPr="00D71427">
        <w:rPr>
          <w:rFonts w:ascii="Arial" w:hAnsi="Arial" w:cs="Arial"/>
          <w:lang w:val="x-none" w:eastAsia="x-none"/>
        </w:rPr>
        <w:t>pracovní</w:t>
      </w:r>
      <w:r w:rsidRPr="00D71427">
        <w:rPr>
          <w:rFonts w:ascii="Arial" w:hAnsi="Arial" w:cs="Arial"/>
          <w:lang w:eastAsia="x-none"/>
        </w:rPr>
        <w:t>ch</w:t>
      </w:r>
      <w:r w:rsidRPr="00D71427">
        <w:rPr>
          <w:rFonts w:ascii="Arial" w:hAnsi="Arial" w:cs="Arial"/>
          <w:lang w:val="x-none" w:eastAsia="x-none"/>
        </w:rPr>
        <w:t xml:space="preserve"> dat je možné pouze na místa, </w:t>
      </w:r>
      <w:r w:rsidRPr="00D71427">
        <w:rPr>
          <w:rFonts w:ascii="Arial" w:hAnsi="Arial" w:cs="Arial"/>
          <w:lang w:eastAsia="x-none"/>
        </w:rPr>
        <w:t xml:space="preserve">která </w:t>
      </w:r>
      <w:r w:rsidRPr="00D71427">
        <w:rPr>
          <w:rFonts w:ascii="Arial" w:hAnsi="Arial" w:cs="Arial"/>
          <w:lang w:val="x-none" w:eastAsia="x-none"/>
        </w:rPr>
        <w:t>určí odpovědná osoba.</w:t>
      </w:r>
    </w:p>
    <w:p w14:paraId="3C4EEA9A" w14:textId="77777777" w:rsidR="008D1D6D" w:rsidRPr="00D71427" w:rsidRDefault="008D1D6D" w:rsidP="008D1D6D">
      <w:pPr>
        <w:numPr>
          <w:ilvl w:val="0"/>
          <w:numId w:val="6"/>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Druhá smluvní strana nesmí</w:t>
      </w:r>
      <w:r w:rsidRPr="00D71427">
        <w:rPr>
          <w:rFonts w:ascii="Arial" w:hAnsi="Arial" w:cs="Arial"/>
          <w:lang w:val="x-none" w:eastAsia="x-none"/>
        </w:rPr>
        <w:t xml:space="preserve"> zobrazovat, měnit, mazat nebo kopírovat citlivá data, zejména pak osobní</w:t>
      </w:r>
      <w:r w:rsidRPr="00D71427">
        <w:rPr>
          <w:rFonts w:ascii="Arial" w:hAnsi="Arial" w:cs="Arial"/>
          <w:lang w:eastAsia="x-none"/>
        </w:rPr>
        <w:t xml:space="preserve"> údaje, pokud to nesouvisí se schváleným účelem přístupu</w:t>
      </w:r>
      <w:r w:rsidRPr="00D71427">
        <w:rPr>
          <w:rFonts w:ascii="Arial" w:hAnsi="Arial" w:cs="Arial"/>
          <w:lang w:val="x-none" w:eastAsia="x-none"/>
        </w:rPr>
        <w:t>.</w:t>
      </w:r>
      <w:r w:rsidRPr="00D71427">
        <w:rPr>
          <w:rFonts w:ascii="Arial" w:hAnsi="Arial" w:cs="Arial"/>
          <w:lang w:eastAsia="x-none"/>
        </w:rPr>
        <w:t xml:space="preserve"> </w:t>
      </w:r>
    </w:p>
    <w:p w14:paraId="3A8AE4C5" w14:textId="16B765CB" w:rsidR="008D1D6D" w:rsidRPr="00D71427" w:rsidRDefault="008D1D6D" w:rsidP="008D1D6D">
      <w:pPr>
        <w:numPr>
          <w:ilvl w:val="0"/>
          <w:numId w:val="6"/>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Vadná zařízení (včetně pevných disk</w:t>
      </w:r>
      <w:r w:rsidRPr="00D71427">
        <w:rPr>
          <w:rFonts w:ascii="Arial" w:hAnsi="Arial" w:cs="Arial"/>
          <w:lang w:eastAsia="x-none"/>
        </w:rPr>
        <w:t>ů)</w:t>
      </w:r>
      <w:r w:rsidRPr="00D71427">
        <w:rPr>
          <w:rFonts w:ascii="Arial" w:hAnsi="Arial" w:cs="Arial"/>
          <w:lang w:val="x-none" w:eastAsia="x-none"/>
        </w:rPr>
        <w:t xml:space="preserve"> s nešifrovanými citlivými daty mohou být předány externím servisním specialistům pouze po </w:t>
      </w:r>
      <w:r w:rsidRPr="00D71427">
        <w:rPr>
          <w:rFonts w:ascii="Arial" w:hAnsi="Arial" w:cs="Arial"/>
          <w:lang w:eastAsia="x-none"/>
        </w:rPr>
        <w:t>schválení Správcem IS nebo vedoucím</w:t>
      </w:r>
      <w:r w:rsidRPr="00D71427">
        <w:rPr>
          <w:rFonts w:ascii="Arial" w:hAnsi="Arial" w:cs="Arial"/>
          <w:lang w:val="x-none" w:eastAsia="x-none"/>
        </w:rPr>
        <w:t> </w:t>
      </w:r>
      <w:r w:rsidR="006972D8">
        <w:rPr>
          <w:rFonts w:ascii="Arial" w:hAnsi="Arial" w:cs="Arial"/>
          <w:lang w:eastAsia="x-none"/>
        </w:rPr>
        <w:t>odboru informačních a komunikačních technologií</w:t>
      </w:r>
      <w:r w:rsidRPr="00D71427">
        <w:rPr>
          <w:rFonts w:ascii="Arial" w:hAnsi="Arial" w:cs="Arial"/>
          <w:lang w:val="x-none" w:eastAsia="x-none"/>
        </w:rPr>
        <w:t>.</w:t>
      </w:r>
    </w:p>
    <w:p w14:paraId="7D7736B3" w14:textId="77777777" w:rsidR="008D1D6D" w:rsidRPr="00D71427" w:rsidRDefault="008D1D6D" w:rsidP="008D1D6D">
      <w:pPr>
        <w:numPr>
          <w:ilvl w:val="0"/>
          <w:numId w:val="6"/>
        </w:numPr>
        <w:overflowPunct w:val="0"/>
        <w:autoSpaceDE w:val="0"/>
        <w:autoSpaceDN w:val="0"/>
        <w:adjustRightInd w:val="0"/>
        <w:spacing w:before="120" w:line="276" w:lineRule="auto"/>
        <w:contextualSpacing/>
        <w:jc w:val="both"/>
        <w:rPr>
          <w:rFonts w:ascii="Arial" w:hAnsi="Arial" w:cs="Arial"/>
          <w:lang w:val="x-none" w:eastAsia="x-none"/>
        </w:rPr>
      </w:pPr>
      <w:r w:rsidRPr="00D71427">
        <w:rPr>
          <w:rFonts w:ascii="Arial" w:hAnsi="Arial" w:cs="Arial"/>
          <w:lang w:val="x-none" w:eastAsia="x-none"/>
        </w:rPr>
        <w:t xml:space="preserve">Pokud druhá smluvní strana při práci v IS </w:t>
      </w:r>
      <w:r w:rsidRPr="00D71427">
        <w:rPr>
          <w:rFonts w:ascii="Arial" w:hAnsi="Arial" w:cs="Arial"/>
          <w:lang w:eastAsia="x-none"/>
        </w:rPr>
        <w:t>ZK</w:t>
      </w:r>
      <w:r w:rsidRPr="00D71427">
        <w:rPr>
          <w:rFonts w:ascii="Arial" w:hAnsi="Arial" w:cs="Arial"/>
          <w:lang w:val="x-none" w:eastAsia="x-none"/>
        </w:rPr>
        <w:t xml:space="preserve"> přijde do styku s osobními údaji dle</w:t>
      </w:r>
      <w:r w:rsidRPr="00D71427">
        <w:rPr>
          <w:rFonts w:ascii="Arial" w:hAnsi="Arial" w:cs="Arial"/>
          <w:lang w:eastAsia="x-none"/>
        </w:rPr>
        <w:t xml:space="preserve"> platné legislativy</w:t>
      </w:r>
      <w:r w:rsidRPr="00D71427">
        <w:rPr>
          <w:rFonts w:ascii="Arial" w:hAnsi="Arial" w:cs="Arial"/>
          <w:lang w:val="x-none" w:eastAsia="x-none"/>
        </w:rPr>
        <w:t xml:space="preserve"> nebo jinými neveřejnými informacemi, je povinna o zjištěných skutečnostech zachovávat mlčenlivost a zajistit jejich utajení</w:t>
      </w:r>
      <w:r w:rsidRPr="00D71427">
        <w:rPr>
          <w:rFonts w:ascii="Arial" w:hAnsi="Arial" w:cs="Arial"/>
          <w:lang w:eastAsia="x-none"/>
        </w:rPr>
        <w:t>.</w:t>
      </w:r>
    </w:p>
    <w:p w14:paraId="617A68C3" w14:textId="77777777" w:rsidR="008D1D6D" w:rsidRPr="00D71427" w:rsidRDefault="008D1D6D" w:rsidP="008D1D6D">
      <w:pPr>
        <w:numPr>
          <w:ilvl w:val="0"/>
          <w:numId w:val="6"/>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lastRenderedPageBreak/>
        <w:t xml:space="preserve">Nepotřebná data (elektronická, na mediích i papírová) musí být vždy neprodleně </w:t>
      </w:r>
      <w:r w:rsidRPr="00D71427">
        <w:rPr>
          <w:rFonts w:ascii="Arial" w:hAnsi="Arial" w:cs="Arial"/>
          <w:lang w:eastAsia="x-none"/>
        </w:rPr>
        <w:t>skartována.</w:t>
      </w:r>
    </w:p>
    <w:p w14:paraId="3011E4DF" w14:textId="77777777" w:rsidR="008D1D6D" w:rsidRPr="00D71427" w:rsidRDefault="008D1D6D" w:rsidP="008D1D6D">
      <w:pPr>
        <w:numPr>
          <w:ilvl w:val="0"/>
          <w:numId w:val="6"/>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Všechny zásahy na serverech musí být předem odsouhlaseny </w:t>
      </w:r>
      <w:r w:rsidRPr="00D71427">
        <w:rPr>
          <w:rFonts w:ascii="Arial" w:hAnsi="Arial" w:cs="Arial"/>
          <w:lang w:eastAsia="x-none"/>
        </w:rPr>
        <w:t>Správcem</w:t>
      </w:r>
      <w:r w:rsidRPr="00D71427">
        <w:rPr>
          <w:rFonts w:ascii="Arial" w:hAnsi="Arial" w:cs="Arial"/>
          <w:lang w:val="x-none" w:eastAsia="x-none"/>
        </w:rPr>
        <w:t xml:space="preserve"> IS a zaznamenány stanoveným způsobem</w:t>
      </w:r>
      <w:r w:rsidRPr="00D71427">
        <w:rPr>
          <w:rFonts w:ascii="Arial" w:hAnsi="Arial" w:cs="Arial"/>
          <w:lang w:eastAsia="x-none"/>
        </w:rPr>
        <w:t>.</w:t>
      </w:r>
    </w:p>
    <w:p w14:paraId="3986054C" w14:textId="77777777" w:rsidR="008D1D6D" w:rsidRPr="00452752"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452752">
        <w:rPr>
          <w:rFonts w:ascii="Arial" w:hAnsi="Arial" w:cs="Arial"/>
          <w:b/>
        </w:rPr>
        <w:t>Ochrana proti škodlivým kódům</w:t>
      </w:r>
    </w:p>
    <w:p w14:paraId="6585F69F" w14:textId="77777777" w:rsidR="008D1D6D" w:rsidRPr="00452752" w:rsidRDefault="008D1D6D" w:rsidP="008D1D6D">
      <w:pPr>
        <w:numPr>
          <w:ilvl w:val="0"/>
          <w:numId w:val="7"/>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 xml:space="preserve">Pokud </w:t>
      </w:r>
      <w:r w:rsidRPr="00452752">
        <w:rPr>
          <w:rFonts w:ascii="Arial" w:hAnsi="Arial" w:cs="Arial"/>
          <w:lang w:eastAsia="x-none"/>
        </w:rPr>
        <w:t>je to</w:t>
      </w:r>
      <w:r w:rsidRPr="00452752">
        <w:rPr>
          <w:rFonts w:ascii="Arial" w:hAnsi="Arial" w:cs="Arial"/>
          <w:lang w:val="x-none" w:eastAsia="x-none"/>
        </w:rPr>
        <w:t xml:space="preserve"> možné, </w:t>
      </w:r>
      <w:r w:rsidRPr="00452752">
        <w:rPr>
          <w:rFonts w:ascii="Arial" w:hAnsi="Arial" w:cs="Arial"/>
          <w:lang w:eastAsia="x-none"/>
        </w:rPr>
        <w:t xml:space="preserve">jsou </w:t>
      </w:r>
      <w:r w:rsidRPr="00452752">
        <w:rPr>
          <w:rFonts w:ascii="Arial" w:hAnsi="Arial" w:cs="Arial"/>
          <w:lang w:val="x-none" w:eastAsia="x-none"/>
        </w:rPr>
        <w:t xml:space="preserve">servery </w:t>
      </w:r>
      <w:r w:rsidRPr="00452752">
        <w:rPr>
          <w:rFonts w:ascii="Arial" w:hAnsi="Arial" w:cs="Arial"/>
          <w:lang w:eastAsia="x-none"/>
        </w:rPr>
        <w:t xml:space="preserve">a pracovní stanice </w:t>
      </w:r>
      <w:r w:rsidRPr="00452752">
        <w:rPr>
          <w:rFonts w:ascii="Arial" w:hAnsi="Arial" w:cs="Arial"/>
          <w:lang w:val="x-none" w:eastAsia="x-none"/>
        </w:rPr>
        <w:t xml:space="preserve">vybaveny antivirovým skenerem. </w:t>
      </w:r>
    </w:p>
    <w:p w14:paraId="5F530C93" w14:textId="77777777" w:rsidR="008D1D6D" w:rsidRPr="00452752" w:rsidRDefault="008D1D6D" w:rsidP="008D1D6D">
      <w:pPr>
        <w:numPr>
          <w:ilvl w:val="0"/>
          <w:numId w:val="7"/>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Pokud některé aplikace nabízejí</w:t>
      </w:r>
      <w:r w:rsidRPr="00452752">
        <w:rPr>
          <w:rFonts w:ascii="Arial" w:hAnsi="Arial" w:cs="Arial"/>
          <w:lang w:eastAsia="x-none"/>
        </w:rPr>
        <w:t xml:space="preserve"> možnost zvýšené</w:t>
      </w:r>
      <w:r w:rsidRPr="00452752">
        <w:rPr>
          <w:rFonts w:ascii="Arial" w:hAnsi="Arial" w:cs="Arial"/>
          <w:lang w:val="x-none" w:eastAsia="x-none"/>
        </w:rPr>
        <w:t xml:space="preserve"> ochran</w:t>
      </w:r>
      <w:r w:rsidRPr="00452752">
        <w:rPr>
          <w:rFonts w:ascii="Arial" w:hAnsi="Arial" w:cs="Arial"/>
          <w:lang w:eastAsia="x-none"/>
        </w:rPr>
        <w:t>y</w:t>
      </w:r>
      <w:r w:rsidRPr="00452752">
        <w:rPr>
          <w:rFonts w:ascii="Arial" w:hAnsi="Arial" w:cs="Arial"/>
          <w:lang w:val="x-none" w:eastAsia="x-none"/>
        </w:rPr>
        <w:t xml:space="preserve">, musí </w:t>
      </w:r>
      <w:r w:rsidRPr="00452752">
        <w:rPr>
          <w:rFonts w:ascii="Arial" w:hAnsi="Arial" w:cs="Arial"/>
          <w:lang w:eastAsia="x-none"/>
        </w:rPr>
        <w:t xml:space="preserve">být </w:t>
      </w:r>
      <w:r w:rsidRPr="00452752">
        <w:rPr>
          <w:rFonts w:ascii="Arial" w:hAnsi="Arial" w:cs="Arial"/>
          <w:lang w:val="x-none" w:eastAsia="x-none"/>
        </w:rPr>
        <w:t>odpovídajícím způsobem nastav</w:t>
      </w:r>
      <w:r w:rsidRPr="00452752">
        <w:rPr>
          <w:rFonts w:ascii="Arial" w:hAnsi="Arial" w:cs="Arial"/>
          <w:lang w:eastAsia="x-none"/>
        </w:rPr>
        <w:t>ena</w:t>
      </w:r>
      <w:r w:rsidRPr="00452752">
        <w:rPr>
          <w:rFonts w:ascii="Arial" w:hAnsi="Arial" w:cs="Arial"/>
          <w:lang w:val="x-none" w:eastAsia="x-none"/>
        </w:rPr>
        <w:t>.</w:t>
      </w:r>
      <w:r w:rsidRPr="00452752">
        <w:rPr>
          <w:rFonts w:ascii="Arial" w:hAnsi="Arial" w:cs="Arial"/>
          <w:lang w:eastAsia="x-none"/>
        </w:rPr>
        <w:t xml:space="preserve"> Způsob nastavení schvaluje </w:t>
      </w:r>
      <w:r>
        <w:rPr>
          <w:rFonts w:ascii="Arial" w:hAnsi="Arial" w:cs="Arial"/>
          <w:lang w:eastAsia="x-none"/>
        </w:rPr>
        <w:t>S</w:t>
      </w:r>
      <w:r w:rsidRPr="00452752">
        <w:rPr>
          <w:rFonts w:ascii="Arial" w:hAnsi="Arial" w:cs="Arial"/>
          <w:lang w:eastAsia="x-none"/>
        </w:rPr>
        <w:t>právce IS.</w:t>
      </w:r>
    </w:p>
    <w:p w14:paraId="101642F0" w14:textId="77777777" w:rsidR="008D1D6D" w:rsidRPr="00452752" w:rsidRDefault="008D1D6D" w:rsidP="008D1D6D">
      <w:pPr>
        <w:numPr>
          <w:ilvl w:val="0"/>
          <w:numId w:val="7"/>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Nebezpečné typy</w:t>
      </w:r>
      <w:r w:rsidRPr="00452752">
        <w:rPr>
          <w:rFonts w:ascii="Arial" w:hAnsi="Arial" w:cs="Arial"/>
          <w:lang w:eastAsia="x-none"/>
        </w:rPr>
        <w:t xml:space="preserve"> </w:t>
      </w:r>
      <w:r w:rsidRPr="00452752">
        <w:rPr>
          <w:rFonts w:ascii="Arial" w:hAnsi="Arial" w:cs="Arial"/>
          <w:lang w:val="x-none" w:eastAsia="x-none"/>
        </w:rPr>
        <w:t>souborů</w:t>
      </w:r>
      <w:r w:rsidRPr="00452752">
        <w:rPr>
          <w:rFonts w:ascii="Arial" w:hAnsi="Arial" w:cs="Arial"/>
          <w:lang w:eastAsia="x-none"/>
        </w:rPr>
        <w:t xml:space="preserve"> jsou</w:t>
      </w:r>
      <w:r w:rsidRPr="00452752">
        <w:rPr>
          <w:rFonts w:ascii="Arial" w:hAnsi="Arial" w:cs="Arial"/>
          <w:lang w:val="x-none" w:eastAsia="x-none"/>
        </w:rPr>
        <w:t xml:space="preserve"> blokovány </w:t>
      </w:r>
      <w:r w:rsidRPr="003A74D3">
        <w:rPr>
          <w:rFonts w:ascii="Arial" w:hAnsi="Arial" w:cs="Arial"/>
          <w:lang w:val="x-none" w:eastAsia="x-none"/>
        </w:rPr>
        <w:t>na hranicích bezpečnostního perimetru</w:t>
      </w:r>
      <w:r w:rsidRPr="00452752">
        <w:rPr>
          <w:rFonts w:ascii="Arial" w:hAnsi="Arial" w:cs="Arial"/>
          <w:lang w:val="x-none" w:eastAsia="x-none"/>
        </w:rPr>
        <w:t>. Výjimky schvaluje  v řádně odůvodněných a zdokumentovaných případech</w:t>
      </w:r>
      <w:r w:rsidRPr="00452752">
        <w:rPr>
          <w:rFonts w:ascii="Arial" w:hAnsi="Arial" w:cs="Arial"/>
          <w:lang w:eastAsia="x-none"/>
        </w:rPr>
        <w:t xml:space="preserve"> </w:t>
      </w:r>
      <w:r>
        <w:rPr>
          <w:rFonts w:ascii="Arial" w:hAnsi="Arial" w:cs="Arial"/>
          <w:lang w:eastAsia="x-none"/>
        </w:rPr>
        <w:t>S</w:t>
      </w:r>
      <w:r w:rsidRPr="00452752">
        <w:rPr>
          <w:rFonts w:ascii="Arial" w:hAnsi="Arial" w:cs="Arial"/>
          <w:lang w:eastAsia="x-none"/>
        </w:rPr>
        <w:t>právce IS</w:t>
      </w:r>
      <w:r w:rsidRPr="00452752">
        <w:rPr>
          <w:rFonts w:ascii="Arial" w:hAnsi="Arial" w:cs="Arial"/>
          <w:lang w:val="x-none" w:eastAsia="x-none"/>
        </w:rPr>
        <w:t>.</w:t>
      </w:r>
    </w:p>
    <w:p w14:paraId="4112BB5E" w14:textId="77777777" w:rsidR="008D1D6D" w:rsidRPr="00D71427" w:rsidRDefault="008D1D6D" w:rsidP="008D1D6D">
      <w:pPr>
        <w:numPr>
          <w:ilvl w:val="0"/>
          <w:numId w:val="7"/>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Druhá smluvní strana je povinna dodržovat zásady ochrany proti virům a škodlivým kódům</w:t>
      </w:r>
      <w:r w:rsidRPr="00D71427">
        <w:rPr>
          <w:rFonts w:ascii="Arial" w:hAnsi="Arial" w:cs="Arial"/>
          <w:lang w:eastAsia="x-none"/>
        </w:rPr>
        <w:t xml:space="preserve"> nejen pro nastavení a využívání prostředků ZK, ale i na přístupových bodech a zařízeních druhé smluvní strany.</w:t>
      </w:r>
    </w:p>
    <w:p w14:paraId="06AAD83F" w14:textId="77777777" w:rsidR="008D1D6D" w:rsidRPr="00D71427"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D71427">
        <w:rPr>
          <w:rFonts w:ascii="Arial" w:hAnsi="Arial" w:cs="Arial"/>
          <w:b/>
        </w:rPr>
        <w:t>Bezpečnostní incidenty</w:t>
      </w:r>
    </w:p>
    <w:p w14:paraId="6336AD38" w14:textId="77777777" w:rsidR="008D1D6D" w:rsidRPr="00D71427" w:rsidRDefault="008D1D6D" w:rsidP="008D1D6D">
      <w:pPr>
        <w:numPr>
          <w:ilvl w:val="0"/>
          <w:numId w:val="8"/>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Druhá smluvní strana je povinna neprodleně hlásit odpovědným osobám porušení těchto pravidel, všechny zjištěné neobvyklé události, které jsou, nebo mohou být bezpečnostními incidenty, </w:t>
      </w:r>
      <w:r w:rsidRPr="00D71427">
        <w:rPr>
          <w:rFonts w:ascii="Arial" w:hAnsi="Arial" w:cs="Arial"/>
          <w:lang w:eastAsia="x-none"/>
        </w:rPr>
        <w:t xml:space="preserve">zjištěná </w:t>
      </w:r>
      <w:r w:rsidRPr="00D71427">
        <w:rPr>
          <w:rFonts w:ascii="Arial" w:hAnsi="Arial" w:cs="Arial"/>
          <w:lang w:val="x-none" w:eastAsia="x-none"/>
        </w:rPr>
        <w:t xml:space="preserve">zranitelná místa, </w:t>
      </w:r>
      <w:r w:rsidRPr="00D71427">
        <w:rPr>
          <w:rFonts w:ascii="Arial" w:hAnsi="Arial" w:cs="Arial"/>
          <w:lang w:eastAsia="x-none"/>
        </w:rPr>
        <w:t xml:space="preserve">nedostatky a nesoulady. Při </w:t>
      </w:r>
      <w:r w:rsidRPr="00D71427">
        <w:rPr>
          <w:rFonts w:ascii="Arial" w:hAnsi="Arial" w:cs="Arial"/>
          <w:lang w:val="x-none" w:eastAsia="x-none"/>
        </w:rPr>
        <w:t xml:space="preserve">jejich prošetřování a odstraňování je povinna </w:t>
      </w:r>
      <w:r w:rsidRPr="00D71427">
        <w:rPr>
          <w:rFonts w:ascii="Arial" w:hAnsi="Arial" w:cs="Arial"/>
          <w:lang w:eastAsia="x-none"/>
        </w:rPr>
        <w:t>poskytnout účinnou součinnost.</w:t>
      </w:r>
    </w:p>
    <w:p w14:paraId="43A0305C" w14:textId="77777777" w:rsidR="008D1D6D" w:rsidRPr="00D71427" w:rsidRDefault="008D1D6D" w:rsidP="008D1D6D">
      <w:pPr>
        <w:numPr>
          <w:ilvl w:val="0"/>
          <w:numId w:val="8"/>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Druhé smluvní straně není povoleno řešení bezpečnostních incidentů a odstraňování nedostatků či nesouladů vlastními silami bez předchozího schválení </w:t>
      </w:r>
      <w:r w:rsidRPr="00D71427">
        <w:rPr>
          <w:rFonts w:ascii="Arial" w:hAnsi="Arial" w:cs="Arial"/>
          <w:lang w:eastAsia="x-none"/>
        </w:rPr>
        <w:t>Správcem</w:t>
      </w:r>
      <w:r w:rsidRPr="00D71427">
        <w:rPr>
          <w:rFonts w:ascii="Arial" w:hAnsi="Arial" w:cs="Arial"/>
          <w:lang w:val="x-none" w:eastAsia="x-none"/>
        </w:rPr>
        <w:t xml:space="preserve"> I</w:t>
      </w:r>
      <w:r w:rsidRPr="00D71427">
        <w:rPr>
          <w:rFonts w:ascii="Arial" w:hAnsi="Arial" w:cs="Arial"/>
          <w:lang w:eastAsia="x-none"/>
        </w:rPr>
        <w:t>S</w:t>
      </w:r>
      <w:r w:rsidRPr="00D71427">
        <w:rPr>
          <w:rFonts w:ascii="Arial" w:hAnsi="Arial" w:cs="Arial"/>
          <w:lang w:val="x-none" w:eastAsia="x-none"/>
        </w:rPr>
        <w:t>.</w:t>
      </w:r>
    </w:p>
    <w:p w14:paraId="736C0C4A" w14:textId="77777777" w:rsidR="008D1D6D" w:rsidRPr="00D71427"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D71427">
        <w:rPr>
          <w:rFonts w:ascii="Arial" w:hAnsi="Arial" w:cs="Arial"/>
          <w:b/>
        </w:rPr>
        <w:t>Používání internetu</w:t>
      </w:r>
    </w:p>
    <w:p w14:paraId="13206F0B" w14:textId="77777777" w:rsidR="008D1D6D" w:rsidRPr="00D71427" w:rsidRDefault="008D1D6D" w:rsidP="008D1D6D">
      <w:pPr>
        <w:numPr>
          <w:ilvl w:val="0"/>
          <w:numId w:val="9"/>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Druhá smluvní strana může používat při práci v IS </w:t>
      </w:r>
      <w:r w:rsidRPr="00D71427">
        <w:rPr>
          <w:rFonts w:ascii="Arial" w:hAnsi="Arial" w:cs="Arial"/>
          <w:lang w:eastAsia="x-none"/>
        </w:rPr>
        <w:t>ZK</w:t>
      </w:r>
      <w:r w:rsidRPr="00D71427">
        <w:rPr>
          <w:rFonts w:ascii="Arial" w:hAnsi="Arial" w:cs="Arial"/>
          <w:lang w:val="x-none" w:eastAsia="x-none"/>
        </w:rPr>
        <w:t xml:space="preserve"> internet pouze pro účely </w:t>
      </w:r>
      <w:r w:rsidRPr="00D71427">
        <w:rPr>
          <w:rFonts w:ascii="Arial" w:hAnsi="Arial" w:cs="Arial"/>
          <w:lang w:eastAsia="x-none"/>
        </w:rPr>
        <w:t>plnění smlouvy a za podmínky</w:t>
      </w:r>
      <w:r w:rsidRPr="00D71427">
        <w:rPr>
          <w:rFonts w:ascii="Arial" w:hAnsi="Arial" w:cs="Arial"/>
          <w:lang w:val="x-none" w:eastAsia="x-none"/>
        </w:rPr>
        <w:t xml:space="preserve"> dodržování všech všeobecně uznávaných bezpečnostních pravidel, platných pro práci s internetem. Stahování souborů, používání FTP a jiných služeb je možné jen po dohodě se </w:t>
      </w:r>
      <w:r w:rsidRPr="00D71427">
        <w:rPr>
          <w:rFonts w:ascii="Arial" w:hAnsi="Arial" w:cs="Arial"/>
          <w:lang w:eastAsia="x-none"/>
        </w:rPr>
        <w:t>Správcem</w:t>
      </w:r>
      <w:r w:rsidRPr="00D71427">
        <w:rPr>
          <w:rFonts w:ascii="Arial" w:hAnsi="Arial" w:cs="Arial"/>
          <w:lang w:val="x-none" w:eastAsia="x-none"/>
        </w:rPr>
        <w:t xml:space="preserve"> </w:t>
      </w:r>
      <w:r w:rsidRPr="00D71427">
        <w:rPr>
          <w:rFonts w:ascii="Arial" w:hAnsi="Arial" w:cs="Arial"/>
          <w:lang w:eastAsia="x-none"/>
        </w:rPr>
        <w:t>IS</w:t>
      </w:r>
      <w:r w:rsidRPr="00D71427">
        <w:rPr>
          <w:rFonts w:ascii="Arial" w:hAnsi="Arial" w:cs="Arial"/>
          <w:lang w:val="x-none" w:eastAsia="x-none"/>
        </w:rPr>
        <w:t>.</w:t>
      </w:r>
    </w:p>
    <w:p w14:paraId="5E50ABB9" w14:textId="77777777" w:rsidR="008D1D6D" w:rsidRPr="00452752" w:rsidRDefault="008D1D6D" w:rsidP="008D1D6D">
      <w:pPr>
        <w:numPr>
          <w:ilvl w:val="0"/>
          <w:numId w:val="9"/>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 xml:space="preserve">Pokud není ve smlouvě stanoveno jinak, není povoleno využívat elektronickou korespondenci z prostředí </w:t>
      </w:r>
      <w:r>
        <w:rPr>
          <w:rFonts w:ascii="Arial" w:hAnsi="Arial" w:cs="Arial"/>
          <w:lang w:eastAsia="x-none"/>
        </w:rPr>
        <w:t>ZK</w:t>
      </w:r>
      <w:r w:rsidRPr="00452752">
        <w:rPr>
          <w:rFonts w:ascii="Arial" w:hAnsi="Arial" w:cs="Arial"/>
          <w:lang w:val="x-none" w:eastAsia="x-none"/>
        </w:rPr>
        <w:t>.</w:t>
      </w:r>
    </w:p>
    <w:p w14:paraId="57D8B0EC" w14:textId="77777777" w:rsidR="008D1D6D" w:rsidRPr="00452752"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r w:rsidRPr="00452752">
        <w:rPr>
          <w:rFonts w:ascii="Arial" w:hAnsi="Arial" w:cs="Arial"/>
          <w:b/>
        </w:rPr>
        <w:t>Tisk</w:t>
      </w:r>
    </w:p>
    <w:p w14:paraId="2F0829F9" w14:textId="77777777" w:rsidR="008D1D6D" w:rsidRPr="00452752" w:rsidRDefault="008D1D6D" w:rsidP="008D1D6D">
      <w:pPr>
        <w:numPr>
          <w:ilvl w:val="0"/>
          <w:numId w:val="10"/>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eastAsia="x-none"/>
        </w:rPr>
        <w:t xml:space="preserve">Druhá smluvní strana může tisknout na tiskárnách </w:t>
      </w:r>
      <w:r>
        <w:rPr>
          <w:rFonts w:ascii="Arial" w:hAnsi="Arial" w:cs="Arial"/>
          <w:lang w:eastAsia="x-none"/>
        </w:rPr>
        <w:t>ZK</w:t>
      </w:r>
      <w:r w:rsidRPr="00452752">
        <w:rPr>
          <w:rFonts w:ascii="Arial" w:hAnsi="Arial" w:cs="Arial"/>
          <w:lang w:eastAsia="x-none"/>
        </w:rPr>
        <w:t xml:space="preserve"> pouze s povolením odpovědné osoby. Tisknout je povoleno pouze dokumenty související s předmětem smlouvy a při tisku je nutno šetřit spotřební materiál.</w:t>
      </w:r>
    </w:p>
    <w:p w14:paraId="673EFFEF" w14:textId="77777777" w:rsidR="008D1D6D" w:rsidRPr="00D71427" w:rsidRDefault="008D1D6D" w:rsidP="008D1D6D">
      <w:pPr>
        <w:numPr>
          <w:ilvl w:val="0"/>
          <w:numId w:val="10"/>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eastAsia="x-none"/>
        </w:rPr>
        <w:t xml:space="preserve">Tištěné </w:t>
      </w:r>
      <w:r w:rsidRPr="00D71427">
        <w:rPr>
          <w:rFonts w:ascii="Arial" w:hAnsi="Arial" w:cs="Arial"/>
          <w:lang w:val="x-none" w:eastAsia="x-none"/>
        </w:rPr>
        <w:t xml:space="preserve">dokumenty </w:t>
      </w:r>
      <w:r w:rsidRPr="00D71427">
        <w:rPr>
          <w:rFonts w:ascii="Arial" w:hAnsi="Arial" w:cs="Arial"/>
          <w:lang w:eastAsia="x-none"/>
        </w:rPr>
        <w:t xml:space="preserve">musí být </w:t>
      </w:r>
      <w:r w:rsidRPr="00D71427">
        <w:rPr>
          <w:rFonts w:ascii="Arial" w:hAnsi="Arial" w:cs="Arial"/>
          <w:lang w:val="x-none" w:eastAsia="x-none"/>
        </w:rPr>
        <w:t>zabezpeč</w:t>
      </w:r>
      <w:r w:rsidRPr="00D71427">
        <w:rPr>
          <w:rFonts w:ascii="Arial" w:hAnsi="Arial" w:cs="Arial"/>
          <w:lang w:eastAsia="x-none"/>
        </w:rPr>
        <w:t>eny</w:t>
      </w:r>
      <w:r w:rsidRPr="00D71427">
        <w:rPr>
          <w:rFonts w:ascii="Arial" w:hAnsi="Arial" w:cs="Arial"/>
          <w:lang w:val="x-none" w:eastAsia="x-none"/>
        </w:rPr>
        <w:t xml:space="preserve"> proti neoprávněnému přístupu jak během tisku, tak i po jeho vytisknutí</w:t>
      </w:r>
      <w:r w:rsidRPr="00D71427">
        <w:rPr>
          <w:rFonts w:ascii="Arial" w:hAnsi="Arial" w:cs="Arial"/>
          <w:lang w:eastAsia="x-none"/>
        </w:rPr>
        <w:t>,</w:t>
      </w:r>
      <w:r w:rsidRPr="00D71427">
        <w:rPr>
          <w:rFonts w:ascii="Arial" w:hAnsi="Arial" w:cs="Arial"/>
          <w:lang w:val="x-none" w:eastAsia="x-none"/>
        </w:rPr>
        <w:t xml:space="preserve"> až do jejich bezpečné </w:t>
      </w:r>
      <w:r w:rsidRPr="00D71427">
        <w:rPr>
          <w:rFonts w:ascii="Arial" w:hAnsi="Arial" w:cs="Arial"/>
          <w:lang w:eastAsia="x-none"/>
        </w:rPr>
        <w:t>skartace</w:t>
      </w:r>
      <w:r w:rsidRPr="00D71427">
        <w:rPr>
          <w:rFonts w:ascii="Arial" w:hAnsi="Arial" w:cs="Arial"/>
          <w:lang w:val="x-none" w:eastAsia="x-none"/>
        </w:rPr>
        <w:t>.</w:t>
      </w:r>
    </w:p>
    <w:p w14:paraId="76ED62CA" w14:textId="77777777" w:rsidR="008D1D6D" w:rsidRPr="00D71427" w:rsidRDefault="008D1D6D" w:rsidP="008D1D6D">
      <w:pPr>
        <w:numPr>
          <w:ilvl w:val="0"/>
          <w:numId w:val="1"/>
        </w:numPr>
        <w:overflowPunct w:val="0"/>
        <w:autoSpaceDE w:val="0"/>
        <w:autoSpaceDN w:val="0"/>
        <w:adjustRightInd w:val="0"/>
        <w:spacing w:before="120" w:line="280" w:lineRule="atLeast"/>
        <w:jc w:val="both"/>
        <w:rPr>
          <w:rFonts w:ascii="Arial" w:hAnsi="Arial" w:cs="Arial"/>
          <w:b/>
        </w:rPr>
      </w:pPr>
      <w:bookmarkStart w:id="1" w:name="_Toc295657358"/>
      <w:r w:rsidRPr="00D71427">
        <w:rPr>
          <w:rFonts w:ascii="Arial" w:hAnsi="Arial" w:cs="Arial"/>
          <w:b/>
        </w:rPr>
        <w:t>Použití kryptografických technik</w:t>
      </w:r>
      <w:bookmarkEnd w:id="1"/>
      <w:r w:rsidRPr="00D71427">
        <w:rPr>
          <w:rFonts w:ascii="Arial" w:hAnsi="Arial" w:cs="Arial"/>
          <w:b/>
        </w:rPr>
        <w:t xml:space="preserve"> </w:t>
      </w:r>
    </w:p>
    <w:p w14:paraId="0BF3DFF7" w14:textId="77777777" w:rsidR="008D1D6D" w:rsidRPr="00D71427" w:rsidRDefault="008D1D6D" w:rsidP="008D1D6D">
      <w:pPr>
        <w:numPr>
          <w:ilvl w:val="0"/>
          <w:numId w:val="11"/>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 xml:space="preserve">Kryptografické metody musí být použity vždy, jestliže není možné bezpečnost dat nebo komunikace zaručit jinými způsoby. </w:t>
      </w:r>
      <w:r w:rsidRPr="00D71427">
        <w:rPr>
          <w:rFonts w:ascii="Arial" w:hAnsi="Arial" w:cs="Arial"/>
          <w:lang w:eastAsia="x-none"/>
        </w:rPr>
        <w:t>Jedná se např. o</w:t>
      </w:r>
      <w:r w:rsidRPr="00D71427">
        <w:rPr>
          <w:rFonts w:ascii="Arial" w:hAnsi="Arial" w:cs="Arial"/>
          <w:lang w:val="x-none" w:eastAsia="x-none"/>
        </w:rPr>
        <w:t xml:space="preserve"> přenosy citlivých dat prostřednictvím nedůvěryhodných sítí nebo přístup externích subjektů k citlivým zdrojům.</w:t>
      </w:r>
    </w:p>
    <w:p w14:paraId="25E3AE85" w14:textId="77777777" w:rsidR="008D1D6D" w:rsidRPr="00D71427" w:rsidRDefault="008D1D6D" w:rsidP="008D1D6D">
      <w:pPr>
        <w:numPr>
          <w:ilvl w:val="0"/>
          <w:numId w:val="11"/>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Použity mohou být pouze takové kryptografické algoritmy a protokoly</w:t>
      </w:r>
      <w:r w:rsidRPr="00D71427">
        <w:rPr>
          <w:rFonts w:ascii="Arial" w:hAnsi="Arial" w:cs="Arial"/>
          <w:lang w:eastAsia="x-none"/>
        </w:rPr>
        <w:t xml:space="preserve"> a v takovém užití (např. odpovídající délky klíčů)</w:t>
      </w:r>
      <w:r w:rsidRPr="00D71427">
        <w:rPr>
          <w:rFonts w:ascii="Arial" w:hAnsi="Arial" w:cs="Arial"/>
          <w:lang w:val="x-none" w:eastAsia="x-none"/>
        </w:rPr>
        <w:t xml:space="preserve">, které jsou podle platných standardů všeobecně považovány za bezpečné. </w:t>
      </w:r>
    </w:p>
    <w:p w14:paraId="2AAAE91A" w14:textId="77777777" w:rsidR="008D1D6D" w:rsidRPr="00D71427" w:rsidRDefault="008D1D6D" w:rsidP="008D1D6D">
      <w:pPr>
        <w:numPr>
          <w:ilvl w:val="0"/>
          <w:numId w:val="11"/>
        </w:numPr>
        <w:overflowPunct w:val="0"/>
        <w:autoSpaceDE w:val="0"/>
        <w:autoSpaceDN w:val="0"/>
        <w:adjustRightInd w:val="0"/>
        <w:spacing w:before="120" w:after="200" w:line="276" w:lineRule="auto"/>
        <w:contextualSpacing/>
        <w:jc w:val="both"/>
        <w:rPr>
          <w:rFonts w:ascii="Arial" w:hAnsi="Arial" w:cs="Arial"/>
          <w:lang w:val="x-none" w:eastAsia="x-none"/>
        </w:rPr>
      </w:pPr>
      <w:r w:rsidRPr="00D71427">
        <w:rPr>
          <w:rFonts w:ascii="Arial" w:hAnsi="Arial" w:cs="Arial"/>
          <w:lang w:val="x-none" w:eastAsia="x-none"/>
        </w:rPr>
        <w:t>Použití proprietárních nebo obecně neuznávaných algoritmů není dovoleno</w:t>
      </w:r>
      <w:r w:rsidRPr="00D71427">
        <w:rPr>
          <w:rFonts w:ascii="Arial" w:hAnsi="Arial" w:cs="Arial"/>
          <w:lang w:eastAsia="x-none"/>
        </w:rPr>
        <w:t>, výjimky povoluje Správce IS</w:t>
      </w:r>
      <w:r w:rsidRPr="00D71427">
        <w:rPr>
          <w:rFonts w:ascii="Arial" w:hAnsi="Arial" w:cs="Arial"/>
          <w:lang w:val="x-none" w:eastAsia="x-none"/>
        </w:rPr>
        <w:t xml:space="preserve">. </w:t>
      </w:r>
    </w:p>
    <w:p w14:paraId="79BD5A8A" w14:textId="77777777" w:rsidR="008D1D6D" w:rsidRPr="00452752" w:rsidRDefault="008D1D6D" w:rsidP="008D1D6D">
      <w:pPr>
        <w:rPr>
          <w:rFonts w:ascii="Arial" w:hAnsi="Arial" w:cs="Arial"/>
        </w:rPr>
      </w:pPr>
    </w:p>
    <w:p w14:paraId="2A6C558D" w14:textId="0450B884" w:rsidR="00953BB8" w:rsidRDefault="00EC409E" w:rsidP="000E6BDE"/>
    <w:p w14:paraId="27C34964" w14:textId="09E345F7" w:rsidR="008D1D6D" w:rsidRDefault="008D1D6D" w:rsidP="000E6BDE"/>
    <w:p w14:paraId="6EFFD6E4" w14:textId="67E3D193" w:rsidR="008D1D6D" w:rsidRDefault="008D1D6D" w:rsidP="000E6BDE"/>
    <w:p w14:paraId="29EBF235" w14:textId="5BB7B41E" w:rsidR="008D1D6D" w:rsidRDefault="008D1D6D" w:rsidP="000E6BDE"/>
    <w:p w14:paraId="3185CD13" w14:textId="75191423" w:rsidR="008D1D6D" w:rsidRDefault="008D1D6D" w:rsidP="000E6BDE"/>
    <w:p w14:paraId="5E26726E" w14:textId="0400DF93" w:rsidR="008D1D6D" w:rsidRDefault="008D1D6D" w:rsidP="000E6BDE"/>
    <w:p w14:paraId="308DB650" w14:textId="4797DF79" w:rsidR="008D1D6D" w:rsidRDefault="008D1D6D" w:rsidP="000E6BDE"/>
    <w:p w14:paraId="2864F894" w14:textId="44A11484" w:rsidR="008D1D6D" w:rsidRDefault="008D1D6D" w:rsidP="000E6BDE"/>
    <w:p w14:paraId="729CE21E" w14:textId="079B94C2" w:rsidR="008D1D6D" w:rsidRDefault="008D1D6D" w:rsidP="000E6BDE"/>
    <w:p w14:paraId="76A693B1" w14:textId="6F7CD67F" w:rsidR="008D1D6D" w:rsidRDefault="008D1D6D" w:rsidP="000E6BDE"/>
    <w:p w14:paraId="233DC73E" w14:textId="141147CE" w:rsidR="008D1D6D" w:rsidRDefault="008D1D6D" w:rsidP="000E6BDE"/>
    <w:p w14:paraId="31C6A56F" w14:textId="28DDA544" w:rsidR="008D1D6D" w:rsidRDefault="008D1D6D" w:rsidP="000E6BDE"/>
    <w:p w14:paraId="7C8DA337" w14:textId="77777777" w:rsidR="008D1D6D" w:rsidRPr="00646C88" w:rsidRDefault="008D1D6D" w:rsidP="008D1D6D">
      <w:pPr>
        <w:spacing w:line="276" w:lineRule="auto"/>
        <w:jc w:val="center"/>
        <w:rPr>
          <w:rFonts w:ascii="Arial" w:hAnsi="Arial" w:cs="Arial"/>
          <w:b/>
          <w:sz w:val="28"/>
          <w:szCs w:val="28"/>
        </w:rPr>
      </w:pPr>
      <w:r>
        <w:rPr>
          <w:rFonts w:ascii="Arial" w:hAnsi="Arial" w:cs="Arial"/>
          <w:b/>
          <w:sz w:val="28"/>
          <w:szCs w:val="28"/>
        </w:rPr>
        <w:lastRenderedPageBreak/>
        <w:t>SMLOUV</w:t>
      </w:r>
      <w:r w:rsidRPr="00646C88">
        <w:rPr>
          <w:rFonts w:ascii="Arial" w:hAnsi="Arial" w:cs="Arial"/>
          <w:b/>
          <w:sz w:val="28"/>
          <w:szCs w:val="28"/>
        </w:rPr>
        <w:t>A O MLČENLIVOSTI, OCHRANĚ INFORMACÍ</w:t>
      </w:r>
    </w:p>
    <w:p w14:paraId="60BB6A64" w14:textId="77777777" w:rsidR="008D1D6D" w:rsidRPr="00646C88" w:rsidRDefault="008D1D6D" w:rsidP="008D1D6D">
      <w:pPr>
        <w:spacing w:line="276" w:lineRule="auto"/>
        <w:jc w:val="center"/>
        <w:rPr>
          <w:rFonts w:ascii="Arial" w:hAnsi="Arial" w:cs="Arial"/>
          <w:b/>
          <w:sz w:val="28"/>
          <w:szCs w:val="28"/>
        </w:rPr>
      </w:pPr>
      <w:r w:rsidRPr="00646C88">
        <w:rPr>
          <w:rFonts w:ascii="Arial" w:hAnsi="Arial" w:cs="Arial"/>
          <w:b/>
          <w:sz w:val="28"/>
          <w:szCs w:val="28"/>
        </w:rPr>
        <w:t>a souhlasu s dodržováním bezpečnostních pravidel v souvislosti s předáním přihlašovacích údajů</w:t>
      </w:r>
    </w:p>
    <w:p w14:paraId="7FFF9163" w14:textId="77777777" w:rsidR="008D1D6D" w:rsidRPr="00646C88" w:rsidRDefault="008D1D6D" w:rsidP="008D1D6D">
      <w:pPr>
        <w:pStyle w:val="Normlnweb"/>
        <w:jc w:val="center"/>
        <w:rPr>
          <w:rFonts w:ascii="Arial" w:hAnsi="Arial" w:cs="Arial"/>
          <w:sz w:val="20"/>
          <w:szCs w:val="20"/>
        </w:rPr>
      </w:pPr>
      <w:r w:rsidRPr="00646C88">
        <w:rPr>
          <w:rFonts w:ascii="Arial" w:hAnsi="Arial" w:cs="Arial"/>
          <w:sz w:val="20"/>
          <w:szCs w:val="20"/>
        </w:rPr>
        <w:t xml:space="preserve">uzavřená na základě </w:t>
      </w:r>
      <w:proofErr w:type="spellStart"/>
      <w:r w:rsidRPr="00646C88">
        <w:rPr>
          <w:rFonts w:ascii="Arial" w:hAnsi="Arial" w:cs="Arial"/>
          <w:sz w:val="20"/>
          <w:szCs w:val="20"/>
        </w:rPr>
        <w:t>ust</w:t>
      </w:r>
      <w:proofErr w:type="spellEnd"/>
      <w:r w:rsidRPr="00646C88">
        <w:rPr>
          <w:rFonts w:ascii="Arial" w:hAnsi="Arial" w:cs="Arial"/>
          <w:sz w:val="20"/>
          <w:szCs w:val="20"/>
        </w:rPr>
        <w:t>. § 1746 odst. 2 zákona č. 89/2012 Sb. Sb., občanský zákoník, ve znění pozdějších předpisů (dále jen „</w:t>
      </w:r>
      <w:r w:rsidRPr="00646C88">
        <w:rPr>
          <w:rFonts w:ascii="Arial" w:hAnsi="Arial" w:cs="Arial"/>
          <w:b/>
          <w:sz w:val="20"/>
          <w:szCs w:val="20"/>
        </w:rPr>
        <w:t>občanský zákoník</w:t>
      </w:r>
      <w:r w:rsidRPr="00646C88">
        <w:rPr>
          <w:rFonts w:ascii="Arial" w:hAnsi="Arial" w:cs="Arial"/>
          <w:sz w:val="20"/>
          <w:szCs w:val="20"/>
        </w:rPr>
        <w:t>“)</w:t>
      </w:r>
    </w:p>
    <w:p w14:paraId="0A798A37" w14:textId="77777777" w:rsidR="008D1D6D" w:rsidRPr="00646C88" w:rsidRDefault="008D1D6D" w:rsidP="008D1D6D">
      <w:pPr>
        <w:spacing w:line="276" w:lineRule="auto"/>
        <w:rPr>
          <w:rFonts w:ascii="Arial" w:hAnsi="Arial" w:cs="Arial"/>
        </w:rPr>
      </w:pPr>
    </w:p>
    <w:p w14:paraId="73B80E35" w14:textId="77777777" w:rsidR="008D1D6D" w:rsidRPr="00646C88" w:rsidRDefault="008D1D6D" w:rsidP="008D1D6D">
      <w:pPr>
        <w:spacing w:after="120"/>
        <w:jc w:val="center"/>
        <w:rPr>
          <w:rFonts w:ascii="Arial" w:hAnsi="Arial" w:cs="Arial"/>
          <w:b/>
        </w:rPr>
      </w:pPr>
      <w:r w:rsidRPr="00646C88">
        <w:rPr>
          <w:rFonts w:ascii="Arial" w:hAnsi="Arial" w:cs="Arial"/>
          <w:b/>
        </w:rPr>
        <w:t>Smluvní strany</w:t>
      </w:r>
    </w:p>
    <w:p w14:paraId="77060A3A" w14:textId="77777777" w:rsidR="008D1D6D" w:rsidRPr="00646C88" w:rsidRDefault="008D1D6D" w:rsidP="008D1D6D">
      <w:pPr>
        <w:spacing w:after="120"/>
        <w:rPr>
          <w:rFonts w:ascii="Arial" w:hAnsi="Arial" w:cs="Arial"/>
        </w:rPr>
      </w:pPr>
    </w:p>
    <w:p w14:paraId="3DC34064" w14:textId="77777777" w:rsidR="008D1D6D" w:rsidRPr="00646C88" w:rsidRDefault="008D1D6D" w:rsidP="008D1D6D">
      <w:pPr>
        <w:widowControl w:val="0"/>
        <w:rPr>
          <w:rFonts w:ascii="Arial" w:hAnsi="Arial" w:cs="Arial"/>
          <w:bCs/>
        </w:rPr>
      </w:pPr>
      <w:r w:rsidRPr="00646C88">
        <w:rPr>
          <w:rFonts w:ascii="Arial" w:hAnsi="Arial" w:cs="Arial"/>
          <w:b/>
          <w:bCs/>
        </w:rPr>
        <w:t>Předávající:                  Zlínský kraj</w:t>
      </w:r>
    </w:p>
    <w:p w14:paraId="068A16C5" w14:textId="77777777" w:rsidR="008D1D6D" w:rsidRPr="00646C88" w:rsidRDefault="008D1D6D" w:rsidP="008D1D6D">
      <w:pPr>
        <w:spacing w:line="276" w:lineRule="auto"/>
        <w:rPr>
          <w:rFonts w:ascii="Arial" w:hAnsi="Arial" w:cs="Arial"/>
        </w:rPr>
      </w:pPr>
      <w:r w:rsidRPr="00646C88">
        <w:rPr>
          <w:rFonts w:ascii="Arial" w:hAnsi="Arial" w:cs="Arial"/>
        </w:rPr>
        <w:t>Adresa:</w:t>
      </w:r>
      <w:r w:rsidRPr="00646C88">
        <w:rPr>
          <w:rFonts w:ascii="Arial" w:hAnsi="Arial" w:cs="Arial"/>
        </w:rPr>
        <w:tab/>
      </w:r>
      <w:r w:rsidRPr="00646C88">
        <w:rPr>
          <w:rFonts w:ascii="Arial" w:hAnsi="Arial" w:cs="Arial"/>
        </w:rPr>
        <w:tab/>
      </w:r>
      <w:r w:rsidRPr="00646C88">
        <w:rPr>
          <w:rFonts w:ascii="Arial" w:hAnsi="Arial" w:cs="Arial"/>
        </w:rPr>
        <w:tab/>
        <w:t>třída Tomáše Bati 21, 761 90 Zlín</w:t>
      </w:r>
    </w:p>
    <w:p w14:paraId="7A984041" w14:textId="77777777" w:rsidR="008D1D6D" w:rsidRPr="00646C88" w:rsidRDefault="008D1D6D" w:rsidP="008D1D6D">
      <w:pPr>
        <w:spacing w:line="276" w:lineRule="auto"/>
        <w:rPr>
          <w:rFonts w:ascii="Arial" w:hAnsi="Arial" w:cs="Arial"/>
        </w:rPr>
      </w:pPr>
      <w:r w:rsidRPr="00646C88">
        <w:rPr>
          <w:rFonts w:ascii="Arial" w:hAnsi="Arial" w:cs="Arial"/>
        </w:rPr>
        <w:t>IČ:</w:t>
      </w:r>
      <w:r w:rsidRPr="00646C88">
        <w:rPr>
          <w:rFonts w:ascii="Arial" w:hAnsi="Arial" w:cs="Arial"/>
        </w:rPr>
        <w:tab/>
      </w:r>
      <w:r w:rsidRPr="00646C88">
        <w:rPr>
          <w:rFonts w:ascii="Arial" w:hAnsi="Arial" w:cs="Arial"/>
        </w:rPr>
        <w:tab/>
      </w:r>
      <w:r w:rsidRPr="00646C88">
        <w:rPr>
          <w:rFonts w:ascii="Arial" w:hAnsi="Arial" w:cs="Arial"/>
        </w:rPr>
        <w:tab/>
        <w:t>70891320</w:t>
      </w:r>
    </w:p>
    <w:p w14:paraId="3DE602C3" w14:textId="77777777" w:rsidR="008D1D6D" w:rsidRPr="00646C88" w:rsidRDefault="008D1D6D" w:rsidP="008D1D6D">
      <w:pPr>
        <w:spacing w:line="276" w:lineRule="auto"/>
        <w:rPr>
          <w:rFonts w:ascii="Arial" w:hAnsi="Arial" w:cs="Arial"/>
        </w:rPr>
      </w:pPr>
      <w:r w:rsidRPr="00646C88">
        <w:rPr>
          <w:rFonts w:ascii="Arial" w:hAnsi="Arial" w:cs="Arial"/>
        </w:rPr>
        <w:t>DIČ:</w:t>
      </w:r>
      <w:r w:rsidRPr="00646C88">
        <w:rPr>
          <w:rFonts w:ascii="Arial" w:hAnsi="Arial" w:cs="Arial"/>
        </w:rPr>
        <w:tab/>
      </w:r>
      <w:r w:rsidRPr="00646C88">
        <w:rPr>
          <w:rFonts w:ascii="Arial" w:hAnsi="Arial" w:cs="Arial"/>
        </w:rPr>
        <w:tab/>
      </w:r>
      <w:r w:rsidRPr="00646C88">
        <w:rPr>
          <w:rFonts w:ascii="Arial" w:hAnsi="Arial" w:cs="Arial"/>
        </w:rPr>
        <w:tab/>
        <w:t>CZ70891320</w:t>
      </w:r>
    </w:p>
    <w:p w14:paraId="3C04C423" w14:textId="77777777" w:rsidR="008D1D6D" w:rsidRPr="00646C88" w:rsidRDefault="008D1D6D" w:rsidP="008D1D6D">
      <w:pPr>
        <w:spacing w:line="276" w:lineRule="auto"/>
        <w:rPr>
          <w:rFonts w:ascii="Arial" w:hAnsi="Arial" w:cs="Arial"/>
        </w:rPr>
      </w:pPr>
      <w:r w:rsidRPr="00646C88">
        <w:rPr>
          <w:rFonts w:ascii="Arial" w:hAnsi="Arial" w:cs="Arial"/>
        </w:rPr>
        <w:t>Zastoupený:</w:t>
      </w:r>
      <w:r w:rsidRPr="00646C88">
        <w:rPr>
          <w:rFonts w:ascii="Arial" w:hAnsi="Arial" w:cs="Arial"/>
        </w:rPr>
        <w:tab/>
      </w:r>
      <w:r w:rsidRPr="00646C88">
        <w:rPr>
          <w:rFonts w:ascii="Arial" w:hAnsi="Arial" w:cs="Arial"/>
        </w:rPr>
        <w:tab/>
      </w:r>
      <w:r>
        <w:rPr>
          <w:rFonts w:ascii="Arial" w:hAnsi="Arial" w:cs="Arial"/>
        </w:rPr>
        <w:t>Ing. Petr Kedra</w:t>
      </w:r>
      <w:r w:rsidRPr="00B342AD">
        <w:rPr>
          <w:rFonts w:ascii="Arial" w:hAnsi="Arial" w:cs="Arial"/>
        </w:rPr>
        <w:t xml:space="preserve">, </w:t>
      </w:r>
      <w:r>
        <w:rPr>
          <w:rFonts w:ascii="Arial" w:hAnsi="Arial" w:cs="Arial"/>
        </w:rPr>
        <w:t>vedoucí odboru KŘ</w:t>
      </w:r>
      <w:r w:rsidRPr="00646C88">
        <w:rPr>
          <w:rFonts w:ascii="Arial" w:hAnsi="Arial" w:cs="Arial"/>
        </w:rPr>
        <w:t xml:space="preserve">  </w:t>
      </w:r>
    </w:p>
    <w:p w14:paraId="1DE54FA1" w14:textId="77777777" w:rsidR="008D1D6D" w:rsidRPr="00646C88" w:rsidRDefault="008D1D6D" w:rsidP="008D1D6D">
      <w:pPr>
        <w:rPr>
          <w:rFonts w:ascii="Arial" w:hAnsi="Arial" w:cs="Arial"/>
        </w:rPr>
      </w:pPr>
      <w:r w:rsidRPr="00646C88">
        <w:rPr>
          <w:rFonts w:ascii="Arial" w:hAnsi="Arial" w:cs="Arial"/>
        </w:rPr>
        <w:t>Bankovní spojení:</w:t>
      </w:r>
      <w:r w:rsidRPr="00646C88">
        <w:rPr>
          <w:rFonts w:ascii="Arial" w:hAnsi="Arial" w:cs="Arial"/>
        </w:rPr>
        <w:tab/>
        <w:t xml:space="preserve">Česká spořitelna, a.s., </w:t>
      </w:r>
      <w:proofErr w:type="spellStart"/>
      <w:proofErr w:type="gramStart"/>
      <w:r w:rsidRPr="00646C88">
        <w:rPr>
          <w:rFonts w:ascii="Arial" w:hAnsi="Arial" w:cs="Arial"/>
        </w:rPr>
        <w:t>č.ú</w:t>
      </w:r>
      <w:proofErr w:type="spellEnd"/>
      <w:r w:rsidRPr="00646C88">
        <w:rPr>
          <w:rFonts w:ascii="Arial" w:hAnsi="Arial" w:cs="Arial"/>
        </w:rPr>
        <w:t>. 2786182/0800</w:t>
      </w:r>
      <w:proofErr w:type="gramEnd"/>
    </w:p>
    <w:p w14:paraId="012C8FF6" w14:textId="77777777" w:rsidR="008D1D6D" w:rsidRPr="00646C88" w:rsidRDefault="008D1D6D" w:rsidP="008D1D6D">
      <w:pPr>
        <w:rPr>
          <w:rFonts w:ascii="Arial" w:hAnsi="Arial" w:cs="Arial"/>
        </w:rPr>
      </w:pPr>
    </w:p>
    <w:p w14:paraId="259B73E3" w14:textId="77777777" w:rsidR="008D1D6D" w:rsidRPr="00646C88" w:rsidRDefault="008D1D6D" w:rsidP="008D1D6D">
      <w:pPr>
        <w:rPr>
          <w:rFonts w:ascii="Arial" w:hAnsi="Arial" w:cs="Arial"/>
        </w:rPr>
      </w:pPr>
      <w:r w:rsidRPr="00646C88">
        <w:rPr>
          <w:rFonts w:ascii="Arial" w:hAnsi="Arial" w:cs="Arial"/>
        </w:rPr>
        <w:t>a</w:t>
      </w:r>
    </w:p>
    <w:p w14:paraId="57B982B0" w14:textId="77777777" w:rsidR="008D1D6D" w:rsidRPr="00646C88" w:rsidRDefault="008D1D6D" w:rsidP="008D1D6D">
      <w:pPr>
        <w:rPr>
          <w:rFonts w:ascii="Arial" w:hAnsi="Arial" w:cs="Arial"/>
        </w:rPr>
      </w:pPr>
    </w:p>
    <w:p w14:paraId="02D77A43" w14:textId="5232FE99" w:rsidR="008D1D6D" w:rsidRPr="007537D4" w:rsidRDefault="008D1D6D" w:rsidP="008D1D6D">
      <w:pPr>
        <w:widowControl w:val="0"/>
        <w:rPr>
          <w:rFonts w:ascii="Arial" w:hAnsi="Arial" w:cs="Arial"/>
          <w:b/>
          <w:bCs/>
        </w:rPr>
      </w:pPr>
      <w:r w:rsidRPr="00983868">
        <w:rPr>
          <w:rFonts w:ascii="Arial" w:hAnsi="Arial" w:cs="Arial"/>
          <w:b/>
          <w:bCs/>
        </w:rPr>
        <w:t>Přejímající:</w:t>
      </w:r>
      <w:r w:rsidRPr="00983868">
        <w:rPr>
          <w:rFonts w:ascii="Arial" w:hAnsi="Arial" w:cs="Arial"/>
          <w:b/>
          <w:bCs/>
        </w:rPr>
        <w:tab/>
      </w:r>
      <w:r w:rsidR="00482AB0">
        <w:rPr>
          <w:rFonts w:ascii="Arial" w:hAnsi="Arial" w:cs="Arial"/>
          <w:b/>
          <w:bCs/>
        </w:rPr>
        <w:tab/>
      </w:r>
      <w:r w:rsidR="008D2BEF">
        <w:rPr>
          <w:rFonts w:ascii="Arial" w:hAnsi="Arial" w:cs="Arial"/>
          <w:b/>
          <w:bCs/>
        </w:rPr>
        <w:t>HP TRONIC, s.r.o.</w:t>
      </w:r>
      <w:r w:rsidRPr="00983868">
        <w:rPr>
          <w:rFonts w:ascii="Arial" w:hAnsi="Arial" w:cs="Arial"/>
          <w:b/>
          <w:bCs/>
        </w:rPr>
        <w:tab/>
      </w:r>
    </w:p>
    <w:p w14:paraId="1F7A0FBE" w14:textId="095E1824" w:rsidR="008D1D6D" w:rsidRPr="007537D4" w:rsidRDefault="008D1D6D" w:rsidP="008D1D6D">
      <w:pPr>
        <w:spacing w:line="276" w:lineRule="auto"/>
        <w:rPr>
          <w:rFonts w:ascii="Arial" w:hAnsi="Arial" w:cs="Arial"/>
        </w:rPr>
      </w:pPr>
      <w:r w:rsidRPr="007537D4">
        <w:rPr>
          <w:rFonts w:ascii="Arial" w:hAnsi="Arial" w:cs="Arial"/>
        </w:rPr>
        <w:t>Adresa:</w:t>
      </w:r>
      <w:r w:rsidRPr="007537D4">
        <w:rPr>
          <w:rFonts w:ascii="Arial" w:hAnsi="Arial" w:cs="Arial"/>
        </w:rPr>
        <w:tab/>
      </w:r>
      <w:r w:rsidRPr="007537D4">
        <w:rPr>
          <w:rFonts w:ascii="Arial" w:hAnsi="Arial" w:cs="Arial"/>
        </w:rPr>
        <w:tab/>
      </w:r>
      <w:r w:rsidR="00482AB0">
        <w:rPr>
          <w:rFonts w:ascii="Arial" w:hAnsi="Arial" w:cs="Arial"/>
        </w:rPr>
        <w:tab/>
      </w:r>
      <w:r w:rsidR="008D2BEF">
        <w:rPr>
          <w:rFonts w:ascii="Arial" w:hAnsi="Arial" w:cs="Arial"/>
        </w:rPr>
        <w:t>náměstí Práce 2523, 760 01 Zlín</w:t>
      </w:r>
      <w:r w:rsidRPr="007537D4">
        <w:rPr>
          <w:rFonts w:ascii="Arial" w:hAnsi="Arial" w:cs="Arial"/>
        </w:rPr>
        <w:tab/>
        <w:t xml:space="preserve"> </w:t>
      </w:r>
    </w:p>
    <w:p w14:paraId="28BAB6BB" w14:textId="79D0C769" w:rsidR="008D1D6D" w:rsidRPr="007537D4" w:rsidRDefault="008D1D6D" w:rsidP="008D1D6D">
      <w:pPr>
        <w:spacing w:line="276" w:lineRule="auto"/>
        <w:rPr>
          <w:rFonts w:ascii="Arial" w:hAnsi="Arial" w:cs="Arial"/>
        </w:rPr>
      </w:pPr>
      <w:r w:rsidRPr="007537D4">
        <w:rPr>
          <w:rFonts w:ascii="Arial" w:hAnsi="Arial" w:cs="Arial"/>
        </w:rPr>
        <w:t>IČ:</w:t>
      </w:r>
      <w:r w:rsidRPr="007537D4">
        <w:rPr>
          <w:rFonts w:ascii="Arial" w:hAnsi="Arial" w:cs="Arial"/>
        </w:rPr>
        <w:tab/>
      </w:r>
      <w:r w:rsidRPr="007537D4">
        <w:rPr>
          <w:rFonts w:ascii="Arial" w:hAnsi="Arial" w:cs="Arial"/>
        </w:rPr>
        <w:tab/>
      </w:r>
      <w:r w:rsidR="00482AB0">
        <w:rPr>
          <w:rFonts w:ascii="Arial" w:hAnsi="Arial" w:cs="Arial"/>
        </w:rPr>
        <w:tab/>
      </w:r>
      <w:r w:rsidR="008D2BEF">
        <w:t>60323418</w:t>
      </w:r>
      <w:r w:rsidRPr="007537D4">
        <w:rPr>
          <w:rFonts w:ascii="Arial" w:hAnsi="Arial" w:cs="Arial"/>
        </w:rPr>
        <w:tab/>
      </w:r>
    </w:p>
    <w:p w14:paraId="1E00F216" w14:textId="597EF909" w:rsidR="008D1D6D" w:rsidRPr="007537D4" w:rsidRDefault="008D1D6D" w:rsidP="008D1D6D">
      <w:pPr>
        <w:spacing w:line="276" w:lineRule="auto"/>
        <w:rPr>
          <w:rFonts w:ascii="Arial" w:hAnsi="Arial" w:cs="Arial"/>
        </w:rPr>
      </w:pPr>
      <w:r w:rsidRPr="007537D4">
        <w:rPr>
          <w:rFonts w:ascii="Arial" w:hAnsi="Arial" w:cs="Arial"/>
        </w:rPr>
        <w:t>DIČ:</w:t>
      </w:r>
      <w:r w:rsidRPr="007537D4">
        <w:rPr>
          <w:rFonts w:ascii="Arial" w:hAnsi="Arial" w:cs="Arial"/>
        </w:rPr>
        <w:tab/>
      </w:r>
      <w:r w:rsidRPr="007537D4">
        <w:rPr>
          <w:rFonts w:ascii="Arial" w:hAnsi="Arial" w:cs="Arial"/>
        </w:rPr>
        <w:tab/>
      </w:r>
      <w:r w:rsidR="00482AB0">
        <w:rPr>
          <w:rFonts w:ascii="Arial" w:hAnsi="Arial" w:cs="Arial"/>
        </w:rPr>
        <w:tab/>
      </w:r>
      <w:r w:rsidR="008D2BEF">
        <w:t>CZ60323418</w:t>
      </w:r>
      <w:r w:rsidRPr="007537D4">
        <w:rPr>
          <w:rFonts w:ascii="Arial" w:hAnsi="Arial" w:cs="Arial"/>
        </w:rPr>
        <w:tab/>
      </w:r>
    </w:p>
    <w:p w14:paraId="2553FAC7" w14:textId="7724ABB4" w:rsidR="008D1D6D" w:rsidRPr="007537D4" w:rsidRDefault="008D1D6D" w:rsidP="008D1D6D">
      <w:pPr>
        <w:spacing w:line="276" w:lineRule="auto"/>
        <w:rPr>
          <w:rFonts w:ascii="Arial" w:hAnsi="Arial" w:cs="Arial"/>
        </w:rPr>
      </w:pPr>
      <w:r w:rsidRPr="007537D4">
        <w:rPr>
          <w:rFonts w:ascii="Arial" w:hAnsi="Arial" w:cs="Arial"/>
        </w:rPr>
        <w:t>Zapsaný v OR:</w:t>
      </w:r>
      <w:r w:rsidRPr="007537D4">
        <w:rPr>
          <w:rFonts w:ascii="Arial" w:hAnsi="Arial" w:cs="Arial"/>
        </w:rPr>
        <w:tab/>
      </w:r>
      <w:r w:rsidR="00482AB0">
        <w:rPr>
          <w:rFonts w:ascii="Arial" w:hAnsi="Arial" w:cs="Arial"/>
        </w:rPr>
        <w:tab/>
      </w:r>
      <w:r w:rsidR="008D2BEF">
        <w:rPr>
          <w:rFonts w:ascii="Arial" w:hAnsi="Arial" w:cs="Arial"/>
        </w:rPr>
        <w:t>Krajským soudem v Brně, oddíl C, vložka 38954</w:t>
      </w:r>
      <w:r w:rsidRPr="007537D4">
        <w:rPr>
          <w:rFonts w:ascii="Arial" w:hAnsi="Arial" w:cs="Arial"/>
        </w:rPr>
        <w:tab/>
      </w:r>
      <w:r w:rsidRPr="007537D4">
        <w:rPr>
          <w:rFonts w:ascii="Arial" w:hAnsi="Arial" w:cs="Arial"/>
        </w:rPr>
        <w:tab/>
      </w:r>
      <w:r w:rsidRPr="007537D4">
        <w:rPr>
          <w:rFonts w:ascii="Arial" w:hAnsi="Arial" w:cs="Arial"/>
        </w:rPr>
        <w:tab/>
      </w:r>
    </w:p>
    <w:p w14:paraId="21C87465" w14:textId="54DC05A3" w:rsidR="008D1D6D" w:rsidRPr="007537D4" w:rsidRDefault="008D1D6D" w:rsidP="008D1D6D">
      <w:pPr>
        <w:spacing w:line="276" w:lineRule="auto"/>
        <w:rPr>
          <w:rFonts w:ascii="Arial" w:hAnsi="Arial" w:cs="Arial"/>
        </w:rPr>
      </w:pPr>
      <w:r w:rsidRPr="007537D4">
        <w:rPr>
          <w:rFonts w:ascii="Arial" w:hAnsi="Arial" w:cs="Arial"/>
        </w:rPr>
        <w:t>Zastoupený:</w:t>
      </w:r>
      <w:r w:rsidR="008D2BEF">
        <w:rPr>
          <w:rFonts w:ascii="Arial" w:hAnsi="Arial" w:cs="Arial"/>
        </w:rPr>
        <w:tab/>
      </w:r>
      <w:r w:rsidR="00482AB0">
        <w:rPr>
          <w:rFonts w:ascii="Arial" w:hAnsi="Arial" w:cs="Arial"/>
        </w:rPr>
        <w:tab/>
      </w:r>
      <w:r w:rsidR="008D2BEF">
        <w:rPr>
          <w:rFonts w:ascii="Arial" w:hAnsi="Arial" w:cs="Arial"/>
        </w:rPr>
        <w:t>Ing. Danielem Večeřou, jednatelem</w:t>
      </w:r>
      <w:r w:rsidRPr="007537D4">
        <w:rPr>
          <w:rFonts w:ascii="Arial" w:hAnsi="Arial" w:cs="Arial"/>
        </w:rPr>
        <w:tab/>
      </w:r>
      <w:r w:rsidRPr="007537D4">
        <w:rPr>
          <w:rFonts w:ascii="Arial" w:hAnsi="Arial" w:cs="Arial"/>
        </w:rPr>
        <w:tab/>
      </w:r>
    </w:p>
    <w:p w14:paraId="222600D7" w14:textId="17D111C3" w:rsidR="008D1D6D" w:rsidRPr="00983868" w:rsidRDefault="008D1D6D" w:rsidP="008D1D6D">
      <w:pPr>
        <w:spacing w:line="276" w:lineRule="auto"/>
        <w:rPr>
          <w:rFonts w:ascii="Arial" w:hAnsi="Arial" w:cs="Arial"/>
        </w:rPr>
      </w:pPr>
      <w:r w:rsidRPr="007537D4">
        <w:rPr>
          <w:rFonts w:ascii="Arial" w:hAnsi="Arial" w:cs="Arial"/>
        </w:rPr>
        <w:t>Bankovní spojení:</w:t>
      </w:r>
      <w:r w:rsidR="008D2BEF">
        <w:rPr>
          <w:rFonts w:ascii="Arial" w:hAnsi="Arial" w:cs="Arial"/>
        </w:rPr>
        <w:t xml:space="preserve"> </w:t>
      </w:r>
      <w:r w:rsidR="00482AB0">
        <w:rPr>
          <w:rFonts w:ascii="Arial" w:hAnsi="Arial" w:cs="Arial"/>
        </w:rPr>
        <w:tab/>
      </w:r>
      <w:r w:rsidR="008D2BEF">
        <w:rPr>
          <w:rFonts w:ascii="Arial" w:hAnsi="Arial" w:cs="Arial"/>
        </w:rPr>
        <w:t>17527343/0300</w:t>
      </w:r>
    </w:p>
    <w:p w14:paraId="26FAE9C9" w14:textId="77777777" w:rsidR="008D1D6D" w:rsidRPr="00646C88" w:rsidRDefault="008D1D6D" w:rsidP="008D1D6D">
      <w:pPr>
        <w:spacing w:line="360" w:lineRule="auto"/>
        <w:rPr>
          <w:rFonts w:ascii="Arial" w:hAnsi="Arial" w:cs="Arial"/>
          <w:b/>
        </w:rPr>
      </w:pPr>
    </w:p>
    <w:p w14:paraId="02E787E9" w14:textId="77777777" w:rsidR="008D1D6D" w:rsidRPr="00646C88" w:rsidRDefault="008D1D6D" w:rsidP="008D1D6D">
      <w:pPr>
        <w:spacing w:line="360" w:lineRule="auto"/>
        <w:rPr>
          <w:rFonts w:ascii="Arial" w:hAnsi="Arial" w:cs="Arial"/>
          <w:b/>
        </w:rPr>
      </w:pPr>
      <w:r w:rsidRPr="00646C88">
        <w:rPr>
          <w:rFonts w:ascii="Arial" w:hAnsi="Arial" w:cs="Arial"/>
        </w:rPr>
        <w:t>(dále společně jen jako</w:t>
      </w:r>
      <w:r w:rsidRPr="00646C88">
        <w:rPr>
          <w:rFonts w:ascii="Arial" w:hAnsi="Arial" w:cs="Arial"/>
          <w:b/>
        </w:rPr>
        <w:t xml:space="preserve"> </w:t>
      </w:r>
      <w:r w:rsidRPr="00646C88">
        <w:rPr>
          <w:rFonts w:ascii="Arial" w:hAnsi="Arial" w:cs="Arial"/>
        </w:rPr>
        <w:t>„Smluvní strany“).</w:t>
      </w:r>
    </w:p>
    <w:p w14:paraId="0755987D" w14:textId="77777777" w:rsidR="008D1D6D" w:rsidRPr="00646C88" w:rsidRDefault="008D1D6D" w:rsidP="008D1D6D">
      <w:pPr>
        <w:spacing w:line="360" w:lineRule="auto"/>
        <w:jc w:val="center"/>
        <w:rPr>
          <w:rFonts w:ascii="Arial" w:hAnsi="Arial" w:cs="Arial"/>
          <w:b/>
        </w:rPr>
      </w:pPr>
    </w:p>
    <w:p w14:paraId="79C7B8A5" w14:textId="77777777" w:rsidR="008D1D6D" w:rsidRPr="00646C88" w:rsidRDefault="008D1D6D" w:rsidP="008D1D6D">
      <w:pPr>
        <w:spacing w:after="120" w:line="276" w:lineRule="auto"/>
        <w:jc w:val="center"/>
        <w:rPr>
          <w:rFonts w:ascii="Arial" w:hAnsi="Arial" w:cs="Arial"/>
        </w:rPr>
      </w:pPr>
      <w:r w:rsidRPr="00646C88">
        <w:rPr>
          <w:rFonts w:ascii="Arial" w:hAnsi="Arial" w:cs="Arial"/>
          <w:b/>
        </w:rPr>
        <w:t>Článek 1</w:t>
      </w:r>
      <w:r w:rsidRPr="00646C88">
        <w:rPr>
          <w:rFonts w:ascii="Arial" w:hAnsi="Arial" w:cs="Arial"/>
          <w:b/>
        </w:rPr>
        <w:br/>
        <w:t>Předmět Smlouvy</w:t>
      </w:r>
    </w:p>
    <w:p w14:paraId="7E037C7A" w14:textId="77777777" w:rsidR="008D1D6D" w:rsidRPr="00646C88" w:rsidRDefault="008D1D6D" w:rsidP="008D1D6D">
      <w:pPr>
        <w:numPr>
          <w:ilvl w:val="1"/>
          <w:numId w:val="12"/>
        </w:numPr>
        <w:tabs>
          <w:tab w:val="clear" w:pos="1430"/>
          <w:tab w:val="num" w:pos="567"/>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Účelem této Smlouvy je ochrana důvěrných informací Předávajícího, se kterými se Přejímající seznámí v rámci spolupráce (dále též jako „vzájemná spolupráce“) nebo přístupu </w:t>
      </w:r>
      <w:r>
        <w:rPr>
          <w:rFonts w:ascii="Arial" w:hAnsi="Arial" w:cs="Arial"/>
        </w:rPr>
        <w:t xml:space="preserve">do </w:t>
      </w:r>
      <w:r w:rsidRPr="00646C88">
        <w:rPr>
          <w:rFonts w:ascii="Arial" w:hAnsi="Arial" w:cs="Arial"/>
        </w:rPr>
        <w:t>informačních systémů nebo do prostor Předávajícího.</w:t>
      </w:r>
    </w:p>
    <w:p w14:paraId="66CB50A0" w14:textId="45601BAE" w:rsidR="008D1D6D" w:rsidRPr="00EA64F9" w:rsidRDefault="008D1D6D" w:rsidP="00EA64F9">
      <w:pPr>
        <w:numPr>
          <w:ilvl w:val="1"/>
          <w:numId w:val="12"/>
        </w:numPr>
        <w:tabs>
          <w:tab w:val="clear" w:pos="1430"/>
          <w:tab w:val="num" w:pos="567"/>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Předávající pře</w:t>
      </w:r>
      <w:r>
        <w:rPr>
          <w:rFonts w:ascii="Arial" w:hAnsi="Arial" w:cs="Arial"/>
        </w:rPr>
        <w:t>dává Přejímajícímu přihlašovací údaje</w:t>
      </w:r>
      <w:r w:rsidRPr="00646C88">
        <w:rPr>
          <w:rFonts w:ascii="Arial" w:hAnsi="Arial" w:cs="Arial"/>
        </w:rPr>
        <w:t xml:space="preserve"> a přístup</w:t>
      </w:r>
      <w:r>
        <w:rPr>
          <w:rFonts w:ascii="Arial" w:hAnsi="Arial" w:cs="Arial"/>
        </w:rPr>
        <w:t>y</w:t>
      </w:r>
      <w:r w:rsidRPr="00646C88">
        <w:rPr>
          <w:rFonts w:ascii="Arial" w:hAnsi="Arial" w:cs="Arial"/>
        </w:rPr>
        <w:t xml:space="preserve"> do prostor nebo informačních systémů Předávajícího uve</w:t>
      </w:r>
      <w:r>
        <w:rPr>
          <w:rFonts w:ascii="Arial" w:hAnsi="Arial" w:cs="Arial"/>
        </w:rPr>
        <w:t xml:space="preserve">dené v Příloze č. 2 </w:t>
      </w:r>
      <w:proofErr w:type="gramStart"/>
      <w:r>
        <w:rPr>
          <w:rFonts w:ascii="Arial" w:hAnsi="Arial" w:cs="Arial"/>
        </w:rPr>
        <w:t>této</w:t>
      </w:r>
      <w:proofErr w:type="gramEnd"/>
      <w:r>
        <w:rPr>
          <w:rFonts w:ascii="Arial" w:hAnsi="Arial" w:cs="Arial"/>
        </w:rPr>
        <w:t xml:space="preserve"> Smlouvy</w:t>
      </w:r>
      <w:r w:rsidRPr="00646C88">
        <w:rPr>
          <w:rFonts w:ascii="Arial" w:hAnsi="Arial" w:cs="Arial"/>
        </w:rPr>
        <w:t xml:space="preserve"> o mlčenlivosti, ochraně informací a souhlasu s dodržováním bezpečnostních pravidel v souvislosti s předáním přihlašovacích údajů (dále jen „Smlouva“).</w:t>
      </w:r>
      <w:r>
        <w:rPr>
          <w:rFonts w:ascii="Arial" w:hAnsi="Arial" w:cs="Arial"/>
        </w:rPr>
        <w:t xml:space="preserve"> </w:t>
      </w:r>
      <w:r w:rsidR="00A84030" w:rsidRPr="003F67B0">
        <w:rPr>
          <w:rFonts w:ascii="Arial" w:hAnsi="Arial" w:cs="Arial"/>
        </w:rPr>
        <w:t xml:space="preserve">Tyto přihlašovací údaje a přístupy jsou určeny pro plnění smluvních závazků vyplývajících </w:t>
      </w:r>
      <w:r w:rsidR="00A84030">
        <w:rPr>
          <w:rFonts w:ascii="Arial" w:hAnsi="Arial" w:cs="Arial"/>
        </w:rPr>
        <w:t>ze Smlouv</w:t>
      </w:r>
      <w:r w:rsidR="00EA64F9">
        <w:rPr>
          <w:rFonts w:ascii="Arial" w:hAnsi="Arial" w:cs="Arial"/>
        </w:rPr>
        <w:t>y</w:t>
      </w:r>
      <w:r w:rsidR="00A84030">
        <w:rPr>
          <w:rFonts w:ascii="Arial" w:hAnsi="Arial" w:cs="Arial"/>
        </w:rPr>
        <w:t xml:space="preserve"> o</w:t>
      </w:r>
      <w:r w:rsidR="00EA64F9">
        <w:rPr>
          <w:rFonts w:ascii="Arial" w:hAnsi="Arial" w:cs="Arial"/>
        </w:rPr>
        <w:t xml:space="preserve"> provozování stravovacího zařízení a poskytování souvisejících služeb.</w:t>
      </w:r>
      <w:r w:rsidRPr="00EA64F9">
        <w:rPr>
          <w:rFonts w:ascii="Arial" w:hAnsi="Arial" w:cs="Arial"/>
        </w:rPr>
        <w:t xml:space="preserve">  </w:t>
      </w:r>
    </w:p>
    <w:p w14:paraId="20E0F127" w14:textId="77777777" w:rsidR="008D1D6D" w:rsidRPr="00646C88" w:rsidRDefault="008D1D6D" w:rsidP="008D1D6D">
      <w:pPr>
        <w:numPr>
          <w:ilvl w:val="1"/>
          <w:numId w:val="12"/>
        </w:numPr>
        <w:tabs>
          <w:tab w:val="clear" w:pos="1430"/>
          <w:tab w:val="num" w:pos="567"/>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Předmětem této Smlouvy je bližší vymezení bezpečnostních pravidel v souvislosti s předáním přihlašovacích údajů do informačních systémů nebo přístupů do prostor Předávajícího, které musí Přejímající dodržovat po dobu platnosti přihlašovacích údajů do informačních systémů nebo přístupů do prostor Předávajícího.</w:t>
      </w:r>
    </w:p>
    <w:p w14:paraId="709035A3" w14:textId="77777777" w:rsidR="008D1D6D" w:rsidRPr="00646C88" w:rsidRDefault="008D1D6D" w:rsidP="008D1D6D">
      <w:pPr>
        <w:numPr>
          <w:ilvl w:val="1"/>
          <w:numId w:val="12"/>
        </w:numPr>
        <w:tabs>
          <w:tab w:val="clear" w:pos="1430"/>
          <w:tab w:val="num" w:pos="567"/>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Předmětem této Smlouvy je bližší vymezení důvěrných informaci </w:t>
      </w:r>
      <w:r>
        <w:rPr>
          <w:rFonts w:ascii="Arial" w:hAnsi="Arial" w:cs="Arial"/>
        </w:rPr>
        <w:t>Předávajícího</w:t>
      </w:r>
      <w:r w:rsidRPr="00646C88">
        <w:rPr>
          <w:rFonts w:ascii="Arial" w:hAnsi="Arial" w:cs="Arial"/>
        </w:rPr>
        <w:t xml:space="preserve"> a převzetí závazku </w:t>
      </w:r>
      <w:r>
        <w:rPr>
          <w:rFonts w:ascii="Arial" w:hAnsi="Arial" w:cs="Arial"/>
        </w:rPr>
        <w:t>Přejímajícího</w:t>
      </w:r>
      <w:r w:rsidRPr="00646C88">
        <w:rPr>
          <w:rFonts w:ascii="Arial" w:hAnsi="Arial" w:cs="Arial"/>
        </w:rPr>
        <w:t xml:space="preserve"> zachovat o těchto důvěrných informacích mlčenlivost a nesdělit je ani neumožnit k nim přístup třetím osobám, nebo je nevyužít ve svůj prospěch nebo ve prospěch třetích osob, není-li v této Smlouvě stanoveno jinak.</w:t>
      </w:r>
    </w:p>
    <w:p w14:paraId="6766B190" w14:textId="77777777" w:rsidR="008D1D6D" w:rsidRPr="00646C88" w:rsidRDefault="008D1D6D" w:rsidP="008D1D6D">
      <w:pPr>
        <w:rPr>
          <w:rFonts w:ascii="Arial" w:hAnsi="Arial" w:cs="Arial"/>
        </w:rPr>
      </w:pPr>
    </w:p>
    <w:p w14:paraId="69B6CB2F" w14:textId="77777777" w:rsidR="008D1D6D" w:rsidRPr="00646C88" w:rsidRDefault="008D1D6D" w:rsidP="008D1D6D">
      <w:pPr>
        <w:spacing w:after="120" w:line="276" w:lineRule="auto"/>
        <w:jc w:val="center"/>
        <w:rPr>
          <w:rFonts w:ascii="Arial" w:hAnsi="Arial" w:cs="Arial"/>
          <w:b/>
        </w:rPr>
      </w:pPr>
      <w:bookmarkStart w:id="2" w:name="_Ref380559910"/>
      <w:r w:rsidRPr="00646C88">
        <w:rPr>
          <w:rFonts w:ascii="Arial" w:hAnsi="Arial" w:cs="Arial"/>
          <w:b/>
        </w:rPr>
        <w:t>Článek 2</w:t>
      </w:r>
      <w:r w:rsidRPr="00646C88">
        <w:rPr>
          <w:rFonts w:ascii="Arial" w:hAnsi="Arial" w:cs="Arial"/>
          <w:b/>
        </w:rPr>
        <w:br/>
        <w:t>Ochrana informací</w:t>
      </w:r>
      <w:bookmarkEnd w:id="2"/>
      <w:r>
        <w:rPr>
          <w:rFonts w:ascii="Arial" w:hAnsi="Arial" w:cs="Arial"/>
          <w:b/>
        </w:rPr>
        <w:t xml:space="preserve"> a závazek mlčenlivosti</w:t>
      </w:r>
    </w:p>
    <w:p w14:paraId="249DBD2B"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bookmarkStart w:id="3" w:name="_Ref70307649"/>
      <w:r w:rsidRPr="00646C88">
        <w:rPr>
          <w:rFonts w:ascii="Arial" w:hAnsi="Arial" w:cs="Arial"/>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w:t>
      </w:r>
      <w:r>
        <w:rPr>
          <w:rFonts w:ascii="Arial" w:hAnsi="Arial" w:cs="Arial"/>
        </w:rPr>
        <w:t>Přejímající</w:t>
      </w:r>
      <w:r w:rsidRPr="00646C88">
        <w:rPr>
          <w:rFonts w:ascii="Arial" w:hAnsi="Arial" w:cs="Arial"/>
        </w:rPr>
        <w:t xml:space="preserve"> v průběhu vzájemné spolupráce dozví, a/nebo které </w:t>
      </w:r>
      <w:r>
        <w:rPr>
          <w:rFonts w:ascii="Arial" w:hAnsi="Arial" w:cs="Arial"/>
        </w:rPr>
        <w:t>mu Předávající</w:t>
      </w:r>
      <w:r w:rsidRPr="00646C88">
        <w:rPr>
          <w:rFonts w:ascii="Arial" w:hAnsi="Arial" w:cs="Arial"/>
        </w:rPr>
        <w:t xml:space="preserve"> v průběhu vzájemné spolupráce zpřístupní (dále jen „důvěrné informace“).</w:t>
      </w:r>
    </w:p>
    <w:p w14:paraId="526ECE19"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Důvěrné informace touto Smlouvou chráněné tvoří rovněž veškeré skutečnosti technické, ekonomické, právní a výrobní povahy v hmotné nebo nehmotné formě, které byly </w:t>
      </w:r>
      <w:r>
        <w:rPr>
          <w:rFonts w:ascii="Arial" w:hAnsi="Arial" w:cs="Arial"/>
        </w:rPr>
        <w:t>Předávajícím</w:t>
      </w:r>
      <w:r w:rsidRPr="00646C88">
        <w:rPr>
          <w:rFonts w:ascii="Arial" w:hAnsi="Arial" w:cs="Arial"/>
        </w:rPr>
        <w:t xml:space="preserve"> takto označeny a byly poskytnuty </w:t>
      </w:r>
      <w:r>
        <w:rPr>
          <w:rFonts w:ascii="Arial" w:hAnsi="Arial" w:cs="Arial"/>
        </w:rPr>
        <w:t>Přejímajícímu</w:t>
      </w:r>
      <w:r w:rsidRPr="00646C88">
        <w:rPr>
          <w:rFonts w:ascii="Arial" w:hAnsi="Arial" w:cs="Arial"/>
        </w:rPr>
        <w:t xml:space="preserve">. Důvěrné informace </w:t>
      </w:r>
      <w:r>
        <w:rPr>
          <w:rFonts w:ascii="Arial" w:hAnsi="Arial" w:cs="Arial"/>
        </w:rPr>
        <w:t>mohou být</w:t>
      </w:r>
      <w:r w:rsidRPr="00646C88">
        <w:rPr>
          <w:rFonts w:ascii="Arial" w:hAnsi="Arial" w:cs="Arial"/>
        </w:rPr>
        <w:t xml:space="preserve"> dále společně označeny též jako „chráněné informace“.</w:t>
      </w:r>
    </w:p>
    <w:p w14:paraId="7FE566C0"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Pr>
          <w:rFonts w:ascii="Arial" w:hAnsi="Arial" w:cs="Arial"/>
        </w:rPr>
        <w:t>Přejímající je povinen</w:t>
      </w:r>
      <w:r w:rsidRPr="00646C88">
        <w:rPr>
          <w:rFonts w:ascii="Arial" w:hAnsi="Arial" w:cs="Arial"/>
        </w:rPr>
        <w:t xml:space="preserve"> zajistit utajení získaných důvěrných informací způsobem obvyklým pro utajování takových informací, není-li výslovně sjednáno jinak. Tato povinnost platí bez ohledu na ukončení účinnosti této Smlouvy. </w:t>
      </w:r>
      <w:r>
        <w:rPr>
          <w:rFonts w:ascii="Arial" w:hAnsi="Arial" w:cs="Arial"/>
        </w:rPr>
        <w:t>Předávající má</w:t>
      </w:r>
      <w:r w:rsidRPr="00646C88">
        <w:rPr>
          <w:rFonts w:ascii="Arial" w:hAnsi="Arial" w:cs="Arial"/>
        </w:rPr>
        <w:t xml:space="preserve"> právo požadovat doložení dostatečnosti utajení důvěrných informací. </w:t>
      </w:r>
      <w:r>
        <w:rPr>
          <w:rFonts w:ascii="Arial" w:hAnsi="Arial" w:cs="Arial"/>
        </w:rPr>
        <w:t>Přejímající je povinen</w:t>
      </w:r>
      <w:r w:rsidRPr="00646C88">
        <w:rPr>
          <w:rFonts w:ascii="Arial" w:hAnsi="Arial" w:cs="Arial"/>
        </w:rPr>
        <w:t xml:space="preserve"> zajistit utajení důvěrných informací i u svých zaměstnanců, zástupců, jakož i jiných spolupracujících třetích stran, pokud jim takové informace byly poskytnuty.</w:t>
      </w:r>
    </w:p>
    <w:p w14:paraId="1EA3D381"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Právo užívat, poskytovat a zpřístupnit důvěrné informace </w:t>
      </w:r>
      <w:r>
        <w:rPr>
          <w:rFonts w:ascii="Arial" w:hAnsi="Arial" w:cs="Arial"/>
        </w:rPr>
        <w:t>má Přejímající</w:t>
      </w:r>
      <w:r w:rsidRPr="00646C88">
        <w:rPr>
          <w:rFonts w:ascii="Arial" w:hAnsi="Arial" w:cs="Arial"/>
        </w:rPr>
        <w:t xml:space="preserve"> pouze v rozsahu a za podmínek nezbytných pro řádné plnění práva a povinností vyplývajících z této Smlouvy.</w:t>
      </w:r>
    </w:p>
    <w:p w14:paraId="0DF5CA2B"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Za důvěrné informace se </w:t>
      </w:r>
      <w:r>
        <w:rPr>
          <w:rFonts w:ascii="Arial" w:hAnsi="Arial" w:cs="Arial"/>
        </w:rPr>
        <w:t xml:space="preserve">podle této smlouvy </w:t>
      </w:r>
      <w:r w:rsidRPr="00646C88">
        <w:rPr>
          <w:rFonts w:ascii="Arial" w:hAnsi="Arial" w:cs="Arial"/>
        </w:rPr>
        <w:t>bez ohledu na formu jejich získání považují veškeré informace, které se týkají obsahu, struktury a zabezpečení informačních systémů Předávajícího a informace</w:t>
      </w:r>
      <w:r>
        <w:rPr>
          <w:rFonts w:ascii="Arial" w:hAnsi="Arial" w:cs="Arial"/>
        </w:rPr>
        <w:t xml:space="preserve"> Předávajícího,</w:t>
      </w:r>
      <w:r w:rsidRPr="00646C88">
        <w:rPr>
          <w:rFonts w:ascii="Arial" w:hAnsi="Arial" w:cs="Arial"/>
        </w:rPr>
        <w:t xml:space="preserv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w:t>
      </w:r>
      <w:r>
        <w:rPr>
          <w:rFonts w:ascii="Arial" w:hAnsi="Arial" w:cs="Arial"/>
        </w:rPr>
        <w:t>Předávajícím</w:t>
      </w:r>
      <w:r w:rsidRPr="00646C88">
        <w:rPr>
          <w:rFonts w:ascii="Arial" w:hAnsi="Arial" w:cs="Arial"/>
        </w:rPr>
        <w:t xml:space="preserve"> označeny.</w:t>
      </w:r>
    </w:p>
    <w:p w14:paraId="29597FFB"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Za důvěrné informace se v </w:t>
      </w:r>
      <w:bookmarkEnd w:id="3"/>
      <w:r w:rsidRPr="00646C88">
        <w:rPr>
          <w:rFonts w:ascii="Arial" w:hAnsi="Arial" w:cs="Arial"/>
        </w:rPr>
        <w:t xml:space="preserve">žádném případě nepovažují informace, které se staly veřejně přístupnými, pokud se tak nestalo porušením povinnosti jejich ochrany, dále informace získané na základě postupu nezávislého na této Smlouvě nebo </w:t>
      </w:r>
      <w:r>
        <w:rPr>
          <w:rFonts w:ascii="Arial" w:hAnsi="Arial" w:cs="Arial"/>
        </w:rPr>
        <w:t>Předávajícím</w:t>
      </w:r>
      <w:r w:rsidRPr="00646C88">
        <w:rPr>
          <w:rFonts w:ascii="Arial" w:hAnsi="Arial" w:cs="Arial"/>
        </w:rPr>
        <w:t xml:space="preserve">, pokud je </w:t>
      </w:r>
      <w:r>
        <w:rPr>
          <w:rFonts w:ascii="Arial" w:hAnsi="Arial" w:cs="Arial"/>
        </w:rPr>
        <w:t>Přejímající schopen</w:t>
      </w:r>
      <w:r w:rsidRPr="00646C88">
        <w:rPr>
          <w:rFonts w:ascii="Arial" w:hAnsi="Arial" w:cs="Arial"/>
        </w:rPr>
        <w:t xml:space="preserve"> tuto skutečnost doložit, a konečně informace poskytnuté třetí osobou, která takové informace nezískala porušením povinnosti jejich ochrany.</w:t>
      </w:r>
    </w:p>
    <w:p w14:paraId="698F880A" w14:textId="77777777" w:rsidR="008D1D6D" w:rsidRPr="003E0F05"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3E0F05">
        <w:rPr>
          <w:rFonts w:ascii="Arial" w:hAnsi="Arial" w:cs="Arial"/>
        </w:rPr>
        <w:t xml:space="preserve">Přejímající se zavazuje zavázat </w:t>
      </w:r>
      <w:r>
        <w:rPr>
          <w:rFonts w:ascii="Arial" w:hAnsi="Arial" w:cs="Arial"/>
        </w:rPr>
        <w:t>k mlčenlivosti</w:t>
      </w:r>
      <w:r w:rsidRPr="003E0F05">
        <w:rPr>
          <w:rFonts w:ascii="Arial" w:hAnsi="Arial" w:cs="Arial"/>
        </w:rPr>
        <w:t xml:space="preserve"> i veškeré své zaměstnance, jakož i veškeré třetí osoby, které by mohly přijít s takovými informacemi v rámci své činnosti, byť nahodile, do styku.</w:t>
      </w:r>
    </w:p>
    <w:p w14:paraId="4262C8E4" w14:textId="77777777" w:rsidR="008D1D6D" w:rsidRPr="00646C8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Závazky k zachovávání důvěrnosti informací zůstanou v plném rozsahu platné a účinné i po ukončení platnosti a účinnosti této Smlouvy, a to až do doby, kdy se tyto stanou obecně známými jinak než porušením této Smlouvy, nebo je </w:t>
      </w:r>
      <w:r>
        <w:rPr>
          <w:rFonts w:ascii="Arial" w:hAnsi="Arial" w:cs="Arial"/>
        </w:rPr>
        <w:t>Předávající</w:t>
      </w:r>
      <w:r w:rsidRPr="00646C88">
        <w:rPr>
          <w:rFonts w:ascii="Arial" w:hAnsi="Arial" w:cs="Arial"/>
        </w:rPr>
        <w:t xml:space="preserve"> přestane utajovat; v pochybnostech se má za to, že utajování informací trvá.</w:t>
      </w:r>
    </w:p>
    <w:p w14:paraId="62C1A3D3" w14:textId="77777777" w:rsidR="008D1D6D"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Po ukončení účinnosti této Smlouvy je </w:t>
      </w:r>
      <w:r>
        <w:rPr>
          <w:rFonts w:ascii="Arial" w:hAnsi="Arial" w:cs="Arial"/>
        </w:rPr>
        <w:t>Přejímající povinen</w:t>
      </w:r>
      <w:r w:rsidRPr="00646C88">
        <w:rPr>
          <w:rFonts w:ascii="Arial" w:hAnsi="Arial" w:cs="Arial"/>
        </w:rPr>
        <w:t xml:space="preserve"> bez zbytečného odkladu vrátit </w:t>
      </w:r>
      <w:r>
        <w:rPr>
          <w:rFonts w:ascii="Arial" w:hAnsi="Arial" w:cs="Arial"/>
        </w:rPr>
        <w:t>Předávajícímu</w:t>
      </w:r>
      <w:r w:rsidRPr="00646C88">
        <w:rPr>
          <w:rFonts w:ascii="Arial" w:hAnsi="Arial" w:cs="Arial"/>
        </w:rPr>
        <w:t xml:space="preserve"> všechny poskytnuté materiály obsahující důvěrné informace včetně jejich případně pořízených kopií. O předání a převzetí se sepíše protokol podepsaný oběma smluvními stranami.</w:t>
      </w:r>
    </w:p>
    <w:p w14:paraId="39B6BD0E" w14:textId="77777777" w:rsidR="008D1D6D" w:rsidRPr="000007C8" w:rsidRDefault="008D1D6D" w:rsidP="008D1D6D">
      <w:pPr>
        <w:numPr>
          <w:ilvl w:val="1"/>
          <w:numId w:val="14"/>
        </w:numPr>
        <w:tabs>
          <w:tab w:val="clear" w:pos="1430"/>
        </w:tabs>
        <w:overflowPunct w:val="0"/>
        <w:autoSpaceDE w:val="0"/>
        <w:autoSpaceDN w:val="0"/>
        <w:adjustRightInd w:val="0"/>
        <w:spacing w:before="120" w:line="280" w:lineRule="atLeast"/>
        <w:ind w:left="567" w:hanging="567"/>
        <w:jc w:val="both"/>
        <w:rPr>
          <w:rFonts w:ascii="Arial" w:hAnsi="Arial" w:cs="Arial"/>
        </w:rPr>
      </w:pPr>
      <w:r w:rsidRPr="000007C8">
        <w:rPr>
          <w:rFonts w:ascii="Arial" w:hAnsi="Arial" w:cs="Arial"/>
        </w:rPr>
        <w:t>Smluvní strany se zavazují, že obchodní a technické informace, které jim byly svěřeny druhou stranou, nezpřístupní třetím osobám bez písemného souhlasu druhé strany a nepoužijí tyto informace k jiným účelům, než k plnění podmínek a účelu této smlouvy. Ustanovení zákona č. 106/1999 Sb., o svobodném přístupu k informacím, ve znění pozdějších předpisů, nejsou tímto dotčena.</w:t>
      </w:r>
    </w:p>
    <w:p w14:paraId="629F3B03" w14:textId="77777777" w:rsidR="008D1D6D" w:rsidRDefault="008D1D6D" w:rsidP="008D1D6D">
      <w:pPr>
        <w:spacing w:after="120" w:line="276" w:lineRule="auto"/>
        <w:jc w:val="center"/>
        <w:rPr>
          <w:rFonts w:ascii="Arial" w:hAnsi="Arial" w:cs="Arial"/>
          <w:b/>
        </w:rPr>
      </w:pPr>
      <w:r w:rsidRPr="00F73A6F">
        <w:rPr>
          <w:rFonts w:ascii="Arial" w:hAnsi="Arial" w:cs="Arial"/>
          <w:b/>
        </w:rPr>
        <w:lastRenderedPageBreak/>
        <w:t xml:space="preserve">Článek </w:t>
      </w:r>
      <w:r>
        <w:rPr>
          <w:rFonts w:ascii="Arial" w:hAnsi="Arial" w:cs="Arial"/>
          <w:b/>
        </w:rPr>
        <w:t>3</w:t>
      </w:r>
    </w:p>
    <w:p w14:paraId="11A7CDC4" w14:textId="77777777" w:rsidR="008D1D6D" w:rsidRPr="00F73A6F" w:rsidRDefault="008D1D6D" w:rsidP="008D1D6D">
      <w:pPr>
        <w:spacing w:after="120" w:line="276" w:lineRule="auto"/>
        <w:jc w:val="center"/>
        <w:rPr>
          <w:rFonts w:ascii="Arial" w:hAnsi="Arial" w:cs="Arial"/>
          <w:b/>
        </w:rPr>
      </w:pPr>
      <w:r>
        <w:rPr>
          <w:rFonts w:ascii="Arial" w:hAnsi="Arial" w:cs="Arial"/>
          <w:b/>
        </w:rPr>
        <w:t>Zpracování a o</w:t>
      </w:r>
      <w:r w:rsidRPr="00F73A6F">
        <w:rPr>
          <w:rFonts w:ascii="Arial" w:hAnsi="Arial" w:cs="Arial"/>
          <w:b/>
        </w:rPr>
        <w:t>chrana osobních údajů</w:t>
      </w:r>
    </w:p>
    <w:p w14:paraId="22F3BEED" w14:textId="77777777" w:rsidR="008D1D6D" w:rsidRDefault="008D1D6D" w:rsidP="008D1D6D">
      <w:pPr>
        <w:numPr>
          <w:ilvl w:val="0"/>
          <w:numId w:val="19"/>
        </w:numPr>
        <w:spacing w:after="120" w:line="280" w:lineRule="auto"/>
        <w:ind w:left="567" w:hanging="567"/>
        <w:jc w:val="both"/>
        <w:rPr>
          <w:rFonts w:ascii="Arial" w:hAnsi="Arial" w:cs="Arial"/>
        </w:rPr>
      </w:pPr>
      <w:r w:rsidRPr="00E75EFB">
        <w:rPr>
          <w:rFonts w:ascii="Arial" w:hAnsi="Arial" w:cs="Arial"/>
        </w:rPr>
        <w:t>Smluvní strany se zavazují, v souvislosti s touto smlouvou, postupovat v souladu s Nařízením Evropského parlamentu a Rady (EU) č. 2016/679 ze dne 27. dubna 2016 o ochraně fyzických osob v souvislosti se zpracováním osobních údajů a o volném pohybu těchto údajů a o zrušení směrnice 95/46/ES</w:t>
      </w:r>
      <w:r>
        <w:rPr>
          <w:rFonts w:ascii="Arial" w:hAnsi="Arial" w:cs="Arial"/>
        </w:rPr>
        <w:t xml:space="preserve"> (dále jen „Nařízení“).</w:t>
      </w:r>
    </w:p>
    <w:p w14:paraId="7BF047FC" w14:textId="77777777" w:rsidR="008D1D6D" w:rsidRDefault="008D1D6D" w:rsidP="008D1D6D">
      <w:pPr>
        <w:numPr>
          <w:ilvl w:val="0"/>
          <w:numId w:val="19"/>
        </w:numPr>
        <w:spacing w:after="120" w:line="280" w:lineRule="auto"/>
        <w:ind w:left="567" w:hanging="567"/>
        <w:jc w:val="both"/>
        <w:rPr>
          <w:rFonts w:ascii="Arial" w:hAnsi="Arial" w:cs="Arial"/>
        </w:rPr>
      </w:pPr>
      <w:r>
        <w:rPr>
          <w:rFonts w:ascii="Arial" w:eastAsia="MS Mincho" w:hAnsi="Arial" w:cs="Arial"/>
          <w:lang w:eastAsia="ja-JP"/>
        </w:rPr>
        <w:t>Předávající</w:t>
      </w:r>
      <w:r w:rsidRPr="002E0D9F">
        <w:rPr>
          <w:rFonts w:ascii="Arial" w:eastAsia="MS Mincho" w:hAnsi="Arial" w:cs="Arial"/>
          <w:lang w:eastAsia="ja-JP"/>
        </w:rPr>
        <w:t xml:space="preserve"> je a bude nadále považován za Správce osobních údajů, se všemi pro něj vyplývajícími důsledky a povinnostmi.</w:t>
      </w:r>
    </w:p>
    <w:p w14:paraId="4C069019" w14:textId="77777777" w:rsidR="008D1D6D" w:rsidRDefault="008D1D6D" w:rsidP="008D1D6D">
      <w:pPr>
        <w:numPr>
          <w:ilvl w:val="0"/>
          <w:numId w:val="19"/>
        </w:numPr>
        <w:spacing w:after="120" w:line="280" w:lineRule="auto"/>
        <w:ind w:left="567" w:hanging="567"/>
        <w:jc w:val="both"/>
        <w:rPr>
          <w:rFonts w:ascii="Arial" w:hAnsi="Arial" w:cs="Arial"/>
        </w:rPr>
      </w:pPr>
      <w:r w:rsidRPr="002E0D9F">
        <w:rPr>
          <w:rFonts w:ascii="Arial" w:eastAsia="MS Mincho" w:hAnsi="Arial" w:cs="Arial"/>
          <w:lang w:eastAsia="ja-JP"/>
        </w:rPr>
        <w:t>Při p</w:t>
      </w:r>
      <w:r>
        <w:rPr>
          <w:rFonts w:ascii="Arial" w:eastAsia="MS Mincho" w:hAnsi="Arial" w:cs="Arial"/>
          <w:lang w:eastAsia="ja-JP"/>
        </w:rPr>
        <w:t>lnění této smlouvy nepřichází Přejímající</w:t>
      </w:r>
      <w:r w:rsidRPr="002E0D9F">
        <w:rPr>
          <w:rFonts w:ascii="Arial" w:eastAsia="MS Mincho" w:hAnsi="Arial" w:cs="Arial"/>
          <w:lang w:eastAsia="ja-JP"/>
        </w:rPr>
        <w:t xml:space="preserve"> do styku s osobními údaji, kterých je </w:t>
      </w:r>
      <w:r>
        <w:rPr>
          <w:rFonts w:ascii="Arial" w:eastAsia="MS Mincho" w:hAnsi="Arial" w:cs="Arial"/>
          <w:lang w:eastAsia="ja-JP"/>
        </w:rPr>
        <w:t>Předávající</w:t>
      </w:r>
      <w:r w:rsidRPr="002E0D9F">
        <w:rPr>
          <w:rFonts w:ascii="Arial" w:eastAsia="MS Mincho" w:hAnsi="Arial" w:cs="Arial"/>
          <w:lang w:eastAsia="ja-JP"/>
        </w:rPr>
        <w:t xml:space="preserve"> správce (dále jen „chráněné osobní údaje“).</w:t>
      </w:r>
    </w:p>
    <w:p w14:paraId="32D2EB2C" w14:textId="77777777" w:rsidR="008D1D6D" w:rsidRDefault="008D1D6D" w:rsidP="008D1D6D">
      <w:pPr>
        <w:numPr>
          <w:ilvl w:val="0"/>
          <w:numId w:val="19"/>
        </w:numPr>
        <w:spacing w:after="120" w:line="280" w:lineRule="auto"/>
        <w:ind w:left="567" w:hanging="567"/>
        <w:jc w:val="both"/>
        <w:rPr>
          <w:rFonts w:ascii="Arial" w:hAnsi="Arial" w:cs="Arial"/>
        </w:rPr>
      </w:pPr>
      <w:r w:rsidRPr="002E0D9F">
        <w:rPr>
          <w:rFonts w:ascii="Arial" w:eastAsia="MS Mincho" w:hAnsi="Arial" w:cs="Arial"/>
          <w:lang w:eastAsia="ja-JP"/>
        </w:rPr>
        <w:t xml:space="preserve">Pouze ve výjimečných případech se může stát, že </w:t>
      </w:r>
      <w:r>
        <w:rPr>
          <w:rFonts w:ascii="Arial" w:eastAsia="MS Mincho" w:hAnsi="Arial" w:cs="Arial"/>
          <w:lang w:eastAsia="ja-JP"/>
        </w:rPr>
        <w:t>Přejímající</w:t>
      </w:r>
      <w:r w:rsidRPr="002E0D9F">
        <w:rPr>
          <w:rFonts w:ascii="Arial" w:eastAsia="MS Mincho" w:hAnsi="Arial" w:cs="Arial"/>
          <w:lang w:eastAsia="ja-JP"/>
        </w:rPr>
        <w:t xml:space="preserve"> získá přístup k chráněným osobním údajům. Pokud se tak stane, jedná se o zpracování z pověření správce dle článku 29 Nařízení.</w:t>
      </w:r>
    </w:p>
    <w:p w14:paraId="6094B386" w14:textId="77777777" w:rsidR="008D1D6D" w:rsidRDefault="008D1D6D" w:rsidP="008D1D6D">
      <w:pPr>
        <w:numPr>
          <w:ilvl w:val="0"/>
          <w:numId w:val="19"/>
        </w:numPr>
        <w:spacing w:after="120" w:line="280" w:lineRule="auto"/>
        <w:ind w:left="567" w:hanging="567"/>
        <w:jc w:val="both"/>
        <w:rPr>
          <w:rFonts w:ascii="Arial" w:hAnsi="Arial" w:cs="Arial"/>
        </w:rPr>
      </w:pPr>
      <w:r w:rsidRPr="002E0D9F">
        <w:rPr>
          <w:rFonts w:ascii="Arial" w:eastAsia="MS Mincho" w:hAnsi="Arial" w:cs="Arial"/>
          <w:lang w:eastAsia="ja-JP"/>
        </w:rPr>
        <w:t>P</w:t>
      </w:r>
      <w:r>
        <w:rPr>
          <w:rFonts w:ascii="Arial" w:eastAsia="MS Mincho" w:hAnsi="Arial" w:cs="Arial"/>
          <w:lang w:eastAsia="ja-JP"/>
        </w:rPr>
        <w:t>řejímající</w:t>
      </w:r>
      <w:r w:rsidRPr="002E0D9F">
        <w:rPr>
          <w:rFonts w:ascii="Arial" w:eastAsia="MS Mincho" w:hAnsi="Arial" w:cs="Arial"/>
          <w:lang w:eastAsia="ja-JP"/>
        </w:rPr>
        <w:t xml:space="preserve"> se zavazuje zachovávat mlčenlivost o všech chráněných osobních údajích, se kterými přijde do styku v souvislosti s plněním dle této smlouvy. P</w:t>
      </w:r>
      <w:r>
        <w:rPr>
          <w:rFonts w:ascii="Arial" w:eastAsia="MS Mincho" w:hAnsi="Arial" w:cs="Arial"/>
          <w:lang w:eastAsia="ja-JP"/>
        </w:rPr>
        <w:t>řejímající</w:t>
      </w:r>
      <w:r w:rsidRPr="002E0D9F">
        <w:rPr>
          <w:rFonts w:ascii="Arial" w:eastAsia="MS Mincho" w:hAnsi="Arial" w:cs="Arial"/>
          <w:lang w:eastAsia="ja-JP"/>
        </w:rPr>
        <w:t xml:space="preserve"> se zejména zavazuje:</w:t>
      </w:r>
    </w:p>
    <w:p w14:paraId="43B812E4" w14:textId="77777777" w:rsidR="008D1D6D" w:rsidRPr="002E0D9F" w:rsidRDefault="008D1D6D" w:rsidP="008D1D6D">
      <w:pPr>
        <w:numPr>
          <w:ilvl w:val="1"/>
          <w:numId w:val="19"/>
        </w:numPr>
        <w:spacing w:after="120" w:line="280" w:lineRule="auto"/>
        <w:jc w:val="both"/>
        <w:rPr>
          <w:rFonts w:ascii="Arial" w:hAnsi="Arial" w:cs="Arial"/>
        </w:rPr>
      </w:pPr>
      <w:r w:rsidRPr="002E0D9F">
        <w:rPr>
          <w:rFonts w:ascii="Arial" w:eastAsia="MS Mincho" w:hAnsi="Arial" w:cs="Arial"/>
          <w:lang w:eastAsia="ja-JP"/>
        </w:rPr>
        <w:t xml:space="preserve">nesdělovat nebo nezpřístupňovat chráněné osobní údaje třetím stranám bez předchozího souhlasu </w:t>
      </w:r>
      <w:r>
        <w:rPr>
          <w:rFonts w:ascii="Arial" w:eastAsia="MS Mincho" w:hAnsi="Arial" w:cs="Arial"/>
          <w:lang w:eastAsia="ja-JP"/>
        </w:rPr>
        <w:t>Předávajícího</w:t>
      </w:r>
      <w:r w:rsidRPr="002E0D9F">
        <w:rPr>
          <w:rFonts w:ascii="Arial" w:eastAsia="MS Mincho" w:hAnsi="Arial" w:cs="Arial"/>
          <w:lang w:eastAsia="ja-JP"/>
        </w:rPr>
        <w:t>,</w:t>
      </w:r>
    </w:p>
    <w:p w14:paraId="07B98E4C" w14:textId="77777777" w:rsidR="008D1D6D" w:rsidRPr="00E75EFB" w:rsidRDefault="008D1D6D" w:rsidP="008D1D6D">
      <w:pPr>
        <w:numPr>
          <w:ilvl w:val="1"/>
          <w:numId w:val="19"/>
        </w:numPr>
        <w:spacing w:after="120" w:line="280" w:lineRule="auto"/>
        <w:jc w:val="both"/>
        <w:rPr>
          <w:rFonts w:ascii="Arial" w:hAnsi="Arial" w:cs="Arial"/>
        </w:rPr>
      </w:pPr>
      <w:r w:rsidRPr="00E75EFB">
        <w:rPr>
          <w:rFonts w:ascii="Arial" w:eastAsia="MS Mincho" w:hAnsi="Arial" w:cs="Arial"/>
          <w:lang w:eastAsia="ja-JP"/>
        </w:rPr>
        <w:t>zajistit, že jeho zaměstnanci a další osoby, které přijdou do styku s chráněnými osobními údaji v souvislosti s plněním dle této smlouvy, budou zavázány povinností mlčenlivosti ve stejném rozsahu, v jakém je mlčenlivostí vázán on sám, a aby tato povinnost mlčenlivosti trvala i po skončení jejich zaměstnání nebo provádění prací (minimálně po dobu 1 roku),</w:t>
      </w:r>
    </w:p>
    <w:p w14:paraId="7494A870" w14:textId="77777777" w:rsidR="008D1D6D" w:rsidRDefault="008D1D6D" w:rsidP="008D1D6D">
      <w:pPr>
        <w:numPr>
          <w:ilvl w:val="1"/>
          <w:numId w:val="19"/>
        </w:numPr>
        <w:spacing w:after="120" w:line="280" w:lineRule="auto"/>
        <w:jc w:val="both"/>
        <w:rPr>
          <w:rFonts w:ascii="Arial" w:hAnsi="Arial" w:cs="Arial"/>
        </w:rPr>
      </w:pPr>
      <w:r w:rsidRPr="00E75EFB">
        <w:rPr>
          <w:rFonts w:ascii="Arial" w:eastAsia="MS Mincho" w:hAnsi="Arial" w:cs="Arial"/>
          <w:lang w:eastAsia="ja-JP"/>
        </w:rPr>
        <w:t xml:space="preserve">zajistit, aby osoby, které se budou podílet na plnění dle této smlouvy, při styku nebo nakládání s chráněnými osobními údaji nepořizovaly kopie chráněných osobních údajů bez předchozího písemného souhlasu </w:t>
      </w:r>
      <w:r>
        <w:rPr>
          <w:rFonts w:ascii="Arial" w:eastAsia="MS Mincho" w:hAnsi="Arial" w:cs="Arial"/>
          <w:lang w:eastAsia="ja-JP"/>
        </w:rPr>
        <w:t>Předávajícího</w:t>
      </w:r>
      <w:r w:rsidRPr="00E75EFB">
        <w:rPr>
          <w:rFonts w:ascii="Arial" w:eastAsia="MS Mincho" w:hAnsi="Arial" w:cs="Arial"/>
          <w:lang w:eastAsia="ja-JP"/>
        </w:rPr>
        <w:t xml:space="preserve"> a aby jejich činností nebo opomenutím nedošlo k náhodnému nebo protiprávnímu zničení, ztrátě či pozměnění chráněných osobních údajů, nebo k jejich neoprávněnému zpřístupnění třetím osobám.</w:t>
      </w:r>
    </w:p>
    <w:p w14:paraId="060EBEB0" w14:textId="77777777" w:rsidR="008D1D6D" w:rsidRPr="002E0D9F" w:rsidRDefault="008D1D6D" w:rsidP="008D1D6D">
      <w:pPr>
        <w:numPr>
          <w:ilvl w:val="0"/>
          <w:numId w:val="19"/>
        </w:numPr>
        <w:spacing w:after="120" w:line="280" w:lineRule="auto"/>
        <w:ind w:left="567" w:hanging="567"/>
        <w:jc w:val="both"/>
        <w:rPr>
          <w:rFonts w:ascii="Arial" w:hAnsi="Arial" w:cs="Arial"/>
        </w:rPr>
      </w:pPr>
      <w:r>
        <w:rPr>
          <w:rFonts w:ascii="Arial" w:eastAsia="MS Mincho" w:hAnsi="Arial" w:cs="Arial"/>
          <w:lang w:eastAsia="ja-JP"/>
        </w:rPr>
        <w:t>Přejímající</w:t>
      </w:r>
      <w:r w:rsidRPr="002E0D9F">
        <w:rPr>
          <w:rFonts w:ascii="Arial" w:eastAsia="MS Mincho" w:hAnsi="Arial" w:cs="Arial"/>
          <w:lang w:eastAsia="ja-JP"/>
        </w:rPr>
        <w:t xml:space="preserve"> je povinen po dobu plnění předmětu smlouvy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w:t>
      </w:r>
      <w:r>
        <w:rPr>
          <w:rFonts w:ascii="Arial" w:eastAsia="MS Mincho" w:hAnsi="Arial" w:cs="Arial"/>
          <w:lang w:eastAsia="ja-JP"/>
        </w:rPr>
        <w:t>v rozporu s Nařízením.</w:t>
      </w:r>
    </w:p>
    <w:p w14:paraId="7EB60BEC" w14:textId="77777777" w:rsidR="008D1D6D" w:rsidRDefault="008D1D6D" w:rsidP="008D1D6D">
      <w:pPr>
        <w:numPr>
          <w:ilvl w:val="0"/>
          <w:numId w:val="19"/>
        </w:numPr>
        <w:spacing w:after="120" w:line="280" w:lineRule="auto"/>
        <w:ind w:left="567" w:hanging="567"/>
        <w:jc w:val="both"/>
        <w:rPr>
          <w:rFonts w:ascii="Arial" w:hAnsi="Arial" w:cs="Arial"/>
        </w:rPr>
      </w:pPr>
      <w:r>
        <w:rPr>
          <w:rFonts w:ascii="Arial" w:eastAsia="MS Mincho" w:hAnsi="Arial" w:cs="Arial"/>
          <w:lang w:eastAsia="ja-JP"/>
        </w:rPr>
        <w:t>Přejímající</w:t>
      </w:r>
      <w:r w:rsidRPr="002E0D9F">
        <w:rPr>
          <w:rFonts w:ascii="Arial" w:eastAsia="MS Mincho" w:hAnsi="Arial" w:cs="Arial"/>
          <w:lang w:eastAsia="ja-JP"/>
        </w:rPr>
        <w:t xml:space="preserve"> je povinen písemně seznámit </w:t>
      </w:r>
      <w:r>
        <w:rPr>
          <w:rFonts w:ascii="Arial" w:eastAsia="MS Mincho" w:hAnsi="Arial" w:cs="Arial"/>
          <w:lang w:eastAsia="ja-JP"/>
        </w:rPr>
        <w:t>Předávajícího</w:t>
      </w:r>
      <w:r w:rsidRPr="002E0D9F">
        <w:rPr>
          <w:rFonts w:ascii="Arial" w:eastAsia="MS Mincho" w:hAnsi="Arial" w:cs="Arial"/>
          <w:lang w:eastAsia="ja-JP"/>
        </w:rPr>
        <w:t xml:space="preserve"> s jakýmkoliv podezřením na porušení nebo skutečným porušením bezpečnosti zpracování osobních údajů podle ustanovení této Smlouvy,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Nařízením.</w:t>
      </w:r>
    </w:p>
    <w:p w14:paraId="28F46076" w14:textId="77777777" w:rsidR="008D1D6D" w:rsidRDefault="008D1D6D" w:rsidP="008D1D6D">
      <w:pPr>
        <w:numPr>
          <w:ilvl w:val="0"/>
          <w:numId w:val="19"/>
        </w:numPr>
        <w:spacing w:after="120" w:line="280" w:lineRule="auto"/>
        <w:ind w:left="567" w:hanging="567"/>
        <w:jc w:val="both"/>
        <w:rPr>
          <w:rFonts w:ascii="Arial" w:hAnsi="Arial" w:cs="Arial"/>
        </w:rPr>
      </w:pPr>
      <w:r>
        <w:rPr>
          <w:rFonts w:ascii="Arial" w:eastAsia="MS Mincho" w:hAnsi="Arial" w:cs="Arial"/>
          <w:lang w:eastAsia="ja-JP"/>
        </w:rPr>
        <w:t>Předávající</w:t>
      </w:r>
      <w:r w:rsidRPr="002E0D9F">
        <w:rPr>
          <w:rFonts w:ascii="Arial" w:eastAsia="MS Mincho" w:hAnsi="Arial" w:cs="Arial"/>
          <w:lang w:eastAsia="ja-JP"/>
        </w:rPr>
        <w:t xml:space="preserve"> je oprávněn provádět kontrolu, zda P</w:t>
      </w:r>
      <w:r>
        <w:rPr>
          <w:rFonts w:ascii="Arial" w:eastAsia="MS Mincho" w:hAnsi="Arial" w:cs="Arial"/>
          <w:lang w:eastAsia="ja-JP"/>
        </w:rPr>
        <w:t>řejímající</w:t>
      </w:r>
      <w:r w:rsidRPr="002E0D9F">
        <w:rPr>
          <w:rFonts w:ascii="Arial" w:eastAsia="MS Mincho" w:hAnsi="Arial" w:cs="Arial"/>
          <w:lang w:eastAsia="ja-JP"/>
        </w:rPr>
        <w:t xml:space="preserve"> plní své povinnosti dle tohoto článku. </w:t>
      </w:r>
      <w:r>
        <w:rPr>
          <w:rFonts w:ascii="Arial" w:eastAsia="MS Mincho" w:hAnsi="Arial" w:cs="Arial"/>
          <w:lang w:eastAsia="ja-JP"/>
        </w:rPr>
        <w:t>Přejímající</w:t>
      </w:r>
      <w:r w:rsidRPr="002E0D9F">
        <w:rPr>
          <w:rFonts w:ascii="Arial" w:eastAsia="MS Mincho" w:hAnsi="Arial" w:cs="Arial"/>
          <w:lang w:eastAsia="ja-JP"/>
        </w:rPr>
        <w:t xml:space="preserve"> je povinen a zavazuje se k veškeré součinnosti s </w:t>
      </w:r>
      <w:r>
        <w:rPr>
          <w:rFonts w:ascii="Arial" w:eastAsia="MS Mincho" w:hAnsi="Arial" w:cs="Arial"/>
          <w:lang w:eastAsia="ja-JP"/>
        </w:rPr>
        <w:t>Předávajícím</w:t>
      </w:r>
      <w:r w:rsidRPr="002E0D9F">
        <w:rPr>
          <w:rFonts w:ascii="Arial" w:eastAsia="MS Mincho" w:hAnsi="Arial" w:cs="Arial"/>
          <w:lang w:eastAsia="ja-JP"/>
        </w:rPr>
        <w:t>, o kterou bude požádán v souvislosti s ochranou osobních údajů. P</w:t>
      </w:r>
      <w:r>
        <w:rPr>
          <w:rFonts w:ascii="Arial" w:eastAsia="MS Mincho" w:hAnsi="Arial" w:cs="Arial"/>
          <w:lang w:eastAsia="ja-JP"/>
        </w:rPr>
        <w:t>řejímající</w:t>
      </w:r>
      <w:r w:rsidRPr="002E0D9F">
        <w:rPr>
          <w:rFonts w:ascii="Arial" w:eastAsia="MS Mincho" w:hAnsi="Arial" w:cs="Arial"/>
          <w:lang w:eastAsia="ja-JP"/>
        </w:rPr>
        <w:t xml:space="preserve"> je povinen na vyžádání zpřístupnit </w:t>
      </w:r>
      <w:r>
        <w:rPr>
          <w:rFonts w:ascii="Arial" w:eastAsia="MS Mincho" w:hAnsi="Arial" w:cs="Arial"/>
          <w:lang w:eastAsia="ja-JP"/>
        </w:rPr>
        <w:t>Předávajícímu</w:t>
      </w:r>
      <w:r w:rsidRPr="002E0D9F">
        <w:rPr>
          <w:rFonts w:ascii="Arial" w:eastAsia="MS Mincho" w:hAnsi="Arial" w:cs="Arial"/>
          <w:lang w:eastAsia="ja-JP"/>
        </w:rPr>
        <w:t xml:space="preserve"> svá písemná technická a organizační bezpečnostní opatření a umožnit mu případnou kontrolu dodržování předložených technických a organizačních bezpečnostních opatření.</w:t>
      </w:r>
    </w:p>
    <w:p w14:paraId="42254EEE" w14:textId="77777777" w:rsidR="008D1D6D" w:rsidRPr="002E0D9F" w:rsidRDefault="008D1D6D" w:rsidP="008D1D6D">
      <w:pPr>
        <w:numPr>
          <w:ilvl w:val="0"/>
          <w:numId w:val="19"/>
        </w:numPr>
        <w:spacing w:after="120" w:line="280" w:lineRule="auto"/>
        <w:ind w:left="567" w:hanging="567"/>
        <w:jc w:val="both"/>
        <w:rPr>
          <w:rFonts w:ascii="Arial" w:hAnsi="Arial" w:cs="Arial"/>
        </w:rPr>
      </w:pPr>
      <w:r w:rsidRPr="002E0D9F">
        <w:rPr>
          <w:rFonts w:ascii="Arial" w:eastAsia="MS Mincho" w:hAnsi="Arial" w:cs="Arial"/>
          <w:lang w:eastAsia="ja-JP"/>
        </w:rPr>
        <w:lastRenderedPageBreak/>
        <w:t>Po skončení účinnosti této Smlouvy je P</w:t>
      </w:r>
      <w:r>
        <w:rPr>
          <w:rFonts w:ascii="Arial" w:eastAsia="MS Mincho" w:hAnsi="Arial" w:cs="Arial"/>
          <w:lang w:eastAsia="ja-JP"/>
        </w:rPr>
        <w:t>řejímající</w:t>
      </w:r>
      <w:r w:rsidRPr="002E0D9F">
        <w:rPr>
          <w:rFonts w:ascii="Arial" w:eastAsia="MS Mincho" w:hAnsi="Arial" w:cs="Arial"/>
          <w:lang w:eastAsia="ja-JP"/>
        </w:rPr>
        <w:t xml:space="preserve"> povinen veškerá data, která má v držení, vymazat, a pokud je dosud nepředal </w:t>
      </w:r>
      <w:r>
        <w:rPr>
          <w:rFonts w:ascii="Arial" w:eastAsia="MS Mincho" w:hAnsi="Arial" w:cs="Arial"/>
          <w:lang w:eastAsia="ja-JP"/>
        </w:rPr>
        <w:t>Předávajícímu</w:t>
      </w:r>
      <w:r w:rsidRPr="002E0D9F">
        <w:rPr>
          <w:rFonts w:ascii="Arial" w:eastAsia="MS Mincho" w:hAnsi="Arial" w:cs="Arial"/>
          <w:lang w:eastAsia="ja-JP"/>
        </w:rPr>
        <w:t xml:space="preserve">, předat je </w:t>
      </w:r>
      <w:r>
        <w:rPr>
          <w:rFonts w:ascii="Arial" w:eastAsia="MS Mincho" w:hAnsi="Arial" w:cs="Arial"/>
          <w:lang w:eastAsia="ja-JP"/>
        </w:rPr>
        <w:t>Předávajícímu</w:t>
      </w:r>
      <w:r w:rsidRPr="002E0D9F">
        <w:rPr>
          <w:rFonts w:ascii="Arial" w:eastAsia="MS Mincho" w:hAnsi="Arial" w:cs="Arial"/>
          <w:lang w:eastAsia="ja-JP"/>
        </w:rPr>
        <w:t xml:space="preserve"> a dále vymazat všechny existující kopie. Pokud má P</w:t>
      </w:r>
      <w:r>
        <w:rPr>
          <w:rFonts w:ascii="Arial" w:eastAsia="MS Mincho" w:hAnsi="Arial" w:cs="Arial"/>
          <w:lang w:eastAsia="ja-JP"/>
        </w:rPr>
        <w:t>řejímající</w:t>
      </w:r>
      <w:r w:rsidRPr="002E0D9F">
        <w:rPr>
          <w:rFonts w:ascii="Arial" w:eastAsia="MS Mincho" w:hAnsi="Arial" w:cs="Arial"/>
          <w:lang w:eastAsia="ja-JP"/>
        </w:rPr>
        <w:t xml:space="preserve"> přístup k chráněným osobním údajům, má povinnost současně tento přístup deaktivovat či vrátit </w:t>
      </w:r>
      <w:r>
        <w:rPr>
          <w:rFonts w:ascii="Arial" w:eastAsia="MS Mincho" w:hAnsi="Arial" w:cs="Arial"/>
          <w:lang w:eastAsia="ja-JP"/>
        </w:rPr>
        <w:t>Předávajícímu</w:t>
      </w:r>
      <w:r w:rsidRPr="002E0D9F">
        <w:rPr>
          <w:rFonts w:ascii="Arial" w:eastAsia="MS Mincho" w:hAnsi="Arial" w:cs="Arial"/>
          <w:lang w:eastAsia="ja-JP"/>
        </w:rPr>
        <w:t>. Povinnost uvedená v tomto článku neplatí, stanoví-li právní předpis EU, případně vnitrostátní právní předpis P</w:t>
      </w:r>
      <w:r>
        <w:rPr>
          <w:rFonts w:ascii="Arial" w:eastAsia="MS Mincho" w:hAnsi="Arial" w:cs="Arial"/>
          <w:lang w:eastAsia="ja-JP"/>
        </w:rPr>
        <w:t>řejímajícímu</w:t>
      </w:r>
      <w:r w:rsidRPr="002E0D9F">
        <w:rPr>
          <w:rFonts w:ascii="Arial" w:eastAsia="MS Mincho" w:hAnsi="Arial" w:cs="Arial"/>
          <w:lang w:eastAsia="ja-JP"/>
        </w:rPr>
        <w:t xml:space="preserve"> data ukládat i po skončení účinnosti této Smlouvy.</w:t>
      </w:r>
    </w:p>
    <w:p w14:paraId="2C51E5EA" w14:textId="77777777" w:rsidR="008D1D6D" w:rsidRDefault="008D1D6D" w:rsidP="008D1D6D">
      <w:pPr>
        <w:rPr>
          <w:rFonts w:ascii="Arial" w:hAnsi="Arial" w:cs="Arial"/>
        </w:rPr>
      </w:pPr>
    </w:p>
    <w:p w14:paraId="5CEE1999" w14:textId="77777777" w:rsidR="008D1D6D" w:rsidRPr="00646C88" w:rsidRDefault="008D1D6D" w:rsidP="008D1D6D">
      <w:pPr>
        <w:spacing w:after="120" w:line="276" w:lineRule="auto"/>
        <w:jc w:val="center"/>
        <w:rPr>
          <w:rFonts w:ascii="Arial" w:hAnsi="Arial" w:cs="Arial"/>
          <w:b/>
        </w:rPr>
      </w:pPr>
      <w:r>
        <w:rPr>
          <w:rFonts w:ascii="Arial" w:hAnsi="Arial" w:cs="Arial"/>
          <w:b/>
        </w:rPr>
        <w:t>Článek 4</w:t>
      </w:r>
      <w:r w:rsidRPr="00646C88">
        <w:rPr>
          <w:rFonts w:ascii="Arial" w:hAnsi="Arial" w:cs="Arial"/>
          <w:b/>
        </w:rPr>
        <w:br/>
      </w:r>
      <w:r>
        <w:rPr>
          <w:rFonts w:ascii="Arial" w:hAnsi="Arial" w:cs="Arial"/>
          <w:b/>
        </w:rPr>
        <w:t>Bezpečnostní pravidla</w:t>
      </w:r>
    </w:p>
    <w:p w14:paraId="3558E962" w14:textId="77777777" w:rsidR="008D1D6D" w:rsidRDefault="008D1D6D" w:rsidP="008D1D6D">
      <w:pPr>
        <w:numPr>
          <w:ilvl w:val="1"/>
          <w:numId w:val="16"/>
        </w:numPr>
        <w:tabs>
          <w:tab w:val="clear" w:pos="1430"/>
        </w:tabs>
        <w:overflowPunct w:val="0"/>
        <w:autoSpaceDE w:val="0"/>
        <w:autoSpaceDN w:val="0"/>
        <w:adjustRightInd w:val="0"/>
        <w:spacing w:before="120" w:line="280" w:lineRule="atLeast"/>
        <w:ind w:left="567" w:hanging="567"/>
        <w:jc w:val="both"/>
        <w:rPr>
          <w:rFonts w:ascii="Arial" w:hAnsi="Arial" w:cs="Arial"/>
        </w:rPr>
      </w:pPr>
      <w:r w:rsidRPr="00646C88">
        <w:rPr>
          <w:rFonts w:ascii="Arial" w:hAnsi="Arial" w:cs="Arial"/>
        </w:rPr>
        <w:t xml:space="preserve">Přejímající se zavazuje dodržovat </w:t>
      </w:r>
      <w:r>
        <w:rPr>
          <w:rFonts w:ascii="Arial" w:hAnsi="Arial" w:cs="Arial"/>
        </w:rPr>
        <w:t>b</w:t>
      </w:r>
      <w:r w:rsidRPr="00646C88">
        <w:rPr>
          <w:rFonts w:ascii="Arial" w:hAnsi="Arial" w:cs="Arial"/>
        </w:rPr>
        <w:t>ezpečnostní pravidla uvedená v Příloze č. 1. této Smlouvy.</w:t>
      </w:r>
    </w:p>
    <w:p w14:paraId="2EFE3689" w14:textId="77777777" w:rsidR="008D1D6D" w:rsidRPr="008D24C4" w:rsidRDefault="008D1D6D" w:rsidP="008D1D6D">
      <w:pPr>
        <w:numPr>
          <w:ilvl w:val="1"/>
          <w:numId w:val="16"/>
        </w:numPr>
        <w:tabs>
          <w:tab w:val="clear" w:pos="1430"/>
        </w:tabs>
        <w:overflowPunct w:val="0"/>
        <w:autoSpaceDE w:val="0"/>
        <w:autoSpaceDN w:val="0"/>
        <w:adjustRightInd w:val="0"/>
        <w:spacing w:before="120" w:line="280" w:lineRule="atLeast"/>
        <w:ind w:left="567" w:hanging="567"/>
        <w:jc w:val="both"/>
        <w:rPr>
          <w:rFonts w:ascii="Arial" w:hAnsi="Arial" w:cs="Arial"/>
        </w:rPr>
      </w:pPr>
      <w:r>
        <w:rPr>
          <w:rFonts w:ascii="Arial" w:hAnsi="Arial" w:cs="Arial"/>
          <w:lang w:eastAsia="x-none"/>
        </w:rPr>
        <w:t>Přejímající</w:t>
      </w:r>
      <w:r w:rsidRPr="008D24C4">
        <w:rPr>
          <w:rFonts w:ascii="Arial" w:hAnsi="Arial" w:cs="Arial"/>
          <w:lang w:eastAsia="x-none"/>
        </w:rPr>
        <w:t xml:space="preserve"> </w:t>
      </w:r>
      <w:r w:rsidRPr="00646C88">
        <w:rPr>
          <w:rFonts w:ascii="Arial" w:hAnsi="Arial" w:cs="Arial"/>
          <w:lang w:eastAsia="x-none"/>
        </w:rPr>
        <w:t xml:space="preserve">se zavazuje, že jeho zaměstnanci budou při svých činnostech dodržovat a zachovávat </w:t>
      </w:r>
      <w:r>
        <w:rPr>
          <w:rFonts w:ascii="Arial" w:hAnsi="Arial" w:cs="Arial"/>
          <w:lang w:eastAsia="x-none"/>
        </w:rPr>
        <w:t>bezpečnostní pravidla uvedena</w:t>
      </w:r>
      <w:r w:rsidRPr="008D24C4">
        <w:rPr>
          <w:rFonts w:ascii="Arial" w:hAnsi="Arial" w:cs="Arial"/>
        </w:rPr>
        <w:t xml:space="preserve"> </w:t>
      </w:r>
      <w:r w:rsidRPr="00646C88">
        <w:rPr>
          <w:rFonts w:ascii="Arial" w:hAnsi="Arial" w:cs="Arial"/>
        </w:rPr>
        <w:t>v Příloze č. 1. této Smlouvy</w:t>
      </w:r>
      <w:r w:rsidRPr="00646C88">
        <w:rPr>
          <w:rFonts w:ascii="Arial" w:hAnsi="Arial" w:cs="Arial"/>
          <w:lang w:eastAsia="x-none"/>
        </w:rPr>
        <w:t xml:space="preserve">. </w:t>
      </w:r>
    </w:p>
    <w:p w14:paraId="697EE8C1" w14:textId="77777777" w:rsidR="008D1D6D" w:rsidRPr="00500F4D" w:rsidRDefault="008D1D6D" w:rsidP="008D1D6D">
      <w:pPr>
        <w:numPr>
          <w:ilvl w:val="1"/>
          <w:numId w:val="16"/>
        </w:numPr>
        <w:tabs>
          <w:tab w:val="clear" w:pos="1430"/>
        </w:tabs>
        <w:overflowPunct w:val="0"/>
        <w:autoSpaceDE w:val="0"/>
        <w:autoSpaceDN w:val="0"/>
        <w:adjustRightInd w:val="0"/>
        <w:spacing w:before="120" w:line="280" w:lineRule="atLeast"/>
        <w:ind w:left="567" w:hanging="567"/>
        <w:jc w:val="both"/>
        <w:rPr>
          <w:rFonts w:ascii="Arial" w:hAnsi="Arial" w:cs="Arial"/>
        </w:rPr>
      </w:pPr>
      <w:r>
        <w:rPr>
          <w:rFonts w:ascii="Arial" w:hAnsi="Arial" w:cs="Arial"/>
          <w:lang w:eastAsia="x-none"/>
        </w:rPr>
        <w:t>Přejímající</w:t>
      </w:r>
      <w:r w:rsidRPr="00646C88">
        <w:rPr>
          <w:rFonts w:ascii="Arial" w:hAnsi="Arial" w:cs="Arial"/>
          <w:lang w:eastAsia="x-none"/>
        </w:rPr>
        <w:t xml:space="preserve"> se zavazuje, že seznámí všechny </w:t>
      </w:r>
      <w:r>
        <w:rPr>
          <w:rFonts w:ascii="Arial" w:hAnsi="Arial" w:cs="Arial"/>
          <w:lang w:eastAsia="x-none"/>
        </w:rPr>
        <w:t>své zaměstnance, kteří budou do</w:t>
      </w:r>
      <w:r w:rsidRPr="00646C88">
        <w:rPr>
          <w:rFonts w:ascii="Arial" w:hAnsi="Arial" w:cs="Arial"/>
        </w:rPr>
        <w:t xml:space="preserve"> informačních systémů </w:t>
      </w:r>
      <w:r>
        <w:rPr>
          <w:rFonts w:ascii="Arial" w:hAnsi="Arial" w:cs="Arial"/>
        </w:rPr>
        <w:t>nebo</w:t>
      </w:r>
      <w:r w:rsidRPr="00646C88">
        <w:rPr>
          <w:rFonts w:ascii="Arial" w:hAnsi="Arial" w:cs="Arial"/>
        </w:rPr>
        <w:t xml:space="preserve"> do prostor Předávajícího</w:t>
      </w:r>
      <w:r w:rsidRPr="00646C88">
        <w:rPr>
          <w:rFonts w:ascii="Arial" w:hAnsi="Arial" w:cs="Arial"/>
          <w:lang w:eastAsia="x-none"/>
        </w:rPr>
        <w:t xml:space="preserve"> přistupovat s bezpečnostními pravidly před začátkem jakýchkoliv aktivit</w:t>
      </w:r>
      <w:r>
        <w:rPr>
          <w:rFonts w:ascii="Arial" w:hAnsi="Arial" w:cs="Arial"/>
          <w:lang w:eastAsia="x-none"/>
        </w:rPr>
        <w:t>.</w:t>
      </w:r>
    </w:p>
    <w:p w14:paraId="44B41CCA" w14:textId="77777777" w:rsidR="008D1D6D" w:rsidRPr="00500F4D" w:rsidRDefault="008D1D6D" w:rsidP="008D1D6D">
      <w:pPr>
        <w:numPr>
          <w:ilvl w:val="1"/>
          <w:numId w:val="16"/>
        </w:numPr>
        <w:tabs>
          <w:tab w:val="clear" w:pos="1430"/>
        </w:tabs>
        <w:overflowPunct w:val="0"/>
        <w:autoSpaceDE w:val="0"/>
        <w:autoSpaceDN w:val="0"/>
        <w:adjustRightInd w:val="0"/>
        <w:spacing w:before="120" w:line="280" w:lineRule="atLeast"/>
        <w:ind w:left="567" w:hanging="567"/>
        <w:jc w:val="both"/>
        <w:rPr>
          <w:rFonts w:ascii="Arial" w:hAnsi="Arial" w:cs="Arial"/>
          <w:lang w:eastAsia="x-none"/>
        </w:rPr>
      </w:pPr>
      <w:r>
        <w:rPr>
          <w:rFonts w:ascii="Arial" w:hAnsi="Arial" w:cs="Arial"/>
          <w:lang w:eastAsia="x-none"/>
        </w:rPr>
        <w:t>Přejímajícímu</w:t>
      </w:r>
      <w:r w:rsidRPr="00646C88">
        <w:rPr>
          <w:rFonts w:ascii="Arial" w:hAnsi="Arial" w:cs="Arial"/>
          <w:lang w:eastAsia="x-none"/>
        </w:rPr>
        <w:t xml:space="preserve"> </w:t>
      </w:r>
      <w:r w:rsidRPr="00500F4D">
        <w:rPr>
          <w:rFonts w:ascii="Arial" w:hAnsi="Arial" w:cs="Arial"/>
          <w:lang w:eastAsia="x-none"/>
        </w:rPr>
        <w:t xml:space="preserve">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 </w:t>
      </w:r>
    </w:p>
    <w:p w14:paraId="4CC141B5" w14:textId="77777777" w:rsidR="008D1D6D" w:rsidRPr="00646C88" w:rsidRDefault="008D1D6D" w:rsidP="008D1D6D">
      <w:pPr>
        <w:rPr>
          <w:rFonts w:ascii="Arial" w:hAnsi="Arial" w:cs="Arial"/>
        </w:rPr>
      </w:pPr>
    </w:p>
    <w:p w14:paraId="2D028BCE" w14:textId="77777777" w:rsidR="008D1D6D" w:rsidRPr="00646C88" w:rsidRDefault="008D1D6D" w:rsidP="008D1D6D">
      <w:pPr>
        <w:spacing w:after="120" w:line="276" w:lineRule="auto"/>
        <w:jc w:val="center"/>
        <w:rPr>
          <w:rFonts w:ascii="Arial" w:hAnsi="Arial" w:cs="Arial"/>
          <w:b/>
        </w:rPr>
      </w:pPr>
      <w:r>
        <w:rPr>
          <w:rFonts w:ascii="Arial" w:hAnsi="Arial" w:cs="Arial"/>
          <w:b/>
        </w:rPr>
        <w:t>Článek 5</w:t>
      </w:r>
      <w:r w:rsidRPr="00646C88">
        <w:rPr>
          <w:rFonts w:ascii="Arial" w:hAnsi="Arial" w:cs="Arial"/>
          <w:b/>
        </w:rPr>
        <w:br/>
        <w:t>Sankce</w:t>
      </w:r>
    </w:p>
    <w:p w14:paraId="55BA2983" w14:textId="77777777" w:rsidR="008D1D6D" w:rsidRPr="00E05F2D" w:rsidRDefault="008D1D6D" w:rsidP="008D1D6D">
      <w:pPr>
        <w:numPr>
          <w:ilvl w:val="1"/>
          <w:numId w:val="18"/>
        </w:numPr>
        <w:tabs>
          <w:tab w:val="clear" w:pos="1430"/>
        </w:tabs>
        <w:overflowPunct w:val="0"/>
        <w:autoSpaceDE w:val="0"/>
        <w:autoSpaceDN w:val="0"/>
        <w:adjustRightInd w:val="0"/>
        <w:spacing w:before="120" w:line="280" w:lineRule="atLeast"/>
        <w:ind w:left="567" w:hanging="567"/>
        <w:jc w:val="both"/>
        <w:rPr>
          <w:rFonts w:ascii="Arial" w:hAnsi="Arial" w:cs="Arial"/>
          <w:lang w:eastAsia="x-none"/>
        </w:rPr>
      </w:pPr>
      <w:r w:rsidRPr="00D26E61">
        <w:rPr>
          <w:rFonts w:ascii="Arial" w:hAnsi="Arial" w:cs="Arial"/>
          <w:lang w:eastAsia="x-none"/>
        </w:rPr>
        <w:t xml:space="preserve">Za porušení povinností týkajících se ochrany obchodního tajemství, důvěrných informací podle článku 2 nebo osobních údajů podle článku 3 nebo bezpečnostních pravidel dle článku 4 této </w:t>
      </w:r>
      <w:r w:rsidRPr="00E05F2D">
        <w:rPr>
          <w:rFonts w:ascii="Arial" w:hAnsi="Arial" w:cs="Arial"/>
          <w:lang w:eastAsia="x-none"/>
        </w:rPr>
        <w:t xml:space="preserve">Smlouvy a přílohy 1 této Smlouvy - článku 1, odst. c) - f), h), čl. 2, odst. a), čl. 3, odst. b), d), čl. 4, odst. e) - g), čl. 5, odst. a), d), e), f), h), čl. 6, odst. d), čl. 7, </w:t>
      </w:r>
      <w:proofErr w:type="spellStart"/>
      <w:r w:rsidRPr="00E05F2D">
        <w:rPr>
          <w:rFonts w:ascii="Arial" w:hAnsi="Arial" w:cs="Arial"/>
          <w:lang w:eastAsia="x-none"/>
        </w:rPr>
        <w:t>odst</w:t>
      </w:r>
      <w:proofErr w:type="spellEnd"/>
      <w:r w:rsidRPr="00E05F2D">
        <w:rPr>
          <w:rFonts w:ascii="Arial" w:hAnsi="Arial" w:cs="Arial"/>
          <w:lang w:eastAsia="x-none"/>
        </w:rPr>
        <w:t xml:space="preserve"> a), b), čl. 8, odst. a), čl. 9, odst. b) a čl. 10, odst. a), b), c) má poškozená smluvní strana právo uplatnit u druhé Smluvní strany, která tyto povinnosti porušila, nárok na zaplacení smluvní pokuty.</w:t>
      </w:r>
    </w:p>
    <w:p w14:paraId="61D771F6" w14:textId="77777777" w:rsidR="008D1D6D" w:rsidRPr="00D26E61" w:rsidRDefault="008D1D6D" w:rsidP="008D1D6D">
      <w:pPr>
        <w:numPr>
          <w:ilvl w:val="1"/>
          <w:numId w:val="18"/>
        </w:numPr>
        <w:tabs>
          <w:tab w:val="clear" w:pos="1430"/>
        </w:tabs>
        <w:overflowPunct w:val="0"/>
        <w:autoSpaceDE w:val="0"/>
        <w:autoSpaceDN w:val="0"/>
        <w:adjustRightInd w:val="0"/>
        <w:spacing w:before="120" w:line="280" w:lineRule="atLeast"/>
        <w:ind w:left="567" w:hanging="567"/>
        <w:jc w:val="both"/>
        <w:rPr>
          <w:rFonts w:ascii="Arial" w:hAnsi="Arial" w:cs="Arial"/>
          <w:lang w:eastAsia="x-none"/>
        </w:rPr>
      </w:pPr>
      <w:r w:rsidRPr="00E05F2D">
        <w:rPr>
          <w:rFonts w:ascii="Arial" w:hAnsi="Arial" w:cs="Arial"/>
          <w:lang w:eastAsia="x-none"/>
        </w:rPr>
        <w:t>Výše smluvní pokuty je stanovena na 10 000,- Kč (slovy: deset tisíc korun</w:t>
      </w:r>
      <w:r w:rsidRPr="00D26E61">
        <w:rPr>
          <w:rFonts w:ascii="Arial" w:hAnsi="Arial" w:cs="Arial"/>
          <w:lang w:eastAsia="x-none"/>
        </w:rPr>
        <w:t xml:space="preserve"> českých) za každý jednotlivý prokázaný případ porušení povinností stanovených touto Smlouvou.</w:t>
      </w:r>
    </w:p>
    <w:p w14:paraId="213BCF5F" w14:textId="77777777" w:rsidR="008D1D6D" w:rsidRPr="00D26E61" w:rsidRDefault="008D1D6D" w:rsidP="008D1D6D">
      <w:pPr>
        <w:numPr>
          <w:ilvl w:val="1"/>
          <w:numId w:val="18"/>
        </w:numPr>
        <w:tabs>
          <w:tab w:val="clear" w:pos="1430"/>
        </w:tabs>
        <w:overflowPunct w:val="0"/>
        <w:autoSpaceDE w:val="0"/>
        <w:autoSpaceDN w:val="0"/>
        <w:adjustRightInd w:val="0"/>
        <w:spacing w:before="120" w:line="280" w:lineRule="atLeast"/>
        <w:ind w:left="567" w:hanging="567"/>
        <w:jc w:val="both"/>
        <w:rPr>
          <w:rFonts w:ascii="Arial" w:hAnsi="Arial" w:cs="Arial"/>
          <w:lang w:eastAsia="x-none"/>
        </w:rPr>
      </w:pPr>
      <w:r w:rsidRPr="00D26E61">
        <w:rPr>
          <w:rFonts w:ascii="Arial" w:hAnsi="Arial" w:cs="Arial"/>
          <w:lang w:eastAsia="x-none"/>
        </w:rPr>
        <w:t>Smluvní pokutu, na kterou vznikne poškozené smluvní straně nárok dle této Smlouvy, je druhá smluvní strana povinna uhradit do 30 kalendářních dnů ode dne prokazatelného doručení výzvy k úhradě smluvní pokuty. Má se za to, že řádným doručením druhé Smluvní straně je osobní předání, zaslání prostřednictvím kurýrní služby s poskytnutím potvrzení doručení nebo ověřenou elektronickou zprávou na adresu příslušné smluvní strany.</w:t>
      </w:r>
    </w:p>
    <w:p w14:paraId="0E8F43A9" w14:textId="77777777" w:rsidR="008D1D6D" w:rsidRPr="00D26E61" w:rsidRDefault="008D1D6D" w:rsidP="008D1D6D">
      <w:pPr>
        <w:numPr>
          <w:ilvl w:val="1"/>
          <w:numId w:val="18"/>
        </w:numPr>
        <w:tabs>
          <w:tab w:val="clear" w:pos="1430"/>
        </w:tabs>
        <w:overflowPunct w:val="0"/>
        <w:autoSpaceDE w:val="0"/>
        <w:autoSpaceDN w:val="0"/>
        <w:adjustRightInd w:val="0"/>
        <w:spacing w:before="120" w:line="280" w:lineRule="atLeast"/>
        <w:ind w:left="567" w:hanging="567"/>
        <w:jc w:val="both"/>
        <w:rPr>
          <w:rFonts w:ascii="Arial" w:hAnsi="Arial" w:cs="Arial"/>
          <w:lang w:eastAsia="x-none"/>
        </w:rPr>
      </w:pPr>
      <w:r w:rsidRPr="00D26E61">
        <w:rPr>
          <w:rFonts w:ascii="Arial" w:hAnsi="Arial" w:cs="Arial"/>
          <w:lang w:eastAsia="x-none"/>
        </w:rPr>
        <w:t>Doručování prostřednictvím držitele poštovní licence se rozumí, že zpráva je doručována poštovní zásilkou ve formě doporučeného dopisu na doručovací adresu Smluvní strany. Dnem doručení se rozumí den přijetí zásilky nebo také den odmítnutí přijetí zásilky. Dnem doručení se také rozumí třetí (3) den ode dne odevzdání zásilky k poštovní přepravě.</w:t>
      </w:r>
    </w:p>
    <w:p w14:paraId="29235D33" w14:textId="77777777" w:rsidR="008D1D6D" w:rsidRPr="00D26E61" w:rsidRDefault="008D1D6D" w:rsidP="008D1D6D">
      <w:pPr>
        <w:numPr>
          <w:ilvl w:val="1"/>
          <w:numId w:val="18"/>
        </w:numPr>
        <w:tabs>
          <w:tab w:val="clear" w:pos="1430"/>
        </w:tabs>
        <w:overflowPunct w:val="0"/>
        <w:autoSpaceDE w:val="0"/>
        <w:autoSpaceDN w:val="0"/>
        <w:adjustRightInd w:val="0"/>
        <w:spacing w:before="120" w:line="280" w:lineRule="atLeast"/>
        <w:ind w:left="567" w:hanging="567"/>
        <w:jc w:val="both"/>
        <w:rPr>
          <w:rFonts w:ascii="Arial" w:hAnsi="Arial" w:cs="Arial"/>
          <w:lang w:eastAsia="x-none"/>
        </w:rPr>
      </w:pPr>
      <w:r w:rsidRPr="00D26E61">
        <w:rPr>
          <w:rFonts w:ascii="Arial" w:hAnsi="Arial" w:cs="Arial"/>
          <w:lang w:eastAsia="x-none"/>
        </w:rPr>
        <w:t>Způsobí-li jedna smluvní strana druhé smluvní straně škodu porušením této Smlouvy, odpovídá za ni dle obecných právních předpisů. Zaplacením smluvní pokuty není dotčen nárok na náhradu škody.</w:t>
      </w:r>
    </w:p>
    <w:p w14:paraId="4CBB26D9" w14:textId="789AD0D3" w:rsidR="008D1D6D" w:rsidRDefault="008D1D6D" w:rsidP="008D1D6D">
      <w:pPr>
        <w:spacing w:after="120" w:line="276" w:lineRule="auto"/>
        <w:jc w:val="center"/>
        <w:rPr>
          <w:rFonts w:ascii="Arial" w:hAnsi="Arial" w:cs="Arial"/>
        </w:rPr>
      </w:pPr>
    </w:p>
    <w:p w14:paraId="664A35AC" w14:textId="47F9ED9D" w:rsidR="00782B36" w:rsidRDefault="00782B36" w:rsidP="008D1D6D">
      <w:pPr>
        <w:spacing w:after="120" w:line="276" w:lineRule="auto"/>
        <w:jc w:val="center"/>
        <w:rPr>
          <w:rFonts w:ascii="Arial" w:hAnsi="Arial" w:cs="Arial"/>
        </w:rPr>
      </w:pPr>
    </w:p>
    <w:p w14:paraId="5A1D699D" w14:textId="77777777" w:rsidR="00782B36" w:rsidRDefault="00782B36" w:rsidP="008D1D6D">
      <w:pPr>
        <w:spacing w:after="120" w:line="276" w:lineRule="auto"/>
        <w:jc w:val="center"/>
        <w:rPr>
          <w:rFonts w:ascii="Arial" w:hAnsi="Arial" w:cs="Arial"/>
        </w:rPr>
      </w:pPr>
    </w:p>
    <w:p w14:paraId="42CE2AF3" w14:textId="77777777" w:rsidR="008D1D6D" w:rsidRDefault="008D1D6D" w:rsidP="008D1D6D">
      <w:pPr>
        <w:spacing w:after="120" w:line="276" w:lineRule="auto"/>
        <w:jc w:val="center"/>
        <w:rPr>
          <w:rFonts w:ascii="Arial" w:hAnsi="Arial" w:cs="Arial"/>
          <w:b/>
        </w:rPr>
      </w:pPr>
      <w:r w:rsidRPr="00EE20F2">
        <w:rPr>
          <w:rFonts w:ascii="Arial" w:hAnsi="Arial" w:cs="Arial"/>
          <w:b/>
        </w:rPr>
        <w:lastRenderedPageBreak/>
        <w:t xml:space="preserve">Článek </w:t>
      </w:r>
      <w:r>
        <w:rPr>
          <w:rFonts w:ascii="Arial" w:hAnsi="Arial" w:cs="Arial"/>
          <w:b/>
        </w:rPr>
        <w:t>6</w:t>
      </w:r>
      <w:r w:rsidRPr="00EE20F2">
        <w:rPr>
          <w:rFonts w:ascii="Arial" w:hAnsi="Arial" w:cs="Arial"/>
          <w:b/>
        </w:rPr>
        <w:br/>
      </w:r>
      <w:r>
        <w:rPr>
          <w:rFonts w:ascii="Arial" w:hAnsi="Arial" w:cs="Arial"/>
          <w:b/>
        </w:rPr>
        <w:t>Audit</w:t>
      </w:r>
    </w:p>
    <w:p w14:paraId="7A527721" w14:textId="77777777" w:rsidR="008D1D6D" w:rsidRPr="00F12FB6" w:rsidRDefault="008D1D6D" w:rsidP="008D1D6D">
      <w:pPr>
        <w:numPr>
          <w:ilvl w:val="1"/>
          <w:numId w:val="15"/>
        </w:numPr>
        <w:tabs>
          <w:tab w:val="clear" w:pos="1430"/>
          <w:tab w:val="num" w:pos="567"/>
        </w:tabs>
        <w:overflowPunct w:val="0"/>
        <w:autoSpaceDE w:val="0"/>
        <w:autoSpaceDN w:val="0"/>
        <w:adjustRightInd w:val="0"/>
        <w:spacing w:before="120" w:line="280" w:lineRule="atLeast"/>
        <w:ind w:left="567" w:hanging="425"/>
        <w:jc w:val="both"/>
        <w:rPr>
          <w:rFonts w:ascii="Arial" w:hAnsi="Arial" w:cs="Arial"/>
        </w:rPr>
      </w:pPr>
      <w:bookmarkStart w:id="4" w:name="_Ref151988742"/>
      <w:r>
        <w:rPr>
          <w:rFonts w:ascii="Arial" w:hAnsi="Arial" w:cs="Arial"/>
          <w:lang w:eastAsia="x-none"/>
        </w:rPr>
        <w:t>Přejímající</w:t>
      </w:r>
      <w:r w:rsidRPr="00F12FB6">
        <w:rPr>
          <w:rFonts w:ascii="Arial" w:hAnsi="Arial" w:cs="Arial"/>
        </w:rPr>
        <w:t xml:space="preserve"> umožní </w:t>
      </w:r>
      <w:r w:rsidRPr="00162858">
        <w:rPr>
          <w:rFonts w:ascii="Arial" w:hAnsi="Arial" w:cs="Arial"/>
        </w:rPr>
        <w:t>Předávajícímu</w:t>
      </w:r>
      <w:r w:rsidRPr="00F12FB6">
        <w:rPr>
          <w:rFonts w:ascii="Arial" w:hAnsi="Arial" w:cs="Arial"/>
        </w:rPr>
        <w:t xml:space="preserve"> či třetím osobám zvoleným </w:t>
      </w:r>
      <w:r w:rsidRPr="00162858">
        <w:rPr>
          <w:rFonts w:ascii="Arial" w:hAnsi="Arial" w:cs="Arial"/>
        </w:rPr>
        <w:t>Předávající</w:t>
      </w:r>
      <w:r>
        <w:rPr>
          <w:rFonts w:ascii="Arial" w:hAnsi="Arial" w:cs="Arial"/>
        </w:rPr>
        <w:t>m</w:t>
      </w:r>
      <w:r w:rsidRPr="00F12FB6">
        <w:rPr>
          <w:rFonts w:ascii="Arial" w:hAnsi="Arial" w:cs="Arial"/>
        </w:rPr>
        <w:t xml:space="preserve"> přístup do prostor </w:t>
      </w:r>
      <w:r>
        <w:rPr>
          <w:rFonts w:ascii="Arial" w:hAnsi="Arial" w:cs="Arial"/>
          <w:lang w:eastAsia="x-none"/>
        </w:rPr>
        <w:t>Přejímajícího</w:t>
      </w:r>
      <w:r w:rsidRPr="00F12FB6">
        <w:rPr>
          <w:rFonts w:ascii="Arial" w:hAnsi="Arial" w:cs="Arial"/>
        </w:rPr>
        <w:t xml:space="preserve"> za účelem kontroly, zda </w:t>
      </w:r>
      <w:r>
        <w:rPr>
          <w:rFonts w:ascii="Arial" w:hAnsi="Arial" w:cs="Arial"/>
        </w:rPr>
        <w:t>plnění bezpečnostních pravidel dle článku 3 je</w:t>
      </w:r>
      <w:r w:rsidRPr="00F12FB6">
        <w:rPr>
          <w:rFonts w:ascii="Arial" w:hAnsi="Arial" w:cs="Arial"/>
        </w:rPr>
        <w:t xml:space="preserve"> poskytován</w:t>
      </w:r>
      <w:r>
        <w:rPr>
          <w:rFonts w:ascii="Arial" w:hAnsi="Arial" w:cs="Arial"/>
        </w:rPr>
        <w:t>o</w:t>
      </w:r>
      <w:r w:rsidRPr="00F12FB6">
        <w:rPr>
          <w:rFonts w:ascii="Arial" w:hAnsi="Arial" w:cs="Arial"/>
        </w:rPr>
        <w:t xml:space="preserve"> v souladu s touto Smlouvou (dále jen „Audit“)</w:t>
      </w:r>
      <w:bookmarkEnd w:id="4"/>
      <w:r w:rsidRPr="00F12FB6">
        <w:rPr>
          <w:rFonts w:ascii="Arial" w:hAnsi="Arial" w:cs="Arial"/>
        </w:rPr>
        <w:t xml:space="preserve">.  </w:t>
      </w:r>
    </w:p>
    <w:p w14:paraId="48B1186F" w14:textId="77777777" w:rsidR="008D1D6D" w:rsidRDefault="008D1D6D" w:rsidP="008D1D6D">
      <w:pPr>
        <w:numPr>
          <w:ilvl w:val="1"/>
          <w:numId w:val="15"/>
        </w:numPr>
        <w:tabs>
          <w:tab w:val="clear" w:pos="1430"/>
          <w:tab w:val="num" w:pos="567"/>
        </w:tabs>
        <w:overflowPunct w:val="0"/>
        <w:autoSpaceDE w:val="0"/>
        <w:autoSpaceDN w:val="0"/>
        <w:adjustRightInd w:val="0"/>
        <w:spacing w:before="120" w:line="280" w:lineRule="atLeast"/>
        <w:ind w:left="567" w:hanging="425"/>
        <w:jc w:val="both"/>
        <w:rPr>
          <w:rFonts w:ascii="Arial" w:hAnsi="Arial" w:cs="Arial"/>
        </w:rPr>
      </w:pPr>
      <w:r>
        <w:rPr>
          <w:rFonts w:ascii="Arial" w:hAnsi="Arial" w:cs="Arial"/>
          <w:lang w:eastAsia="x-none"/>
        </w:rPr>
        <w:t>Přejímající</w:t>
      </w:r>
      <w:r w:rsidRPr="00F12FB6">
        <w:rPr>
          <w:rFonts w:ascii="Arial" w:hAnsi="Arial" w:cs="Arial"/>
        </w:rPr>
        <w:t xml:space="preserve"> je v souvislosti s Auditem povinen poskytnout </w:t>
      </w:r>
      <w:r w:rsidRPr="00162858">
        <w:rPr>
          <w:rFonts w:ascii="Arial" w:hAnsi="Arial" w:cs="Arial"/>
        </w:rPr>
        <w:t>Předávajícímu</w:t>
      </w:r>
      <w:r w:rsidRPr="00F12FB6">
        <w:rPr>
          <w:rFonts w:ascii="Arial" w:hAnsi="Arial" w:cs="Arial"/>
        </w:rPr>
        <w:t xml:space="preserve"> veškerou nezbytnou součinnost. </w:t>
      </w:r>
    </w:p>
    <w:p w14:paraId="4D034672" w14:textId="77777777" w:rsidR="008D1D6D" w:rsidRPr="001648AB" w:rsidRDefault="008D1D6D" w:rsidP="008D1D6D">
      <w:pPr>
        <w:numPr>
          <w:ilvl w:val="1"/>
          <w:numId w:val="15"/>
        </w:numPr>
        <w:tabs>
          <w:tab w:val="clear" w:pos="1430"/>
          <w:tab w:val="num" w:pos="567"/>
        </w:tabs>
        <w:overflowPunct w:val="0"/>
        <w:autoSpaceDE w:val="0"/>
        <w:autoSpaceDN w:val="0"/>
        <w:adjustRightInd w:val="0"/>
        <w:spacing w:before="120" w:line="280" w:lineRule="atLeast"/>
        <w:ind w:left="567" w:hanging="425"/>
        <w:jc w:val="both"/>
        <w:rPr>
          <w:rFonts w:ascii="Arial" w:hAnsi="Arial" w:cs="Arial"/>
        </w:rPr>
      </w:pPr>
      <w:r w:rsidRPr="009F44C4">
        <w:rPr>
          <w:rFonts w:ascii="Arial" w:hAnsi="Arial" w:cs="Arial"/>
        </w:rPr>
        <w:t xml:space="preserve">Pokud Audit prokáže, že </w:t>
      </w:r>
      <w:r>
        <w:rPr>
          <w:rFonts w:ascii="Arial" w:hAnsi="Arial" w:cs="Arial"/>
          <w:lang w:eastAsia="x-none"/>
        </w:rPr>
        <w:t>Přejímající</w:t>
      </w:r>
      <w:r w:rsidRPr="009F44C4">
        <w:rPr>
          <w:rFonts w:ascii="Arial" w:hAnsi="Arial" w:cs="Arial"/>
        </w:rPr>
        <w:t xml:space="preserve"> nesplnil své povinnosti vyplývající z této Sm</w:t>
      </w:r>
      <w:r>
        <w:rPr>
          <w:rFonts w:ascii="Arial" w:hAnsi="Arial" w:cs="Arial"/>
        </w:rPr>
        <w:t>louvy, uplatní se ustanovení článku</w:t>
      </w:r>
      <w:r w:rsidRPr="009F44C4">
        <w:rPr>
          <w:rFonts w:ascii="Arial" w:hAnsi="Arial" w:cs="Arial"/>
        </w:rPr>
        <w:t xml:space="preserve"> </w:t>
      </w:r>
      <w:r>
        <w:rPr>
          <w:rFonts w:ascii="Arial" w:hAnsi="Arial" w:cs="Arial"/>
        </w:rPr>
        <w:t>5 této Smlouvy.</w:t>
      </w:r>
      <w:r w:rsidRPr="001648AB">
        <w:rPr>
          <w:rFonts w:ascii="Arial" w:hAnsi="Arial" w:cs="Arial"/>
        </w:rPr>
        <w:t xml:space="preserve"> </w:t>
      </w:r>
    </w:p>
    <w:p w14:paraId="11B26161" w14:textId="77777777" w:rsidR="008D1D6D" w:rsidRPr="00646C88" w:rsidRDefault="008D1D6D" w:rsidP="008D1D6D">
      <w:pPr>
        <w:ind w:left="1"/>
        <w:rPr>
          <w:rFonts w:ascii="Arial" w:hAnsi="Arial" w:cs="Arial"/>
        </w:rPr>
      </w:pPr>
    </w:p>
    <w:p w14:paraId="034E712D" w14:textId="77777777" w:rsidR="008D1D6D" w:rsidRPr="00646C88" w:rsidRDefault="008D1D6D" w:rsidP="008D1D6D">
      <w:pPr>
        <w:spacing w:after="120" w:line="276" w:lineRule="auto"/>
        <w:jc w:val="center"/>
        <w:rPr>
          <w:rFonts w:ascii="Arial" w:hAnsi="Arial" w:cs="Arial"/>
          <w:b/>
        </w:rPr>
      </w:pPr>
      <w:bookmarkStart w:id="5" w:name="_Hlt70308517"/>
      <w:bookmarkStart w:id="6" w:name="_Hlt70308888"/>
      <w:bookmarkEnd w:id="5"/>
      <w:bookmarkEnd w:id="6"/>
      <w:r w:rsidRPr="00646C88">
        <w:rPr>
          <w:rFonts w:ascii="Arial" w:hAnsi="Arial" w:cs="Arial"/>
          <w:b/>
        </w:rPr>
        <w:t xml:space="preserve">Článek </w:t>
      </w:r>
      <w:r>
        <w:rPr>
          <w:rFonts w:ascii="Arial" w:hAnsi="Arial" w:cs="Arial"/>
          <w:b/>
        </w:rPr>
        <w:t>7</w:t>
      </w:r>
      <w:r w:rsidRPr="00646C88">
        <w:rPr>
          <w:rFonts w:ascii="Arial" w:hAnsi="Arial" w:cs="Arial"/>
          <w:b/>
        </w:rPr>
        <w:br/>
        <w:t>Závěrečná ustanovení</w:t>
      </w:r>
    </w:p>
    <w:p w14:paraId="735881E5" w14:textId="77777777" w:rsidR="008D1D6D" w:rsidRPr="00646C88" w:rsidRDefault="008D1D6D" w:rsidP="008D1D6D">
      <w:pPr>
        <w:pStyle w:val="Nadpis2"/>
        <w:numPr>
          <w:ilvl w:val="1"/>
          <w:numId w:val="13"/>
        </w:numPr>
        <w:tabs>
          <w:tab w:val="clear" w:pos="1430"/>
          <w:tab w:val="num" w:pos="567"/>
        </w:tabs>
        <w:ind w:left="567" w:hanging="567"/>
        <w:rPr>
          <w:rFonts w:ascii="Arial" w:hAnsi="Arial" w:cs="Arial"/>
          <w:sz w:val="20"/>
        </w:rPr>
      </w:pPr>
      <w:r w:rsidRPr="00646C88">
        <w:rPr>
          <w:rFonts w:ascii="Arial" w:hAnsi="Arial" w:cs="Arial"/>
          <w:sz w:val="20"/>
        </w:rPr>
        <w:t>Tato Sml</w:t>
      </w:r>
      <w:r>
        <w:rPr>
          <w:rFonts w:ascii="Arial" w:hAnsi="Arial" w:cs="Arial"/>
          <w:sz w:val="20"/>
        </w:rPr>
        <w:t>ouva představuje úplnou dohodu S</w:t>
      </w:r>
      <w:r w:rsidRPr="00646C88">
        <w:rPr>
          <w:rFonts w:ascii="Arial" w:hAnsi="Arial" w:cs="Arial"/>
          <w:sz w:val="20"/>
        </w:rPr>
        <w:t>mluvních stran o předmětu této Smlouvy. Tuto Smlouvu je možn</w:t>
      </w:r>
      <w:r>
        <w:rPr>
          <w:rFonts w:ascii="Arial" w:hAnsi="Arial" w:cs="Arial"/>
          <w:sz w:val="20"/>
        </w:rPr>
        <w:t>é měnit pouze písemnou dohodou S</w:t>
      </w:r>
      <w:r w:rsidRPr="00646C88">
        <w:rPr>
          <w:rFonts w:ascii="Arial" w:hAnsi="Arial" w:cs="Arial"/>
          <w:sz w:val="20"/>
        </w:rPr>
        <w:t>mluvních stran ve formě číslovaných dodatků této Smlouvy, podepsa</w:t>
      </w:r>
      <w:r>
        <w:rPr>
          <w:rFonts w:ascii="Arial" w:hAnsi="Arial" w:cs="Arial"/>
          <w:sz w:val="20"/>
        </w:rPr>
        <w:t>ných oprávněnými zástupci obou s</w:t>
      </w:r>
      <w:r w:rsidRPr="00646C88">
        <w:rPr>
          <w:rFonts w:ascii="Arial" w:hAnsi="Arial" w:cs="Arial"/>
          <w:sz w:val="20"/>
        </w:rPr>
        <w:t>mluvních stran.</w:t>
      </w:r>
    </w:p>
    <w:p w14:paraId="257C1107" w14:textId="77777777" w:rsidR="008D1D6D" w:rsidRPr="00646C88" w:rsidRDefault="008D1D6D" w:rsidP="008D1D6D">
      <w:pPr>
        <w:pStyle w:val="Nadpis2"/>
        <w:numPr>
          <w:ilvl w:val="1"/>
          <w:numId w:val="13"/>
        </w:numPr>
        <w:tabs>
          <w:tab w:val="clear" w:pos="1430"/>
          <w:tab w:val="num" w:pos="567"/>
        </w:tabs>
        <w:ind w:left="567" w:hanging="567"/>
        <w:rPr>
          <w:rFonts w:ascii="Arial" w:hAnsi="Arial" w:cs="Arial"/>
          <w:sz w:val="20"/>
        </w:rPr>
      </w:pPr>
      <w:r w:rsidRPr="00646C88">
        <w:rPr>
          <w:rFonts w:ascii="Arial" w:hAnsi="Arial" w:cs="Arial"/>
          <w:sz w:val="20"/>
        </w:rPr>
        <w:t xml:space="preserve">Obě smluvní strany se zavazují, že vzniklé spory budou řešit přednostně smírčí cestou, jednáním zástupců obou smluvních stran a v souladu s platnými právními předpisy České republiky. </w:t>
      </w:r>
    </w:p>
    <w:p w14:paraId="23A5F410" w14:textId="77777777" w:rsidR="008D1D6D" w:rsidRPr="00646C88" w:rsidRDefault="008D1D6D" w:rsidP="008D1D6D">
      <w:pPr>
        <w:pStyle w:val="Nadpis2"/>
        <w:numPr>
          <w:ilvl w:val="1"/>
          <w:numId w:val="13"/>
        </w:numPr>
        <w:tabs>
          <w:tab w:val="clear" w:pos="1430"/>
          <w:tab w:val="num" w:pos="567"/>
        </w:tabs>
        <w:ind w:left="567" w:hanging="567"/>
        <w:rPr>
          <w:rFonts w:ascii="Arial" w:hAnsi="Arial" w:cs="Arial"/>
          <w:sz w:val="20"/>
        </w:rPr>
      </w:pPr>
      <w:r w:rsidRPr="00646C88">
        <w:rPr>
          <w:rFonts w:ascii="Arial" w:hAnsi="Arial" w:cs="Arial"/>
          <w:sz w:val="20"/>
        </w:rPr>
        <w:t>Zhotovitel se dále zavazuje poskytnout řádnou součinnost při výkonu finanční kontroly v souladu s § 2 písm. e) a § 13 zák. 320/2001 Sb., o finanční kontrole, ve znění pozdějších předpisů, a to z důvodu, že zakázka je hrazena z veřejné finanční podpory.</w:t>
      </w:r>
    </w:p>
    <w:p w14:paraId="3090DE55" w14:textId="77777777" w:rsidR="008D1D6D" w:rsidRPr="00646C88" w:rsidRDefault="008D1D6D" w:rsidP="008D1D6D">
      <w:pPr>
        <w:pStyle w:val="Nadpis2"/>
        <w:numPr>
          <w:ilvl w:val="1"/>
          <w:numId w:val="13"/>
        </w:numPr>
        <w:tabs>
          <w:tab w:val="clear" w:pos="1430"/>
          <w:tab w:val="num" w:pos="567"/>
        </w:tabs>
        <w:ind w:left="567" w:hanging="567"/>
        <w:rPr>
          <w:rFonts w:ascii="Arial" w:hAnsi="Arial" w:cs="Arial"/>
          <w:color w:val="000000"/>
          <w:sz w:val="20"/>
        </w:rPr>
      </w:pPr>
      <w:r>
        <w:rPr>
          <w:rFonts w:ascii="Arial" w:hAnsi="Arial" w:cs="Arial"/>
          <w:sz w:val="20"/>
          <w:lang w:val="cs-CZ"/>
        </w:rPr>
        <w:t xml:space="preserve">Závazkový </w:t>
      </w:r>
      <w:r w:rsidRPr="00646C88">
        <w:rPr>
          <w:rFonts w:ascii="Arial" w:hAnsi="Arial" w:cs="Arial"/>
          <w:sz w:val="20"/>
        </w:rPr>
        <w:t xml:space="preserve">vztah založený touto Smlouvou se řídí </w:t>
      </w:r>
      <w:r w:rsidRPr="00646C88">
        <w:rPr>
          <w:rFonts w:ascii="Arial" w:hAnsi="Arial" w:cs="Arial"/>
          <w:sz w:val="20"/>
          <w:lang w:val="cs-CZ"/>
        </w:rPr>
        <w:t>Občanským</w:t>
      </w:r>
      <w:r w:rsidRPr="00646C88">
        <w:rPr>
          <w:rFonts w:ascii="Arial" w:hAnsi="Arial" w:cs="Arial"/>
          <w:sz w:val="20"/>
        </w:rPr>
        <w:t xml:space="preserve"> zákoníkem</w:t>
      </w:r>
      <w:r w:rsidRPr="00646C88">
        <w:rPr>
          <w:rFonts w:ascii="Arial" w:hAnsi="Arial" w:cs="Arial"/>
          <w:sz w:val="20"/>
          <w:lang w:val="cs-CZ"/>
        </w:rPr>
        <w:t xml:space="preserve"> a Autorským zákonem</w:t>
      </w:r>
      <w:r w:rsidRPr="00646C88">
        <w:rPr>
          <w:rFonts w:ascii="Arial" w:hAnsi="Arial" w:cs="Arial"/>
          <w:sz w:val="20"/>
        </w:rPr>
        <w:t>.</w:t>
      </w:r>
    </w:p>
    <w:p w14:paraId="40AE3886" w14:textId="77777777" w:rsidR="008D1D6D" w:rsidRPr="00646C88" w:rsidRDefault="008D1D6D" w:rsidP="008D1D6D">
      <w:pPr>
        <w:pStyle w:val="Nadpis2"/>
        <w:numPr>
          <w:ilvl w:val="1"/>
          <w:numId w:val="13"/>
        </w:numPr>
        <w:tabs>
          <w:tab w:val="clear" w:pos="1430"/>
          <w:tab w:val="num" w:pos="567"/>
        </w:tabs>
        <w:ind w:left="567" w:hanging="567"/>
        <w:rPr>
          <w:rFonts w:ascii="Arial" w:hAnsi="Arial" w:cs="Arial"/>
          <w:sz w:val="20"/>
        </w:rPr>
      </w:pPr>
      <w:r w:rsidRPr="00646C88">
        <w:rPr>
          <w:rFonts w:ascii="Arial" w:hAnsi="Arial" w:cs="Arial"/>
          <w:sz w:val="20"/>
        </w:rPr>
        <w:t>Nedílnou součást Smlouvy tvoří tyto přílohy:</w:t>
      </w:r>
    </w:p>
    <w:p w14:paraId="0756E778" w14:textId="41B17DE0" w:rsidR="008D1D6D" w:rsidRPr="00646C88" w:rsidRDefault="008D1D6D" w:rsidP="009169DF">
      <w:pPr>
        <w:ind w:left="1418"/>
        <w:rPr>
          <w:rFonts w:ascii="Arial" w:hAnsi="Arial" w:cs="Arial"/>
        </w:rPr>
      </w:pPr>
      <w:r w:rsidRPr="00646C88">
        <w:rPr>
          <w:rFonts w:ascii="Arial" w:hAnsi="Arial" w:cs="Arial"/>
        </w:rPr>
        <w:t xml:space="preserve">Příloha č. 1 </w:t>
      </w:r>
      <w:r w:rsidRPr="00646C88">
        <w:rPr>
          <w:rFonts w:ascii="Arial" w:hAnsi="Arial" w:cs="Arial"/>
        </w:rPr>
        <w:tab/>
      </w:r>
      <w:r w:rsidRPr="00646C88">
        <w:rPr>
          <w:rFonts w:ascii="Arial" w:hAnsi="Arial" w:cs="Arial"/>
        </w:rPr>
        <w:tab/>
      </w:r>
      <w:r w:rsidRPr="007A20CE">
        <w:rPr>
          <w:rFonts w:ascii="Arial" w:hAnsi="Arial" w:cs="Arial"/>
        </w:rPr>
        <w:t>Bezpečnostní pravidla</w:t>
      </w:r>
    </w:p>
    <w:p w14:paraId="2BFA9FEA" w14:textId="77777777" w:rsidR="008D1D6D" w:rsidRPr="00E05F2D" w:rsidRDefault="008D1D6D" w:rsidP="008D1D6D">
      <w:pPr>
        <w:pStyle w:val="Nadpis2"/>
        <w:numPr>
          <w:ilvl w:val="1"/>
          <w:numId w:val="13"/>
        </w:numPr>
        <w:tabs>
          <w:tab w:val="clear" w:pos="1430"/>
          <w:tab w:val="num" w:pos="567"/>
        </w:tabs>
        <w:ind w:left="567" w:hanging="567"/>
        <w:rPr>
          <w:rFonts w:ascii="Arial" w:hAnsi="Arial" w:cs="Arial"/>
          <w:sz w:val="20"/>
        </w:rPr>
      </w:pPr>
      <w:r w:rsidRPr="00DE78FD">
        <w:rPr>
          <w:rFonts w:ascii="Arial" w:hAnsi="Arial" w:cs="Arial"/>
          <w:sz w:val="20"/>
        </w:rPr>
        <w:t xml:space="preserve">Tato Smlouva je sepsána ve čtyřech (4) vyhotoveních, z nichž Předávající obdrží tři a Přejímající jedno. Smlouva nabývá platnosti dnem, kdy bude podepsána oběma stranami a účinnosti dnem, kdy bude podepsaná smlouva doručena smluvní stranou, která smlouvu podepsala jako poslední, </w:t>
      </w:r>
      <w:r w:rsidRPr="00E05F2D">
        <w:rPr>
          <w:rFonts w:ascii="Arial" w:hAnsi="Arial" w:cs="Arial"/>
          <w:sz w:val="20"/>
        </w:rPr>
        <w:t>druhé smluvní straně.</w:t>
      </w:r>
    </w:p>
    <w:p w14:paraId="48D5AC20" w14:textId="77777777" w:rsidR="008D1D6D" w:rsidRPr="00E05F2D" w:rsidRDefault="008D1D6D" w:rsidP="008D1D6D">
      <w:pPr>
        <w:pStyle w:val="Nadpis2"/>
        <w:numPr>
          <w:ilvl w:val="1"/>
          <w:numId w:val="13"/>
        </w:numPr>
        <w:tabs>
          <w:tab w:val="clear" w:pos="1430"/>
          <w:tab w:val="num" w:pos="567"/>
        </w:tabs>
        <w:ind w:left="567" w:hanging="567"/>
        <w:rPr>
          <w:rFonts w:ascii="Arial" w:hAnsi="Arial" w:cs="Arial"/>
          <w:sz w:val="20"/>
        </w:rPr>
      </w:pPr>
      <w:r w:rsidRPr="00E05F2D">
        <w:rPr>
          <w:rFonts w:ascii="Arial" w:hAnsi="Arial" w:cs="Arial"/>
          <w:sz w:val="20"/>
          <w:lang w:val="cs-CZ"/>
        </w:rPr>
        <w:t xml:space="preserve">Tato smlouva je účinná po dobu účinnosti realizační smlouvy. </w:t>
      </w:r>
    </w:p>
    <w:p w14:paraId="4839127A" w14:textId="77777777" w:rsidR="008D1D6D" w:rsidRPr="00E05F2D" w:rsidRDefault="008D1D6D" w:rsidP="008D1D6D">
      <w:pPr>
        <w:pStyle w:val="Nadpis2"/>
        <w:numPr>
          <w:ilvl w:val="1"/>
          <w:numId w:val="13"/>
        </w:numPr>
        <w:tabs>
          <w:tab w:val="clear" w:pos="1430"/>
          <w:tab w:val="num" w:pos="567"/>
        </w:tabs>
        <w:ind w:left="567" w:hanging="567"/>
        <w:rPr>
          <w:rFonts w:ascii="Arial" w:hAnsi="Arial" w:cs="Arial"/>
          <w:sz w:val="20"/>
        </w:rPr>
      </w:pPr>
      <w:r w:rsidRPr="00E05F2D">
        <w:rPr>
          <w:rFonts w:ascii="Arial" w:hAnsi="Arial" w:cs="Arial"/>
          <w:sz w:val="20"/>
        </w:rPr>
        <w:t>Rozhodnout o uzavření této smlouvy a oprávnění uzavřít</w:t>
      </w:r>
      <w:r w:rsidRPr="00E05F2D">
        <w:rPr>
          <w:rFonts w:ascii="Arial" w:hAnsi="Arial" w:cs="Arial"/>
          <w:sz w:val="20"/>
          <w:lang w:val="cs-CZ"/>
        </w:rPr>
        <w:t xml:space="preserve"> jménem ZK</w:t>
      </w:r>
      <w:r w:rsidRPr="00E05F2D">
        <w:rPr>
          <w:rFonts w:ascii="Arial" w:hAnsi="Arial" w:cs="Arial"/>
          <w:sz w:val="20"/>
        </w:rPr>
        <w:t xml:space="preserve"> tuto smlouvu bylo Ing. Petru </w:t>
      </w:r>
      <w:proofErr w:type="spellStart"/>
      <w:r w:rsidRPr="00E05F2D">
        <w:rPr>
          <w:rFonts w:ascii="Arial" w:hAnsi="Arial" w:cs="Arial"/>
          <w:sz w:val="20"/>
        </w:rPr>
        <w:t>Kedrovi</w:t>
      </w:r>
      <w:proofErr w:type="spellEnd"/>
      <w:r w:rsidRPr="00E05F2D">
        <w:rPr>
          <w:rFonts w:ascii="Arial" w:hAnsi="Arial" w:cs="Arial"/>
          <w:sz w:val="20"/>
          <w:lang w:val="cs-CZ"/>
        </w:rPr>
        <w:t>, vedoucímu odboru Kanceláře ředitele,</w:t>
      </w:r>
      <w:r w:rsidRPr="00E05F2D">
        <w:rPr>
          <w:rFonts w:ascii="Arial" w:hAnsi="Arial" w:cs="Arial"/>
          <w:sz w:val="20"/>
        </w:rPr>
        <w:t xml:space="preserve"> svěřeno usnesením Rady Zlínského kraje č. 0364/R12/18 ze dne 7. 5. 2018.</w:t>
      </w:r>
    </w:p>
    <w:tbl>
      <w:tblPr>
        <w:tblW w:w="9285" w:type="dxa"/>
        <w:tblLayout w:type="fixed"/>
        <w:tblCellMar>
          <w:left w:w="70" w:type="dxa"/>
          <w:right w:w="70" w:type="dxa"/>
        </w:tblCellMar>
        <w:tblLook w:val="04A0" w:firstRow="1" w:lastRow="0" w:firstColumn="1" w:lastColumn="0" w:noHBand="0" w:noVBand="1"/>
      </w:tblPr>
      <w:tblGrid>
        <w:gridCol w:w="4527"/>
        <w:gridCol w:w="4758"/>
      </w:tblGrid>
      <w:tr w:rsidR="008D1D6D" w:rsidRPr="00646C88" w14:paraId="3337BDEC" w14:textId="77777777" w:rsidTr="0050018F">
        <w:tc>
          <w:tcPr>
            <w:tcW w:w="4527" w:type="dxa"/>
          </w:tcPr>
          <w:p w14:paraId="5086BDC4" w14:textId="77777777" w:rsidR="008D1D6D" w:rsidRPr="00646C88" w:rsidRDefault="008D1D6D" w:rsidP="0050018F">
            <w:pPr>
              <w:pStyle w:val="Ploha"/>
              <w:jc w:val="both"/>
              <w:rPr>
                <w:rFonts w:ascii="Arial" w:hAnsi="Arial" w:cs="Arial"/>
                <w:sz w:val="20"/>
              </w:rPr>
            </w:pPr>
            <w:bookmarkStart w:id="7" w:name="priloha1"/>
          </w:p>
          <w:p w14:paraId="5C2AF42C" w14:textId="77777777" w:rsidR="008D1D6D" w:rsidRPr="00646C88" w:rsidRDefault="008D1D6D" w:rsidP="0050018F">
            <w:pPr>
              <w:pStyle w:val="Ploha"/>
              <w:jc w:val="both"/>
              <w:rPr>
                <w:rFonts w:ascii="Arial" w:hAnsi="Arial" w:cs="Arial"/>
                <w:b w:val="0"/>
                <w:sz w:val="20"/>
              </w:rPr>
            </w:pPr>
            <w:r w:rsidRPr="00646C88">
              <w:rPr>
                <w:rFonts w:ascii="Arial" w:hAnsi="Arial" w:cs="Arial"/>
                <w:b w:val="0"/>
                <w:sz w:val="20"/>
              </w:rPr>
              <w:t xml:space="preserve">               Ve Zlíně dne ……</w:t>
            </w:r>
            <w:r>
              <w:rPr>
                <w:rFonts w:ascii="Arial" w:hAnsi="Arial" w:cs="Arial"/>
                <w:b w:val="0"/>
                <w:sz w:val="20"/>
              </w:rPr>
              <w:t>…</w:t>
            </w:r>
            <w:r w:rsidRPr="00646C88">
              <w:rPr>
                <w:rFonts w:ascii="Arial" w:hAnsi="Arial" w:cs="Arial"/>
                <w:b w:val="0"/>
                <w:sz w:val="20"/>
              </w:rPr>
              <w:t>.</w:t>
            </w:r>
          </w:p>
        </w:tc>
        <w:tc>
          <w:tcPr>
            <w:tcW w:w="4758" w:type="dxa"/>
          </w:tcPr>
          <w:p w14:paraId="76E6325E" w14:textId="77777777" w:rsidR="008D1D6D" w:rsidRPr="00646C88" w:rsidRDefault="008D1D6D" w:rsidP="0050018F">
            <w:pPr>
              <w:pStyle w:val="Ploha"/>
              <w:jc w:val="both"/>
              <w:rPr>
                <w:rFonts w:ascii="Arial" w:hAnsi="Arial" w:cs="Arial"/>
                <w:b w:val="0"/>
                <w:sz w:val="20"/>
              </w:rPr>
            </w:pPr>
          </w:p>
          <w:p w14:paraId="7827400C" w14:textId="7C5D83F6" w:rsidR="008D1D6D" w:rsidRPr="00646C88" w:rsidRDefault="008D1D6D" w:rsidP="0050018F">
            <w:pPr>
              <w:pStyle w:val="Ploha"/>
              <w:jc w:val="left"/>
              <w:rPr>
                <w:rFonts w:ascii="Arial" w:hAnsi="Arial" w:cs="Arial"/>
                <w:b w:val="0"/>
                <w:sz w:val="20"/>
              </w:rPr>
            </w:pPr>
            <w:r w:rsidRPr="00646C88">
              <w:rPr>
                <w:rFonts w:ascii="Arial" w:hAnsi="Arial" w:cs="Arial"/>
                <w:b w:val="0"/>
                <w:sz w:val="20"/>
              </w:rPr>
              <w:t xml:space="preserve">                </w:t>
            </w:r>
            <w:r w:rsidRPr="003C6EED">
              <w:rPr>
                <w:rFonts w:ascii="Arial" w:hAnsi="Arial" w:cs="Arial"/>
                <w:b w:val="0"/>
                <w:sz w:val="20"/>
              </w:rPr>
              <w:t>V</w:t>
            </w:r>
            <w:r w:rsidR="008D2BEF">
              <w:rPr>
                <w:rFonts w:ascii="Arial" w:hAnsi="Arial" w:cs="Arial"/>
                <w:b w:val="0"/>
                <w:sz w:val="20"/>
              </w:rPr>
              <w:t xml:space="preserve">e Zlíně </w:t>
            </w:r>
            <w:r w:rsidRPr="003C6EED">
              <w:rPr>
                <w:rFonts w:ascii="Arial" w:hAnsi="Arial" w:cs="Arial"/>
                <w:b w:val="0"/>
                <w:sz w:val="20"/>
              </w:rPr>
              <w:t xml:space="preserve">dne </w:t>
            </w:r>
            <w:r w:rsidRPr="00035659">
              <w:rPr>
                <w:rFonts w:ascii="Arial" w:hAnsi="Arial" w:cs="Arial"/>
                <w:b w:val="0"/>
                <w:sz w:val="20"/>
              </w:rPr>
              <w:t>………..</w:t>
            </w:r>
          </w:p>
          <w:p w14:paraId="14D10EF6" w14:textId="77777777" w:rsidR="008D1D6D" w:rsidRPr="00646C88" w:rsidRDefault="008D1D6D" w:rsidP="0050018F">
            <w:pPr>
              <w:pStyle w:val="Ploha"/>
              <w:rPr>
                <w:rFonts w:ascii="Arial" w:hAnsi="Arial" w:cs="Arial"/>
                <w:b w:val="0"/>
                <w:sz w:val="20"/>
              </w:rPr>
            </w:pPr>
          </w:p>
        </w:tc>
      </w:tr>
      <w:tr w:rsidR="008D1D6D" w:rsidRPr="00646C88" w14:paraId="4031CF49" w14:textId="77777777" w:rsidTr="0050018F">
        <w:trPr>
          <w:trHeight w:val="1220"/>
        </w:trPr>
        <w:tc>
          <w:tcPr>
            <w:tcW w:w="4527" w:type="dxa"/>
          </w:tcPr>
          <w:p w14:paraId="7C7DD64E" w14:textId="77777777" w:rsidR="008D1D6D" w:rsidRPr="00646C88" w:rsidRDefault="008D1D6D" w:rsidP="0050018F">
            <w:pPr>
              <w:pStyle w:val="Ploha"/>
              <w:rPr>
                <w:rFonts w:ascii="Arial" w:hAnsi="Arial" w:cs="Arial"/>
                <w:b w:val="0"/>
                <w:sz w:val="20"/>
              </w:rPr>
            </w:pPr>
            <w:r w:rsidRPr="00646C88">
              <w:rPr>
                <w:rFonts w:ascii="Arial" w:hAnsi="Arial" w:cs="Arial"/>
                <w:b w:val="0"/>
                <w:sz w:val="20"/>
              </w:rPr>
              <w:t>.............................................</w:t>
            </w:r>
          </w:p>
          <w:p w14:paraId="02936ACC" w14:textId="77777777" w:rsidR="008D1D6D" w:rsidRPr="00646C88" w:rsidRDefault="008D1D6D" w:rsidP="0050018F">
            <w:pPr>
              <w:pStyle w:val="Ploha"/>
              <w:rPr>
                <w:rFonts w:ascii="Arial" w:hAnsi="Arial" w:cs="Arial"/>
                <w:b w:val="0"/>
                <w:sz w:val="20"/>
              </w:rPr>
            </w:pPr>
            <w:r>
              <w:rPr>
                <w:rFonts w:ascii="Arial" w:eastAsia="Calibri" w:hAnsi="Arial" w:cs="Arial"/>
                <w:sz w:val="20"/>
              </w:rPr>
              <w:t>Ing. Petr Kedra</w:t>
            </w:r>
            <w:r w:rsidRPr="00646C88">
              <w:rPr>
                <w:rFonts w:ascii="Arial" w:eastAsia="Calibri" w:hAnsi="Arial" w:cs="Arial"/>
                <w:sz w:val="20"/>
              </w:rPr>
              <w:t xml:space="preserve">  </w:t>
            </w:r>
          </w:p>
          <w:p w14:paraId="6C74BC58" w14:textId="77777777" w:rsidR="008D1D6D" w:rsidRPr="00646C88" w:rsidRDefault="008D1D6D" w:rsidP="0050018F">
            <w:pPr>
              <w:pStyle w:val="Ploha"/>
              <w:rPr>
                <w:rFonts w:ascii="Arial" w:hAnsi="Arial" w:cs="Arial"/>
                <w:b w:val="0"/>
                <w:sz w:val="20"/>
              </w:rPr>
            </w:pPr>
            <w:r w:rsidRPr="00646C88">
              <w:rPr>
                <w:rFonts w:ascii="Arial" w:hAnsi="Arial" w:cs="Arial"/>
                <w:b w:val="0"/>
                <w:sz w:val="20"/>
              </w:rPr>
              <w:t>Za Předávajícího</w:t>
            </w:r>
          </w:p>
        </w:tc>
        <w:tc>
          <w:tcPr>
            <w:tcW w:w="4758" w:type="dxa"/>
            <w:hideMark/>
          </w:tcPr>
          <w:p w14:paraId="556A6A90" w14:textId="77777777" w:rsidR="008D1D6D" w:rsidRPr="00646C88" w:rsidRDefault="008D1D6D" w:rsidP="0050018F">
            <w:pPr>
              <w:pStyle w:val="Ploha"/>
              <w:rPr>
                <w:rFonts w:ascii="Arial" w:hAnsi="Arial" w:cs="Arial"/>
                <w:b w:val="0"/>
                <w:sz w:val="20"/>
              </w:rPr>
            </w:pPr>
            <w:r w:rsidRPr="00646C88">
              <w:rPr>
                <w:rFonts w:ascii="Arial" w:hAnsi="Arial" w:cs="Arial"/>
                <w:b w:val="0"/>
                <w:sz w:val="20"/>
              </w:rPr>
              <w:t>.............................................</w:t>
            </w:r>
          </w:p>
          <w:p w14:paraId="6E870B20" w14:textId="380954D4" w:rsidR="008D1D6D" w:rsidRPr="00740237" w:rsidRDefault="008D2BEF" w:rsidP="0050018F">
            <w:pPr>
              <w:pStyle w:val="Ploha"/>
              <w:rPr>
                <w:rFonts w:ascii="Arial" w:eastAsia="Calibri" w:hAnsi="Arial" w:cs="Arial"/>
                <w:sz w:val="20"/>
              </w:rPr>
            </w:pPr>
            <w:r>
              <w:rPr>
                <w:rFonts w:ascii="Arial" w:eastAsia="Calibri" w:hAnsi="Arial" w:cs="Arial"/>
                <w:sz w:val="20"/>
              </w:rPr>
              <w:t>Ing. Daniel Večeřa</w:t>
            </w:r>
          </w:p>
          <w:p w14:paraId="4DC2AB48" w14:textId="77777777" w:rsidR="008D1D6D" w:rsidRPr="00646C88" w:rsidRDefault="008D1D6D" w:rsidP="0050018F">
            <w:pPr>
              <w:pStyle w:val="Ploha"/>
              <w:rPr>
                <w:rFonts w:ascii="Arial" w:hAnsi="Arial" w:cs="Arial"/>
                <w:b w:val="0"/>
                <w:sz w:val="20"/>
              </w:rPr>
            </w:pPr>
            <w:r w:rsidRPr="00646C88">
              <w:rPr>
                <w:rFonts w:ascii="Arial" w:hAnsi="Arial" w:cs="Arial"/>
                <w:b w:val="0"/>
                <w:sz w:val="20"/>
              </w:rPr>
              <w:t>Za Přejímajícího</w:t>
            </w:r>
          </w:p>
        </w:tc>
      </w:tr>
      <w:bookmarkEnd w:id="7"/>
    </w:tbl>
    <w:p w14:paraId="5A19E0DE" w14:textId="0E8D52D8" w:rsidR="008D1D6D" w:rsidRPr="00482AB0" w:rsidRDefault="008D1D6D" w:rsidP="00482AB0">
      <w:pPr>
        <w:overflowPunct w:val="0"/>
        <w:autoSpaceDE w:val="0"/>
        <w:autoSpaceDN w:val="0"/>
        <w:adjustRightInd w:val="0"/>
        <w:spacing w:before="120" w:line="280" w:lineRule="atLeast"/>
        <w:rPr>
          <w:rFonts w:ascii="Arial" w:hAnsi="Arial" w:cs="Arial"/>
          <w:sz w:val="18"/>
          <w:szCs w:val="18"/>
        </w:rPr>
      </w:pPr>
    </w:p>
    <w:sectPr w:rsidR="008D1D6D" w:rsidRPr="00482AB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2E196" w16cid:durableId="24BF60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16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1"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90251"/>
    <w:multiLevelType w:val="hybridMultilevel"/>
    <w:tmpl w:val="65A62B06"/>
    <w:lvl w:ilvl="0" w:tplc="FA0E708A">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51F766E"/>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4"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211D5A"/>
    <w:multiLevelType w:val="hybridMultilevel"/>
    <w:tmpl w:val="7BD8AF66"/>
    <w:lvl w:ilvl="0" w:tplc="87A4276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C8593A"/>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7" w15:restartNumberingAfterBreak="0">
    <w:nsid w:val="301A09DE"/>
    <w:multiLevelType w:val="multilevel"/>
    <w:tmpl w:val="021AF1BA"/>
    <w:lvl w:ilvl="0">
      <w:start w:val="4"/>
      <w:numFmt w:val="decimal"/>
      <w:lvlText w:val="%1."/>
      <w:lvlJc w:val="left"/>
      <w:pPr>
        <w:tabs>
          <w:tab w:val="num" w:pos="480"/>
        </w:tabs>
        <w:ind w:left="480" w:hanging="480"/>
      </w:pPr>
    </w:lvl>
    <w:lvl w:ilvl="1">
      <w:start w:val="1"/>
      <w:numFmt w:val="decimal"/>
      <w:lvlText w:val="%2."/>
      <w:lvlJc w:val="left"/>
      <w:pPr>
        <w:tabs>
          <w:tab w:val="num" w:pos="1430"/>
        </w:tabs>
        <w:ind w:left="1430" w:hanging="720"/>
      </w:pPr>
      <w:rPr>
        <w:rFonts w:hint="default"/>
      </w:r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8"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3D060C"/>
    <w:multiLevelType w:val="hybridMultilevel"/>
    <w:tmpl w:val="861E9E8A"/>
    <w:lvl w:ilvl="0" w:tplc="0405000F">
      <w:start w:val="1"/>
      <w:numFmt w:val="decimal"/>
      <w:lvlText w:val="%1."/>
      <w:lvlJc w:val="left"/>
      <w:pPr>
        <w:ind w:left="720" w:hanging="360"/>
      </w:pPr>
      <w:rPr>
        <w:rFonts w:eastAsia="Times New Roman"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75564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15"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22466B"/>
    <w:multiLevelType w:val="hybridMultilevel"/>
    <w:tmpl w:val="F684A99A"/>
    <w:lvl w:ilvl="0" w:tplc="0405000F">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5F4860"/>
    <w:multiLevelType w:val="multilevel"/>
    <w:tmpl w:val="BDBA2DAE"/>
    <w:lvl w:ilvl="0">
      <w:start w:val="10"/>
      <w:numFmt w:val="decimal"/>
      <w:lvlText w:val="%1."/>
      <w:lvlJc w:val="left"/>
      <w:pPr>
        <w:tabs>
          <w:tab w:val="num" w:pos="630"/>
        </w:tabs>
        <w:ind w:left="630" w:hanging="63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num w:numId="1">
    <w:abstractNumId w:val="1"/>
  </w:num>
  <w:num w:numId="2">
    <w:abstractNumId w:val="16"/>
  </w:num>
  <w:num w:numId="3">
    <w:abstractNumId w:val="15"/>
  </w:num>
  <w:num w:numId="4">
    <w:abstractNumId w:val="12"/>
  </w:num>
  <w:num w:numId="5">
    <w:abstractNumId w:val="10"/>
  </w:num>
  <w:num w:numId="6">
    <w:abstractNumId w:val="9"/>
  </w:num>
  <w:num w:numId="7">
    <w:abstractNumId w:val="11"/>
  </w:num>
  <w:num w:numId="8">
    <w:abstractNumId w:val="4"/>
  </w:num>
  <w:num w:numId="9">
    <w:abstractNumId w:val="8"/>
  </w:num>
  <w:num w:numId="10">
    <w:abstractNumId w:val="17"/>
  </w:num>
  <w:num w:numId="11">
    <w:abstractNumId w:val="18"/>
  </w:num>
  <w:num w:numId="12">
    <w:abstractNumId w:val="7"/>
  </w:num>
  <w:num w:numId="13">
    <w:abstractNumId w:val="20"/>
  </w:num>
  <w:num w:numId="14">
    <w:abstractNumId w:val="6"/>
  </w:num>
  <w:num w:numId="15">
    <w:abstractNumId w:val="3"/>
  </w:num>
  <w:num w:numId="16">
    <w:abstractNumId w:val="0"/>
  </w:num>
  <w:num w:numId="17">
    <w:abstractNumId w:val="19"/>
  </w:num>
  <w:num w:numId="18">
    <w:abstractNumId w:val="14"/>
  </w:num>
  <w:num w:numId="19">
    <w:abstractNumId w:val="13"/>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DE"/>
    <w:rsid w:val="00035659"/>
    <w:rsid w:val="0003658C"/>
    <w:rsid w:val="000E6BDE"/>
    <w:rsid w:val="00115856"/>
    <w:rsid w:val="00204873"/>
    <w:rsid w:val="002840AD"/>
    <w:rsid w:val="002B563C"/>
    <w:rsid w:val="002D5EE0"/>
    <w:rsid w:val="00482AB0"/>
    <w:rsid w:val="00510617"/>
    <w:rsid w:val="005F4D45"/>
    <w:rsid w:val="006972D8"/>
    <w:rsid w:val="007537D4"/>
    <w:rsid w:val="00782B36"/>
    <w:rsid w:val="008D1D6D"/>
    <w:rsid w:val="008D2BEF"/>
    <w:rsid w:val="008E2E0E"/>
    <w:rsid w:val="009169DF"/>
    <w:rsid w:val="00A84030"/>
    <w:rsid w:val="00DD4D49"/>
    <w:rsid w:val="00E0347A"/>
    <w:rsid w:val="00E05F2D"/>
    <w:rsid w:val="00E55EDE"/>
    <w:rsid w:val="00EA0B1D"/>
    <w:rsid w:val="00EA64F9"/>
    <w:rsid w:val="00EC409E"/>
    <w:rsid w:val="00F929F3"/>
    <w:rsid w:val="00FA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4B2A"/>
  <w15:chartTrackingRefBased/>
  <w15:docId w15:val="{F29E9E18-93B7-4FC8-B532-B399528C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BDE"/>
    <w:pPr>
      <w:spacing w:after="0" w:line="240" w:lineRule="auto"/>
    </w:pPr>
    <w:rPr>
      <w:rFonts w:ascii="Times New Roman" w:eastAsia="Calibri" w:hAnsi="Times New Roman" w:cs="Times New Roman"/>
      <w:sz w:val="20"/>
      <w:szCs w:val="20"/>
      <w:lang w:eastAsia="cs-CZ"/>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link w:val="Nadpis2Char"/>
    <w:unhideWhenUsed/>
    <w:qFormat/>
    <w:rsid w:val="008D1D6D"/>
    <w:pPr>
      <w:overflowPunct w:val="0"/>
      <w:autoSpaceDE w:val="0"/>
      <w:autoSpaceDN w:val="0"/>
      <w:adjustRightInd w:val="0"/>
      <w:spacing w:before="120" w:after="120" w:line="280" w:lineRule="atLeast"/>
      <w:ind w:left="1418" w:hanging="708"/>
      <w:jc w:val="both"/>
      <w:outlineLvl w:val="1"/>
    </w:pPr>
    <w:rPr>
      <w:rFonts w:eastAsia="Times New Roman"/>
      <w:sz w:val="24"/>
      <w:lang w:val="x-none" w:eastAsia="x-none"/>
    </w:rPr>
  </w:style>
  <w:style w:type="paragraph" w:styleId="Nadpis4">
    <w:name w:val="heading 4"/>
    <w:basedOn w:val="Normln"/>
    <w:next w:val="Normln"/>
    <w:link w:val="Nadpis4Char"/>
    <w:uiPriority w:val="9"/>
    <w:semiHidden/>
    <w:unhideWhenUsed/>
    <w:qFormat/>
    <w:rsid w:val="008D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8D1D6D"/>
    <w:rPr>
      <w:rFonts w:ascii="Times New Roman" w:eastAsia="Times New Roman" w:hAnsi="Times New Roman" w:cs="Times New Roman"/>
      <w:sz w:val="24"/>
      <w:szCs w:val="20"/>
      <w:lang w:val="x-none" w:eastAsia="x-none"/>
    </w:rPr>
  </w:style>
  <w:style w:type="paragraph" w:styleId="Normlnweb">
    <w:name w:val="Normal (Web)"/>
    <w:basedOn w:val="Normln"/>
    <w:unhideWhenUsed/>
    <w:rsid w:val="008D1D6D"/>
    <w:pPr>
      <w:spacing w:before="100" w:beforeAutospacing="1" w:after="100" w:afterAutospacing="1"/>
    </w:pPr>
    <w:rPr>
      <w:rFonts w:eastAsia="Times New Roman"/>
      <w:sz w:val="24"/>
      <w:szCs w:val="24"/>
    </w:rPr>
  </w:style>
  <w:style w:type="paragraph" w:customStyle="1" w:styleId="Ploha">
    <w:name w:val="Příloha"/>
    <w:basedOn w:val="Normln"/>
    <w:uiPriority w:val="99"/>
    <w:rsid w:val="008D1D6D"/>
    <w:pPr>
      <w:spacing w:before="120" w:line="280" w:lineRule="atLeast"/>
      <w:jc w:val="center"/>
    </w:pPr>
    <w:rPr>
      <w:rFonts w:eastAsia="Times New Roman"/>
      <w:b/>
      <w:sz w:val="36"/>
    </w:rPr>
  </w:style>
  <w:style w:type="character" w:styleId="Odkaznakoment">
    <w:name w:val="annotation reference"/>
    <w:uiPriority w:val="99"/>
    <w:semiHidden/>
    <w:unhideWhenUsed/>
    <w:rsid w:val="008D1D6D"/>
    <w:rPr>
      <w:sz w:val="16"/>
      <w:szCs w:val="16"/>
    </w:rPr>
  </w:style>
  <w:style w:type="paragraph" w:styleId="Textkomente">
    <w:name w:val="annotation text"/>
    <w:basedOn w:val="Normln"/>
    <w:link w:val="TextkomenteChar"/>
    <w:uiPriority w:val="99"/>
    <w:unhideWhenUsed/>
    <w:rsid w:val="008D1D6D"/>
    <w:pPr>
      <w:overflowPunct w:val="0"/>
      <w:autoSpaceDE w:val="0"/>
      <w:autoSpaceDN w:val="0"/>
      <w:adjustRightInd w:val="0"/>
      <w:spacing w:before="120"/>
      <w:jc w:val="both"/>
    </w:pPr>
    <w:rPr>
      <w:rFonts w:eastAsia="Times New Roman"/>
      <w:lang w:val="x-none" w:eastAsia="x-none"/>
    </w:rPr>
  </w:style>
  <w:style w:type="character" w:customStyle="1" w:styleId="TextkomenteChar">
    <w:name w:val="Text komentáře Char"/>
    <w:basedOn w:val="Standardnpsmoodstavce"/>
    <w:link w:val="Textkomente"/>
    <w:uiPriority w:val="99"/>
    <w:rsid w:val="008D1D6D"/>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8D1D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D6D"/>
    <w:rPr>
      <w:rFonts w:ascii="Segoe UI" w:eastAsia="Calibri" w:hAnsi="Segoe UI" w:cs="Segoe UI"/>
      <w:sz w:val="18"/>
      <w:szCs w:val="18"/>
      <w:lang w:eastAsia="cs-CZ"/>
    </w:rPr>
  </w:style>
  <w:style w:type="character" w:customStyle="1" w:styleId="Nadpis4Char">
    <w:name w:val="Nadpis 4 Char"/>
    <w:basedOn w:val="Standardnpsmoodstavce"/>
    <w:link w:val="Nadpis4"/>
    <w:uiPriority w:val="9"/>
    <w:semiHidden/>
    <w:rsid w:val="008D1D6D"/>
    <w:rPr>
      <w:rFonts w:asciiTheme="majorHAnsi" w:eastAsiaTheme="majorEastAsia" w:hAnsiTheme="majorHAnsi" w:cstheme="majorBidi"/>
      <w:i/>
      <w:iCs/>
      <w:color w:val="2E74B5" w:themeColor="accent1" w:themeShade="BF"/>
      <w:sz w:val="20"/>
      <w:szCs w:val="20"/>
      <w:lang w:eastAsia="cs-CZ"/>
    </w:rPr>
  </w:style>
  <w:style w:type="table" w:styleId="Mkatabulky">
    <w:name w:val="Table Grid"/>
    <w:basedOn w:val="Normlntabulka"/>
    <w:uiPriority w:val="99"/>
    <w:rsid w:val="008D1D6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D1D6D"/>
    <w:rPr>
      <w:color w:val="0563C1" w:themeColor="hyperlink"/>
      <w:u w:val="single"/>
    </w:rPr>
  </w:style>
  <w:style w:type="paragraph" w:styleId="Pedmtkomente">
    <w:name w:val="annotation subject"/>
    <w:basedOn w:val="Textkomente"/>
    <w:next w:val="Textkomente"/>
    <w:link w:val="PedmtkomenteChar"/>
    <w:uiPriority w:val="99"/>
    <w:semiHidden/>
    <w:unhideWhenUsed/>
    <w:rsid w:val="009169DF"/>
    <w:pPr>
      <w:overflowPunct/>
      <w:autoSpaceDE/>
      <w:autoSpaceDN/>
      <w:adjustRightInd/>
      <w:spacing w:before="0"/>
      <w:jc w:val="left"/>
    </w:pPr>
    <w:rPr>
      <w:rFonts w:eastAsia="Calibri"/>
      <w:b/>
      <w:bCs/>
      <w:lang w:val="cs-CZ" w:eastAsia="cs-CZ"/>
    </w:rPr>
  </w:style>
  <w:style w:type="character" w:customStyle="1" w:styleId="PedmtkomenteChar">
    <w:name w:val="Předmět komentáře Char"/>
    <w:basedOn w:val="TextkomenteChar"/>
    <w:link w:val="Pedmtkomente"/>
    <w:uiPriority w:val="99"/>
    <w:semiHidden/>
    <w:rsid w:val="009169DF"/>
    <w:rPr>
      <w:rFonts w:ascii="Times New Roman" w:eastAsia="Calibri" w:hAnsi="Times New Roman" w:cs="Times New Roman"/>
      <w:b/>
      <w:bCs/>
      <w:sz w:val="20"/>
      <w:szCs w:val="20"/>
      <w:lang w:val="x-none" w:eastAsia="cs-CZ"/>
    </w:rPr>
  </w:style>
  <w:style w:type="paragraph" w:styleId="Odstavecseseznamem">
    <w:name w:val="List Paragraph"/>
    <w:basedOn w:val="Normln"/>
    <w:uiPriority w:val="34"/>
    <w:qFormat/>
    <w:rsid w:val="00A8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AFF114502334438660C119FD58F413" ma:contentTypeVersion="11" ma:contentTypeDescription="Vytvoří nový dokument" ma:contentTypeScope="" ma:versionID="ea56c6d3bb487f0651fcac014299a0a9">
  <xsd:schema xmlns:xsd="http://www.w3.org/2001/XMLSchema" xmlns:xs="http://www.w3.org/2001/XMLSchema" xmlns:p="http://schemas.microsoft.com/office/2006/metadata/properties" xmlns:ns3="ff39a7be-5ecf-415a-81a6-4c27c03a1da8" targetNamespace="http://schemas.microsoft.com/office/2006/metadata/properties" ma:root="true" ma:fieldsID="42ad04b6b2119ca9dfa41775909aeb16" ns3:_="">
    <xsd:import namespace="ff39a7be-5ecf-415a-81a6-4c27c03a1d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DateTaken"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a7be-5ecf-415a-81a6-4c27c03a1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E53C7-3A7C-4915-850F-E484DE65B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83ACE-A52B-45AA-AE12-DAB889C8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a7be-5ecf-415a-81a6-4c27c03a1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D170C-07D0-47A9-9B46-122C4D710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3532</Words>
  <Characters>20840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Zdeněk</dc:creator>
  <cp:keywords/>
  <dc:description/>
  <cp:lastModifiedBy>Lancevská Marina</cp:lastModifiedBy>
  <cp:revision>2</cp:revision>
  <dcterms:created xsi:type="dcterms:W3CDTF">2021-10-14T11:29:00Z</dcterms:created>
  <dcterms:modified xsi:type="dcterms:W3CDTF">2021-10-14T11:29:00Z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0x0101009FAFF114502334438660C119FD58F413</vt:lpwstr>
  </property>
</Properties>
</file>