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07172" w14:textId="125C3FAD" w:rsidR="00A123CE" w:rsidRPr="009F3DC9" w:rsidRDefault="00A123CE" w:rsidP="00A123CE">
      <w:pPr>
        <w:pStyle w:val="Nzev"/>
        <w:jc w:val="left"/>
        <w:rPr>
          <w:rFonts w:ascii="Cambria" w:hAnsi="Cambria"/>
          <w:sz w:val="36"/>
          <w:szCs w:val="36"/>
        </w:rPr>
      </w:pPr>
      <w:r w:rsidRPr="009F3DC9">
        <w:rPr>
          <w:rFonts w:ascii="Cambria" w:hAnsi="Cambria"/>
          <w:sz w:val="36"/>
          <w:szCs w:val="36"/>
        </w:rPr>
        <w:t>Požadavky služby datových center</w:t>
      </w:r>
    </w:p>
    <w:p w14:paraId="6B8866F6" w14:textId="076CB9ED" w:rsidR="00A123CE" w:rsidRPr="009F3DC9" w:rsidRDefault="00A123CE" w:rsidP="00A123CE">
      <w:pPr>
        <w:pStyle w:val="Nadpis2"/>
        <w:spacing w:line="480" w:lineRule="auto"/>
        <w:rPr>
          <w:rFonts w:ascii="Times New Roman" w:hAnsi="Times New Roman" w:cs="Times New Roman"/>
          <w:color w:val="1F3864" w:themeColor="accent1" w:themeShade="80"/>
        </w:rPr>
      </w:pPr>
      <w:bookmarkStart w:id="0" w:name="_Toc36042706"/>
      <w:r w:rsidRPr="009F3DC9">
        <w:rPr>
          <w:rFonts w:ascii="Times New Roman" w:hAnsi="Times New Roman" w:cs="Times New Roman"/>
          <w:color w:val="1F3864" w:themeColor="accent1" w:themeShade="80"/>
        </w:rPr>
        <w:t>Zajištění služeb hostingových center, základní požadavky na DC</w:t>
      </w:r>
      <w:bookmarkEnd w:id="0"/>
    </w:p>
    <w:p w14:paraId="6AE2CC06" w14:textId="6EBE23D5" w:rsidR="00A123CE" w:rsidRPr="009F3DC9" w:rsidRDefault="00CB3046" w:rsidP="00A123CE">
      <w:pPr>
        <w:spacing w:line="240" w:lineRule="auto"/>
        <w:jc w:val="both"/>
        <w:rPr>
          <w:rFonts w:ascii="Times New Roman" w:hAnsi="Times New Roman" w:cs="Times New Roman"/>
        </w:rPr>
      </w:pPr>
      <w:r w:rsidRPr="009F3DC9">
        <w:rPr>
          <w:rFonts w:ascii="Times New Roman" w:hAnsi="Times New Roman" w:cs="Times New Roman"/>
        </w:rPr>
        <w:t>T</w:t>
      </w:r>
      <w:r w:rsidR="00A123CE" w:rsidRPr="009F3DC9">
        <w:rPr>
          <w:rFonts w:ascii="Times New Roman" w:hAnsi="Times New Roman" w:cs="Times New Roman"/>
        </w:rPr>
        <w:t>echnologi</w:t>
      </w:r>
      <w:r w:rsidRPr="009F3DC9">
        <w:rPr>
          <w:rFonts w:ascii="Times New Roman" w:hAnsi="Times New Roman" w:cs="Times New Roman"/>
        </w:rPr>
        <w:t>e</w:t>
      </w:r>
      <w:r w:rsidR="00A123CE" w:rsidRPr="009F3DC9">
        <w:rPr>
          <w:rFonts w:ascii="Times New Roman" w:hAnsi="Times New Roman" w:cs="Times New Roman"/>
        </w:rPr>
        <w:t xml:space="preserve"> ISDS, </w:t>
      </w:r>
      <w:r w:rsidRPr="009F3DC9">
        <w:rPr>
          <w:rFonts w:ascii="Times New Roman" w:hAnsi="Times New Roman" w:cs="Times New Roman"/>
        </w:rPr>
        <w:t>které budou zajišťovat provoz</w:t>
      </w:r>
      <w:r w:rsidR="00A123CE" w:rsidRPr="009F3DC9">
        <w:rPr>
          <w:rFonts w:ascii="Times New Roman" w:hAnsi="Times New Roman" w:cs="Times New Roman"/>
        </w:rPr>
        <w:t xml:space="preserve"> </w:t>
      </w:r>
      <w:r w:rsidRPr="009F3DC9">
        <w:rPr>
          <w:rFonts w:ascii="Times New Roman" w:hAnsi="Times New Roman" w:cs="Times New Roman"/>
        </w:rPr>
        <w:t xml:space="preserve">následujících instancí </w:t>
      </w:r>
      <w:r w:rsidR="00A123CE" w:rsidRPr="009F3DC9">
        <w:rPr>
          <w:rFonts w:ascii="Times New Roman" w:hAnsi="Times New Roman" w:cs="Times New Roman"/>
        </w:rPr>
        <w:t xml:space="preserve">ISDS </w:t>
      </w:r>
      <w:r w:rsidRPr="009F3DC9">
        <w:rPr>
          <w:rFonts w:ascii="Times New Roman" w:hAnsi="Times New Roman" w:cs="Times New Roman"/>
        </w:rPr>
        <w:t>- produkční</w:t>
      </w:r>
      <w:r w:rsidR="00A123CE" w:rsidRPr="009F3DC9">
        <w:rPr>
          <w:rFonts w:ascii="Times New Roman" w:hAnsi="Times New Roman" w:cs="Times New Roman"/>
        </w:rPr>
        <w:t xml:space="preserve">, </w:t>
      </w:r>
      <w:proofErr w:type="spellStart"/>
      <w:r w:rsidRPr="009F3DC9">
        <w:rPr>
          <w:rFonts w:ascii="Times New Roman" w:hAnsi="Times New Roman" w:cs="Times New Roman"/>
        </w:rPr>
        <w:t>předprodukční</w:t>
      </w:r>
      <w:proofErr w:type="spellEnd"/>
      <w:r w:rsidR="00A123CE" w:rsidRPr="009F3DC9">
        <w:rPr>
          <w:rFonts w:ascii="Times New Roman" w:hAnsi="Times New Roman" w:cs="Times New Roman"/>
        </w:rPr>
        <w:t>, veřejný test</w:t>
      </w:r>
      <w:r w:rsidR="00AF475E" w:rsidRPr="009F3DC9">
        <w:rPr>
          <w:rFonts w:ascii="Times New Roman" w:hAnsi="Times New Roman" w:cs="Times New Roman"/>
        </w:rPr>
        <w:t>.</w:t>
      </w:r>
      <w:r w:rsidR="00431009" w:rsidRPr="009F3DC9">
        <w:rPr>
          <w:rFonts w:ascii="Times New Roman" w:hAnsi="Times New Roman" w:cs="Times New Roman"/>
        </w:rPr>
        <w:t xml:space="preserve"> </w:t>
      </w:r>
      <w:r w:rsidR="00AF475E" w:rsidRPr="009F3DC9">
        <w:rPr>
          <w:rFonts w:ascii="Times New Roman" w:hAnsi="Times New Roman" w:cs="Times New Roman"/>
        </w:rPr>
        <w:t xml:space="preserve">Produkční prostředí </w:t>
      </w:r>
      <w:r w:rsidR="00431009" w:rsidRPr="009F3DC9">
        <w:rPr>
          <w:rFonts w:ascii="Times New Roman" w:hAnsi="Times New Roman" w:cs="Times New Roman"/>
        </w:rPr>
        <w:t>musí být umístěn</w:t>
      </w:r>
      <w:r w:rsidR="00AF475E" w:rsidRPr="009F3DC9">
        <w:rPr>
          <w:rFonts w:ascii="Times New Roman" w:hAnsi="Times New Roman" w:cs="Times New Roman"/>
        </w:rPr>
        <w:t>o</w:t>
      </w:r>
      <w:r w:rsidR="00431009" w:rsidRPr="009F3DC9">
        <w:rPr>
          <w:rFonts w:ascii="Times New Roman" w:hAnsi="Times New Roman" w:cs="Times New Roman"/>
        </w:rPr>
        <w:t xml:space="preserve"> ve  dvou samostatných, navzájem propojených a geograficky nezávislých datových centrech. Součástí služeb datových center je i zajištění a provoz připojení </w:t>
      </w:r>
      <w:r w:rsidR="00A123CE" w:rsidRPr="009F3DC9">
        <w:rPr>
          <w:rFonts w:ascii="Times New Roman" w:hAnsi="Times New Roman" w:cs="Times New Roman"/>
        </w:rPr>
        <w:t>k internetu</w:t>
      </w:r>
      <w:r w:rsidR="00431009" w:rsidRPr="009F3DC9">
        <w:rPr>
          <w:rFonts w:ascii="Times New Roman" w:hAnsi="Times New Roman" w:cs="Times New Roman"/>
        </w:rPr>
        <w:t>,</w:t>
      </w:r>
      <w:r w:rsidR="00A123CE" w:rsidRPr="009F3DC9">
        <w:rPr>
          <w:rFonts w:ascii="Times New Roman" w:hAnsi="Times New Roman" w:cs="Times New Roman"/>
        </w:rPr>
        <w:t xml:space="preserve"> do CMS</w:t>
      </w:r>
      <w:r w:rsidR="00431009" w:rsidRPr="009F3DC9">
        <w:rPr>
          <w:rFonts w:ascii="Times New Roman" w:hAnsi="Times New Roman" w:cs="Times New Roman"/>
        </w:rPr>
        <w:t xml:space="preserve"> a k TSA.</w:t>
      </w:r>
      <w:r w:rsidR="00A123CE" w:rsidRPr="009F3DC9">
        <w:rPr>
          <w:rFonts w:ascii="Times New Roman" w:hAnsi="Times New Roman" w:cs="Times New Roman"/>
        </w:rPr>
        <w:t xml:space="preserve"> </w:t>
      </w:r>
      <w:r w:rsidR="009F3DC9">
        <w:rPr>
          <w:rFonts w:ascii="Times New Roman" w:hAnsi="Times New Roman" w:cs="Times New Roman"/>
        </w:rPr>
        <w:t>Datová centra</w:t>
      </w:r>
      <w:r w:rsidR="00431009" w:rsidRPr="009F3DC9">
        <w:rPr>
          <w:rFonts w:ascii="Times New Roman" w:hAnsi="Times New Roman" w:cs="Times New Roman"/>
        </w:rPr>
        <w:t xml:space="preserve"> musí</w:t>
      </w:r>
      <w:r w:rsidR="00A123CE" w:rsidRPr="009F3DC9">
        <w:rPr>
          <w:rFonts w:ascii="Times New Roman" w:hAnsi="Times New Roman" w:cs="Times New Roman"/>
        </w:rPr>
        <w:t xml:space="preserve"> splňovat všechny provozní a bezpečnostní parametry</w:t>
      </w:r>
      <w:r w:rsidR="00431009" w:rsidRPr="009F3DC9">
        <w:rPr>
          <w:rFonts w:ascii="Times New Roman" w:hAnsi="Times New Roman" w:cs="Times New Roman"/>
        </w:rPr>
        <w:t xml:space="preserve"> a</w:t>
      </w:r>
      <w:r w:rsidR="00A123CE" w:rsidRPr="009F3DC9">
        <w:rPr>
          <w:rFonts w:ascii="Times New Roman" w:hAnsi="Times New Roman" w:cs="Times New Roman"/>
        </w:rPr>
        <w:t xml:space="preserve"> mít platnou certifikaci </w:t>
      </w:r>
      <w:proofErr w:type="spellStart"/>
      <w:r w:rsidR="00A123CE" w:rsidRPr="009F3DC9">
        <w:rPr>
          <w:rFonts w:ascii="Times New Roman" w:hAnsi="Times New Roman" w:cs="Times New Roman"/>
        </w:rPr>
        <w:t>Tier</w:t>
      </w:r>
      <w:proofErr w:type="spellEnd"/>
      <w:r w:rsidR="00A123CE" w:rsidRPr="009F3DC9">
        <w:rPr>
          <w:rFonts w:ascii="Times New Roman" w:hAnsi="Times New Roman" w:cs="Times New Roman"/>
        </w:rPr>
        <w:t xml:space="preserve"> III</w:t>
      </w:r>
      <w:r w:rsidR="00B17A19" w:rsidRPr="009F3DC9">
        <w:rPr>
          <w:rFonts w:ascii="Times New Roman" w:hAnsi="Times New Roman" w:cs="Times New Roman"/>
        </w:rPr>
        <w:t xml:space="preserve"> nebo doložit auditní </w:t>
      </w:r>
      <w:r w:rsidR="002A663A" w:rsidRPr="009F3DC9">
        <w:rPr>
          <w:rFonts w:ascii="Times New Roman" w:hAnsi="Times New Roman" w:cs="Times New Roman"/>
        </w:rPr>
        <w:t>zprávou a čestným</w:t>
      </w:r>
      <w:r w:rsidR="00B17A19" w:rsidRPr="009F3DC9">
        <w:rPr>
          <w:rFonts w:ascii="Times New Roman" w:hAnsi="Times New Roman" w:cs="Times New Roman"/>
        </w:rPr>
        <w:t xml:space="preserve"> prohlášením</w:t>
      </w:r>
      <w:r w:rsidR="002A663A" w:rsidRPr="009F3DC9">
        <w:rPr>
          <w:rFonts w:ascii="Times New Roman" w:hAnsi="Times New Roman" w:cs="Times New Roman"/>
        </w:rPr>
        <w:t xml:space="preserve"> soulad s požadavky na certifikaci </w:t>
      </w:r>
      <w:proofErr w:type="spellStart"/>
      <w:r w:rsidR="002A663A" w:rsidRPr="009F3DC9">
        <w:rPr>
          <w:rFonts w:ascii="Times New Roman" w:hAnsi="Times New Roman" w:cs="Times New Roman"/>
        </w:rPr>
        <w:t>Tier</w:t>
      </w:r>
      <w:proofErr w:type="spellEnd"/>
      <w:r w:rsidR="002A663A" w:rsidRPr="009F3DC9">
        <w:rPr>
          <w:rFonts w:ascii="Times New Roman" w:hAnsi="Times New Roman" w:cs="Times New Roman"/>
        </w:rPr>
        <w:t xml:space="preserve"> III.</w:t>
      </w:r>
    </w:p>
    <w:p w14:paraId="040EB58B" w14:textId="11E22023" w:rsidR="006369FA" w:rsidRPr="009F3DC9" w:rsidRDefault="00A123CE" w:rsidP="00A123CE">
      <w:pPr>
        <w:spacing w:line="240" w:lineRule="auto"/>
        <w:jc w:val="both"/>
        <w:rPr>
          <w:rFonts w:ascii="Times New Roman" w:hAnsi="Times New Roman" w:cs="Times New Roman"/>
        </w:rPr>
      </w:pPr>
      <w:r w:rsidRPr="009F3DC9">
        <w:rPr>
          <w:rFonts w:ascii="Times New Roman" w:hAnsi="Times New Roman" w:cs="Times New Roman"/>
        </w:rPr>
        <w:t>Vývojové a interní testovací prostředí ISDS (dále VITP) bude hostováno v</w:t>
      </w:r>
      <w:r w:rsidR="00451085" w:rsidRPr="009F3DC9">
        <w:rPr>
          <w:rFonts w:ascii="Times New Roman" w:hAnsi="Times New Roman" w:cs="Times New Roman"/>
        </w:rPr>
        <w:t> </w:t>
      </w:r>
      <w:r w:rsidRPr="009F3DC9">
        <w:rPr>
          <w:rFonts w:ascii="Times New Roman" w:hAnsi="Times New Roman" w:cs="Times New Roman"/>
        </w:rPr>
        <w:t>DC</w:t>
      </w:r>
      <w:r w:rsidR="00451085" w:rsidRPr="009F3DC9">
        <w:rPr>
          <w:rFonts w:ascii="Times New Roman" w:hAnsi="Times New Roman" w:cs="Times New Roman"/>
        </w:rPr>
        <w:t xml:space="preserve"> České pošty</w:t>
      </w:r>
      <w:r w:rsidR="009F3DC9">
        <w:rPr>
          <w:rFonts w:ascii="Times New Roman" w:hAnsi="Times New Roman" w:cs="Times New Roman"/>
        </w:rPr>
        <w:t>.</w:t>
      </w:r>
    </w:p>
    <w:p w14:paraId="0C11E85B" w14:textId="1A1780D9" w:rsidR="00A123CE" w:rsidRPr="009F3DC9" w:rsidRDefault="00A123CE" w:rsidP="006369FA">
      <w:pPr>
        <w:pStyle w:val="Nadpis3"/>
        <w:rPr>
          <w:rFonts w:ascii="Times New Roman" w:hAnsi="Times New Roman" w:cs="Times New Roman"/>
          <w:b/>
        </w:rPr>
      </w:pPr>
      <w:bookmarkStart w:id="1" w:name="_Toc36042707"/>
      <w:r w:rsidRPr="009F3DC9">
        <w:rPr>
          <w:rFonts w:ascii="Times New Roman" w:hAnsi="Times New Roman" w:cs="Times New Roman"/>
          <w:b/>
        </w:rPr>
        <w:t>Politika fyzické bezpečnosti externích hostingových center</w:t>
      </w:r>
      <w:bookmarkEnd w:id="1"/>
    </w:p>
    <w:p w14:paraId="260BB3BE" w14:textId="263A09E4" w:rsidR="00A123CE" w:rsidRPr="009F3DC9" w:rsidRDefault="00A123CE" w:rsidP="00A123CE">
      <w:pPr>
        <w:spacing w:line="240" w:lineRule="auto"/>
        <w:rPr>
          <w:rFonts w:ascii="Times New Roman" w:hAnsi="Times New Roman" w:cs="Times New Roman"/>
        </w:rPr>
      </w:pPr>
      <w:r w:rsidRPr="009F3DC9">
        <w:rPr>
          <w:rFonts w:ascii="Times New Roman" w:hAnsi="Times New Roman" w:cs="Times New Roman"/>
        </w:rPr>
        <w:t>Politika fyzické bezpečnosti je sestavena ve struktuře doporučené v [V</w:t>
      </w:r>
      <w:r w:rsidR="00431009" w:rsidRPr="009F3DC9">
        <w:rPr>
          <w:rFonts w:ascii="Times New Roman" w:hAnsi="Times New Roman" w:cs="Times New Roman"/>
        </w:rPr>
        <w:t xml:space="preserve">yhláška č. </w:t>
      </w:r>
      <w:r w:rsidRPr="009F3DC9">
        <w:rPr>
          <w:rFonts w:ascii="Times New Roman" w:hAnsi="Times New Roman" w:cs="Times New Roman"/>
        </w:rPr>
        <w:t>82/2018; Příloha 5, odst. 1.15].</w:t>
      </w:r>
    </w:p>
    <w:p w14:paraId="29FB3AD8" w14:textId="77777777" w:rsidR="00A123CE" w:rsidRPr="009F3DC9" w:rsidRDefault="00A123CE" w:rsidP="00A123CE">
      <w:pPr>
        <w:pStyle w:val="Odstavecseseznamem"/>
        <w:ind w:left="1080"/>
      </w:pPr>
    </w:p>
    <w:p w14:paraId="260D3A80" w14:textId="77777777" w:rsidR="00A123CE" w:rsidRPr="009F3DC9" w:rsidRDefault="00A123CE" w:rsidP="00A123CE">
      <w:pPr>
        <w:pStyle w:val="Odstavecseseznamem"/>
        <w:numPr>
          <w:ilvl w:val="0"/>
          <w:numId w:val="2"/>
        </w:numPr>
        <w:ind w:left="709" w:hanging="283"/>
        <w:rPr>
          <w:b/>
          <w:i/>
        </w:rPr>
      </w:pPr>
      <w:r w:rsidRPr="009F3DC9">
        <w:rPr>
          <w:b/>
          <w:i/>
        </w:rPr>
        <w:t>Pravidla pro ochranu objektů</w:t>
      </w:r>
    </w:p>
    <w:p w14:paraId="648A05A8" w14:textId="77777777" w:rsidR="00A123CE" w:rsidRPr="009F3DC9" w:rsidRDefault="00A123CE" w:rsidP="00A123CE">
      <w:pPr>
        <w:pStyle w:val="Odstavecseseznamem"/>
        <w:ind w:left="1440"/>
      </w:pPr>
    </w:p>
    <w:p w14:paraId="1E07F0F9" w14:textId="77777777" w:rsidR="00A123CE" w:rsidRPr="009F3DC9" w:rsidRDefault="00A123CE" w:rsidP="00A123CE">
      <w:pPr>
        <w:pStyle w:val="Odstavecseseznamem"/>
        <w:numPr>
          <w:ilvl w:val="0"/>
          <w:numId w:val="3"/>
        </w:numPr>
      </w:pPr>
      <w:r w:rsidRPr="009F3DC9">
        <w:t>Výpočetní prostředky ISDS nesmí být umístěny v prostorech a lokalitách ohrožených záplavami nebo povodněmi.</w:t>
      </w:r>
    </w:p>
    <w:p w14:paraId="31B44C5C" w14:textId="77777777" w:rsidR="00A123CE" w:rsidRPr="009F3DC9" w:rsidRDefault="00A123CE" w:rsidP="00A123CE">
      <w:pPr>
        <w:pStyle w:val="Odstavecseseznamem"/>
        <w:numPr>
          <w:ilvl w:val="0"/>
          <w:numId w:val="3"/>
        </w:numPr>
      </w:pPr>
      <w:r w:rsidRPr="009F3DC9">
        <w:t>Výpočetní prostředky musí být umístěny v prostoru vyhrazeném pouze pro výpočetní prostředky ISDS, např. v samostatné místnosti, kóji nebo skříni.</w:t>
      </w:r>
    </w:p>
    <w:p w14:paraId="6CE23F55" w14:textId="77777777" w:rsidR="00A123CE" w:rsidRPr="009F3DC9" w:rsidRDefault="00A123CE" w:rsidP="00A123CE">
      <w:pPr>
        <w:pStyle w:val="Odstavecseseznamem"/>
        <w:numPr>
          <w:ilvl w:val="0"/>
          <w:numId w:val="3"/>
        </w:numPr>
      </w:pPr>
      <w:r w:rsidRPr="009F3DC9">
        <w:t>Fyzický přístup do vyhrazeného prostoru musí být chráněn proti neautorizovanému přístupu uzamčením vstupů a průlezů nebo signalizací s napojením na pult centrální ochrany hostingového centra.</w:t>
      </w:r>
    </w:p>
    <w:p w14:paraId="3EA49EE2" w14:textId="77777777" w:rsidR="00A123CE" w:rsidRPr="009F3DC9" w:rsidRDefault="00A123CE" w:rsidP="00A123CE">
      <w:pPr>
        <w:pStyle w:val="Odstavecseseznamem"/>
        <w:numPr>
          <w:ilvl w:val="0"/>
          <w:numId w:val="3"/>
        </w:numPr>
      </w:pPr>
      <w:r w:rsidRPr="009F3DC9">
        <w:t>Vyhrazený prostor a jeho vstupy nesmí být označeny jinak, než je obvyklé u sousedících prostorů.</w:t>
      </w:r>
    </w:p>
    <w:p w14:paraId="4C701972" w14:textId="77777777" w:rsidR="00A123CE" w:rsidRPr="009F3DC9" w:rsidRDefault="00A123CE" w:rsidP="00A123CE">
      <w:pPr>
        <w:pStyle w:val="Odstavecseseznamem"/>
        <w:numPr>
          <w:ilvl w:val="0"/>
          <w:numId w:val="3"/>
        </w:numPr>
      </w:pPr>
      <w:r w:rsidRPr="009F3DC9">
        <w:t>Skla oken do místnosti/vyhrazeného prostoru musí být opatřena neprůhledným nátěrem nebo folií z vnitřní strany.</w:t>
      </w:r>
    </w:p>
    <w:p w14:paraId="038CFFFC" w14:textId="77777777" w:rsidR="00A123CE" w:rsidRPr="009F3DC9" w:rsidRDefault="00A123CE" w:rsidP="00A123CE">
      <w:pPr>
        <w:pStyle w:val="Odstavecseseznamem"/>
        <w:numPr>
          <w:ilvl w:val="0"/>
          <w:numId w:val="3"/>
        </w:numPr>
      </w:pPr>
      <w:r w:rsidRPr="009F3DC9">
        <w:t>Dveře do objektu musí být s protipožární odolností nejméně 30 minut, zárubně pevně zasazené s betonovou výplní se závěsy z vnitřní strany objektu.</w:t>
      </w:r>
    </w:p>
    <w:p w14:paraId="53452AA8" w14:textId="77777777" w:rsidR="00A123CE" w:rsidRPr="009F3DC9" w:rsidRDefault="00A123CE" w:rsidP="00A123CE">
      <w:pPr>
        <w:pStyle w:val="Odstavecseseznamem"/>
        <w:numPr>
          <w:ilvl w:val="0"/>
          <w:numId w:val="3"/>
        </w:numPr>
      </w:pPr>
      <w:r w:rsidRPr="009F3DC9">
        <w:t>Okna objektu musí být zasazena do pevných rámů a musí být zajištěna venkovní nebo vnitřní mříží.</w:t>
      </w:r>
    </w:p>
    <w:p w14:paraId="1F824D25" w14:textId="77777777" w:rsidR="00A123CE" w:rsidRPr="009F3DC9" w:rsidRDefault="00A123CE" w:rsidP="00A123CE">
      <w:pPr>
        <w:pStyle w:val="Odstavecseseznamem"/>
        <w:numPr>
          <w:ilvl w:val="0"/>
          <w:numId w:val="3"/>
        </w:numPr>
      </w:pPr>
      <w:r w:rsidRPr="009F3DC9">
        <w:t>Ostatní vstupy a průlezy do objektu (včetně klimatizace) musí být vyzděny na plnou šířku zdi nebo zajištěny stejně jako okna (mřížemi, čidly).</w:t>
      </w:r>
    </w:p>
    <w:p w14:paraId="64D63D4F" w14:textId="77777777" w:rsidR="00A123CE" w:rsidRPr="009F3DC9" w:rsidRDefault="00A123CE" w:rsidP="00A123CE">
      <w:pPr>
        <w:pStyle w:val="Odstavecseseznamem"/>
        <w:ind w:left="993"/>
      </w:pPr>
    </w:p>
    <w:p w14:paraId="09FAFABC" w14:textId="77777777" w:rsidR="00A123CE" w:rsidRPr="009F3DC9" w:rsidRDefault="00A123CE" w:rsidP="00A123CE">
      <w:pPr>
        <w:pStyle w:val="Odstavecseseznamem"/>
        <w:numPr>
          <w:ilvl w:val="0"/>
          <w:numId w:val="2"/>
        </w:numPr>
        <w:spacing w:line="360" w:lineRule="auto"/>
        <w:ind w:left="709" w:hanging="283"/>
        <w:rPr>
          <w:b/>
          <w:i/>
        </w:rPr>
      </w:pPr>
      <w:r w:rsidRPr="009F3DC9">
        <w:rPr>
          <w:b/>
          <w:i/>
        </w:rPr>
        <w:t>Pravidla pro kontrolu vstupu osob</w:t>
      </w:r>
    </w:p>
    <w:p w14:paraId="7C71BB83" w14:textId="77777777" w:rsidR="00A123CE" w:rsidRPr="009F3DC9" w:rsidRDefault="00A123CE" w:rsidP="00A123CE">
      <w:pPr>
        <w:pStyle w:val="Odstavecseseznamem"/>
        <w:numPr>
          <w:ilvl w:val="0"/>
          <w:numId w:val="8"/>
        </w:numPr>
      </w:pPr>
      <w:r w:rsidRPr="009F3DC9">
        <w:t>Pro prostory, ve kterých jsou umístěny výpočetní prostředky ISDS, musí být zavedena pravidla pro kontrolu vstupu:</w:t>
      </w:r>
    </w:p>
    <w:p w14:paraId="323379CA" w14:textId="77777777" w:rsidR="00A123CE" w:rsidRPr="009F3DC9" w:rsidRDefault="00A123CE" w:rsidP="00A123CE">
      <w:pPr>
        <w:pStyle w:val="Odstavecseseznamem"/>
        <w:numPr>
          <w:ilvl w:val="0"/>
          <w:numId w:val="9"/>
        </w:numPr>
      </w:pPr>
      <w:r w:rsidRPr="009F3DC9">
        <w:t>režim kontroly vstupu a výstupu osob,</w:t>
      </w:r>
    </w:p>
    <w:p w14:paraId="7BD4151E" w14:textId="77777777" w:rsidR="00A123CE" w:rsidRPr="009F3DC9" w:rsidRDefault="00A123CE" w:rsidP="00A123CE">
      <w:pPr>
        <w:pStyle w:val="Odstavecseseznamem"/>
        <w:numPr>
          <w:ilvl w:val="0"/>
          <w:numId w:val="9"/>
        </w:numPr>
      </w:pPr>
      <w:r w:rsidRPr="009F3DC9">
        <w:t>podmínky a způsob kontroly pro vynášení aktiv,</w:t>
      </w:r>
    </w:p>
    <w:p w14:paraId="123B1ED5" w14:textId="77777777" w:rsidR="00A123CE" w:rsidRPr="009F3DC9" w:rsidRDefault="00A123CE" w:rsidP="00A123CE">
      <w:pPr>
        <w:pStyle w:val="Odstavecseseznamem"/>
        <w:numPr>
          <w:ilvl w:val="0"/>
          <w:numId w:val="9"/>
        </w:numPr>
      </w:pPr>
      <w:r w:rsidRPr="009F3DC9">
        <w:t>režim manipulace s klíči.</w:t>
      </w:r>
    </w:p>
    <w:p w14:paraId="011A7978" w14:textId="77777777" w:rsidR="00A123CE" w:rsidRPr="009F3DC9" w:rsidRDefault="00A123CE" w:rsidP="00A123CE">
      <w:pPr>
        <w:pStyle w:val="Odstavecseseznamem"/>
        <w:ind w:left="1080"/>
      </w:pPr>
    </w:p>
    <w:p w14:paraId="6FB2AAE3" w14:textId="77777777" w:rsidR="00A123CE" w:rsidRPr="009F3DC9" w:rsidRDefault="00A123CE" w:rsidP="00A123CE">
      <w:pPr>
        <w:pStyle w:val="Odstavecseseznamem"/>
        <w:numPr>
          <w:ilvl w:val="0"/>
          <w:numId w:val="2"/>
        </w:numPr>
        <w:spacing w:line="360" w:lineRule="auto"/>
        <w:ind w:left="709" w:hanging="283"/>
        <w:rPr>
          <w:b/>
          <w:i/>
        </w:rPr>
      </w:pPr>
      <w:r w:rsidRPr="009F3DC9">
        <w:rPr>
          <w:b/>
          <w:i/>
        </w:rPr>
        <w:t>Pravidla pro ochranu zařízení</w:t>
      </w:r>
    </w:p>
    <w:p w14:paraId="3452AC72" w14:textId="77777777" w:rsidR="00A123CE" w:rsidRPr="009F3DC9" w:rsidRDefault="00A123CE" w:rsidP="00A123CE">
      <w:pPr>
        <w:pStyle w:val="Odstavecseseznamem"/>
        <w:numPr>
          <w:ilvl w:val="0"/>
          <w:numId w:val="4"/>
        </w:numPr>
      </w:pPr>
      <w:r w:rsidRPr="009F3DC9">
        <w:t>Objekt musí být vybaven ruční hasicí technikou, dimenzovanou podle zákonných norem.</w:t>
      </w:r>
    </w:p>
    <w:p w14:paraId="62AE58AB" w14:textId="77777777" w:rsidR="00A123CE" w:rsidRPr="009F3DC9" w:rsidRDefault="00A123CE" w:rsidP="00A123CE">
      <w:pPr>
        <w:pStyle w:val="Odstavecseseznamem"/>
        <w:numPr>
          <w:ilvl w:val="0"/>
          <w:numId w:val="4"/>
        </w:numPr>
      </w:pPr>
      <w:r w:rsidRPr="009F3DC9">
        <w:t>V objektu musí být instalována kouřová a teplotní čidla s výstupem signalizace na pracoviště s nepřetržitou obsluhou nebo musí být instalovány automatické hasící prostředky.</w:t>
      </w:r>
    </w:p>
    <w:p w14:paraId="558C8E5B" w14:textId="77777777" w:rsidR="00A123CE" w:rsidRPr="009F3DC9" w:rsidRDefault="00A123CE" w:rsidP="00A123CE">
      <w:pPr>
        <w:pStyle w:val="Odstavecseseznamem"/>
        <w:numPr>
          <w:ilvl w:val="0"/>
          <w:numId w:val="4"/>
        </w:numPr>
      </w:pPr>
      <w:r w:rsidRPr="009F3DC9">
        <w:t>V meziprostoru dvojité podlahy nebo bezprostředně pod volným potrubím a topidly ústředního topení je nutné instalovat čidla vlhkosti tak, aby na každé dva metry volné délky potrubí nebo topidla ústředního topení připadalo jedno čidlo.</w:t>
      </w:r>
    </w:p>
    <w:p w14:paraId="0C3E2B07" w14:textId="77777777" w:rsidR="00A123CE" w:rsidRPr="009F3DC9" w:rsidRDefault="00A123CE" w:rsidP="00A123CE">
      <w:pPr>
        <w:pStyle w:val="Odstavecseseznamem"/>
        <w:numPr>
          <w:ilvl w:val="0"/>
          <w:numId w:val="4"/>
        </w:numPr>
      </w:pPr>
      <w:r w:rsidRPr="009F3DC9">
        <w:lastRenderedPageBreak/>
        <w:t>Přístup k jističům a kabeláži napájení musí být umožněn jen oprávněným osobám.</w:t>
      </w:r>
    </w:p>
    <w:p w14:paraId="48056995" w14:textId="77777777" w:rsidR="00A123CE" w:rsidRPr="009F3DC9" w:rsidRDefault="00A123CE" w:rsidP="00A123CE">
      <w:pPr>
        <w:pStyle w:val="Odstavecseseznamem"/>
        <w:numPr>
          <w:ilvl w:val="0"/>
          <w:numId w:val="4"/>
        </w:numPr>
      </w:pPr>
      <w:r w:rsidRPr="009F3DC9">
        <w:t>Vypínače a jističe musí být zabezpečeny proti náhodnému a neúmyslnému vypnutí.</w:t>
      </w:r>
    </w:p>
    <w:p w14:paraId="12B06242" w14:textId="77777777" w:rsidR="00A123CE" w:rsidRPr="009F3DC9" w:rsidRDefault="00A123CE" w:rsidP="00A123CE">
      <w:pPr>
        <w:pStyle w:val="Odstavecseseznamem"/>
        <w:numPr>
          <w:ilvl w:val="0"/>
          <w:numId w:val="4"/>
        </w:numPr>
      </w:pPr>
      <w:r w:rsidRPr="009F3DC9">
        <w:t>Všechny vypínače a jističe musí být označeny způsobem místně obvyklým (např. "světla", "zásuvky" apod.). Je-li přístup k rozvaděči mimo vyhrazený prostor ISDS, musí být označení prvků významově neutrální.</w:t>
      </w:r>
    </w:p>
    <w:p w14:paraId="13B62B63" w14:textId="77777777" w:rsidR="00A123CE" w:rsidRPr="009F3DC9" w:rsidRDefault="00A123CE" w:rsidP="00A123CE">
      <w:pPr>
        <w:pStyle w:val="Odstavecseseznamem"/>
        <w:numPr>
          <w:ilvl w:val="0"/>
          <w:numId w:val="4"/>
        </w:numPr>
      </w:pPr>
      <w:r w:rsidRPr="009F3DC9">
        <w:t>V místnosti musí být instalováno nouzové osvětlení napojené na nouzový zdroj napájení.</w:t>
      </w:r>
    </w:p>
    <w:p w14:paraId="4EAB2B4A" w14:textId="77777777" w:rsidR="00A123CE" w:rsidRPr="009F3DC9" w:rsidRDefault="00A123CE" w:rsidP="00A123CE">
      <w:pPr>
        <w:pStyle w:val="Odstavecseseznamem"/>
        <w:numPr>
          <w:ilvl w:val="0"/>
          <w:numId w:val="4"/>
        </w:numPr>
      </w:pPr>
      <w:r w:rsidRPr="009F3DC9">
        <w:t>Musí být instalováno centrální zařízení pro nouzové napájení provozních systémů, které musí být v souladu s havarijním plánem a v souladu s časovým harmonogramem aktivace a deaktivace těchto zařízení.</w:t>
      </w:r>
    </w:p>
    <w:p w14:paraId="17A883D0" w14:textId="77777777" w:rsidR="00A123CE" w:rsidRPr="009F3DC9" w:rsidRDefault="00A123CE" w:rsidP="00A123CE">
      <w:pPr>
        <w:pStyle w:val="Odstavecseseznamem"/>
        <w:ind w:left="1080"/>
      </w:pPr>
    </w:p>
    <w:p w14:paraId="36D57271" w14:textId="77777777" w:rsidR="00A123CE" w:rsidRPr="009F3DC9" w:rsidRDefault="00A123CE" w:rsidP="00A123CE">
      <w:pPr>
        <w:pStyle w:val="Odstavecseseznamem"/>
        <w:numPr>
          <w:ilvl w:val="0"/>
          <w:numId w:val="2"/>
        </w:numPr>
        <w:spacing w:line="360" w:lineRule="auto"/>
        <w:ind w:left="709" w:hanging="283"/>
        <w:rPr>
          <w:b/>
          <w:i/>
        </w:rPr>
      </w:pPr>
      <w:r w:rsidRPr="009F3DC9">
        <w:rPr>
          <w:b/>
          <w:i/>
        </w:rPr>
        <w:t>Detekce narušení fyzické bezpečnosti</w:t>
      </w:r>
    </w:p>
    <w:p w14:paraId="35943583" w14:textId="77777777" w:rsidR="00A123CE" w:rsidRPr="009F3DC9" w:rsidRDefault="00A123CE" w:rsidP="00A123CE">
      <w:pPr>
        <w:pStyle w:val="Odstavecseseznamem"/>
        <w:numPr>
          <w:ilvl w:val="0"/>
          <w:numId w:val="5"/>
        </w:numPr>
      </w:pPr>
      <w:r w:rsidRPr="009F3DC9">
        <w:t>Pokud prostory nejsou trvale sledovány ostrahou, musí být zabezpečeny hmotovými čidly anebo čidly pohybu.</w:t>
      </w:r>
    </w:p>
    <w:p w14:paraId="11D5C1FA" w14:textId="77777777" w:rsidR="00A123CE" w:rsidRPr="009F3DC9" w:rsidRDefault="00A123CE" w:rsidP="00A123CE">
      <w:pPr>
        <w:pStyle w:val="Odstavecseseznamem"/>
        <w:numPr>
          <w:ilvl w:val="0"/>
          <w:numId w:val="5"/>
        </w:numPr>
      </w:pPr>
      <w:r w:rsidRPr="009F3DC9">
        <w:t>Objekt musí být zapojen na elektronické zabezpečovací zařízení (dále jen EZS) a elektronické protipožární zabezpečení (dále jen EPS).</w:t>
      </w:r>
    </w:p>
    <w:p w14:paraId="507F5010" w14:textId="77777777" w:rsidR="00A123CE" w:rsidRPr="009F3DC9" w:rsidRDefault="00A123CE" w:rsidP="00A123CE">
      <w:pPr>
        <w:pStyle w:val="Odstavecseseznamem"/>
        <w:numPr>
          <w:ilvl w:val="0"/>
          <w:numId w:val="6"/>
        </w:numPr>
      </w:pPr>
      <w:r w:rsidRPr="009F3DC9">
        <w:t>Signalizace EZS a EPS musí být vyvedena na pracoviště s nepřetržitým provozem.</w:t>
      </w:r>
    </w:p>
    <w:p w14:paraId="3F2F5127" w14:textId="77777777" w:rsidR="00A123CE" w:rsidRPr="009F3DC9" w:rsidRDefault="00A123CE" w:rsidP="00A123CE">
      <w:pPr>
        <w:pStyle w:val="Odstavecseseznamem"/>
        <w:numPr>
          <w:ilvl w:val="0"/>
          <w:numId w:val="6"/>
        </w:numPr>
      </w:pPr>
      <w:r w:rsidRPr="009F3DC9">
        <w:t>Všechna čidla musí být vyvedena na samostatné smyčky, které umožní lokalizovat a rozlišit základní druhy incidentů.</w:t>
      </w:r>
    </w:p>
    <w:p w14:paraId="154908C2" w14:textId="77777777" w:rsidR="00A123CE" w:rsidRPr="009F3DC9" w:rsidRDefault="00A123CE" w:rsidP="00A123CE">
      <w:pPr>
        <w:pStyle w:val="Odstavecseseznamem"/>
        <w:numPr>
          <w:ilvl w:val="0"/>
          <w:numId w:val="6"/>
        </w:numPr>
      </w:pPr>
      <w:r w:rsidRPr="009F3DC9">
        <w:t>Požární poplach musí být automaticky nebo prostřednictvím pracoviště s nepřetržitou obsluhou signalizován na Hasičský záchranný sbor.</w:t>
      </w:r>
    </w:p>
    <w:p w14:paraId="2DE1A7CF" w14:textId="77777777" w:rsidR="00A123CE" w:rsidRPr="009F3DC9" w:rsidRDefault="00A123CE" w:rsidP="00A123CE">
      <w:pPr>
        <w:pStyle w:val="Odstavecseseznamem"/>
        <w:numPr>
          <w:ilvl w:val="0"/>
          <w:numId w:val="5"/>
        </w:numPr>
      </w:pPr>
      <w:r w:rsidRPr="009F3DC9">
        <w:t>V objektu musí být instalováno tlačítko tísňové signalizace, přístupné bez překážek z pultu operátora anebo od vstupních dveří.</w:t>
      </w:r>
    </w:p>
    <w:p w14:paraId="44EF85EB" w14:textId="77777777" w:rsidR="00A123CE" w:rsidRPr="009F3DC9" w:rsidRDefault="00A123CE" w:rsidP="00A123CE">
      <w:pPr>
        <w:pStyle w:val="Odstavecseseznamem"/>
        <w:numPr>
          <w:ilvl w:val="0"/>
          <w:numId w:val="7"/>
        </w:numPr>
      </w:pPr>
      <w:r w:rsidRPr="009F3DC9">
        <w:t>Použití tísňové signalizace musí být signalizováno na pracoviště s nepřetržitou obsluhou.</w:t>
      </w:r>
    </w:p>
    <w:p w14:paraId="33F15A6B" w14:textId="77777777" w:rsidR="00A123CE" w:rsidRPr="009F3DC9" w:rsidRDefault="00A123CE" w:rsidP="00A123CE">
      <w:pPr>
        <w:pStyle w:val="Odstavecseseznamem"/>
        <w:ind w:left="1211"/>
      </w:pPr>
    </w:p>
    <w:p w14:paraId="5C84C51D" w14:textId="45A6F78B" w:rsidR="00A123CE" w:rsidRPr="009F3DC9" w:rsidRDefault="00A123CE" w:rsidP="00A123CE">
      <w:pPr>
        <w:pStyle w:val="Odstavecseseznamem"/>
        <w:ind w:left="1211"/>
      </w:pPr>
      <w:bookmarkStart w:id="2" w:name="_Toc36042708"/>
      <w:bookmarkEnd w:id="2"/>
    </w:p>
    <w:p w14:paraId="6C8ABF40" w14:textId="77777777" w:rsidR="00A123CE" w:rsidRPr="009F3DC9" w:rsidRDefault="00A123CE" w:rsidP="00A123CE">
      <w:pPr>
        <w:pStyle w:val="Nadpis2"/>
        <w:spacing w:line="480" w:lineRule="auto"/>
        <w:rPr>
          <w:rFonts w:ascii="Times New Roman" w:hAnsi="Times New Roman" w:cs="Times New Roman"/>
          <w:color w:val="1F3864" w:themeColor="accent1" w:themeShade="80"/>
        </w:rPr>
      </w:pPr>
      <w:bookmarkStart w:id="3" w:name="_Toc36042709"/>
      <w:r w:rsidRPr="009F3DC9">
        <w:rPr>
          <w:rFonts w:ascii="Times New Roman" w:hAnsi="Times New Roman" w:cs="Times New Roman"/>
          <w:color w:val="1F3864" w:themeColor="accent1" w:themeShade="80"/>
        </w:rPr>
        <w:t>Technická specifikace</w:t>
      </w:r>
      <w:bookmarkEnd w:id="3"/>
    </w:p>
    <w:p w14:paraId="21D7F2A9" w14:textId="77777777" w:rsidR="00A123CE" w:rsidRPr="009F3DC9" w:rsidRDefault="00A123CE" w:rsidP="00A123CE">
      <w:pPr>
        <w:pStyle w:val="Nadpis3"/>
        <w:spacing w:line="480" w:lineRule="auto"/>
        <w:rPr>
          <w:rFonts w:ascii="Times New Roman" w:hAnsi="Times New Roman" w:cs="Times New Roman"/>
          <w:b/>
        </w:rPr>
      </w:pPr>
      <w:bookmarkStart w:id="4" w:name="_Toc36042710"/>
      <w:r w:rsidRPr="009F3DC9">
        <w:rPr>
          <w:rFonts w:ascii="Times New Roman" w:hAnsi="Times New Roman" w:cs="Times New Roman"/>
          <w:b/>
        </w:rPr>
        <w:t>Racky</w:t>
      </w:r>
      <w:bookmarkEnd w:id="4"/>
    </w:p>
    <w:p w14:paraId="74851356" w14:textId="77777777" w:rsidR="00A123CE" w:rsidRPr="009F3DC9" w:rsidRDefault="00A123CE" w:rsidP="00A123CE">
      <w:pPr>
        <w:pStyle w:val="Odstavecseseznamem"/>
        <w:numPr>
          <w:ilvl w:val="0"/>
          <w:numId w:val="14"/>
        </w:numPr>
        <w:rPr>
          <w:b/>
          <w:i/>
        </w:rPr>
      </w:pPr>
      <w:r w:rsidRPr="009F3DC9">
        <w:rPr>
          <w:b/>
          <w:i/>
        </w:rPr>
        <w:t xml:space="preserve">Základní technické parametry Rack </w:t>
      </w:r>
    </w:p>
    <w:p w14:paraId="3043B132" w14:textId="77777777" w:rsidR="00A123CE" w:rsidRPr="009F3DC9" w:rsidRDefault="00A123CE" w:rsidP="00A123CE">
      <w:pPr>
        <w:pStyle w:val="Odstavecseseznamem"/>
      </w:pPr>
    </w:p>
    <w:p w14:paraId="76B67F46" w14:textId="160F8D5A" w:rsidR="00A123CE" w:rsidRPr="009F3DC9" w:rsidRDefault="00B57B66" w:rsidP="00A123CE">
      <w:pPr>
        <w:pStyle w:val="Odstavecseseznamem"/>
        <w:numPr>
          <w:ilvl w:val="0"/>
          <w:numId w:val="15"/>
        </w:numPr>
        <w:rPr>
          <w:rFonts w:eastAsia="Times New Roman"/>
          <w:bCs/>
          <w:color w:val="333333"/>
        </w:rPr>
      </w:pPr>
      <w:r w:rsidRPr="009F3DC9">
        <w:rPr>
          <w:rFonts w:eastAsia="Times New Roman"/>
          <w:bCs/>
          <w:color w:val="333333"/>
        </w:rPr>
        <w:t>19“ rack o hloubce 1000 mm</w:t>
      </w:r>
    </w:p>
    <w:p w14:paraId="06A3FF25" w14:textId="57808274" w:rsidR="00A123CE" w:rsidRPr="009F3DC9" w:rsidRDefault="00B57B66" w:rsidP="00A123CE">
      <w:pPr>
        <w:pStyle w:val="Odstavecseseznamem"/>
        <w:numPr>
          <w:ilvl w:val="0"/>
          <w:numId w:val="15"/>
        </w:numPr>
      </w:pPr>
      <w:r w:rsidRPr="009F3DC9">
        <w:t xml:space="preserve">výška </w:t>
      </w:r>
      <w:r w:rsidR="00A123CE" w:rsidRPr="009F3DC9">
        <w:t>42U</w:t>
      </w:r>
    </w:p>
    <w:p w14:paraId="02A4D1ED" w14:textId="77777777" w:rsidR="00A123CE" w:rsidRPr="009F3DC9" w:rsidRDefault="00A123CE" w:rsidP="00A123CE">
      <w:pPr>
        <w:pStyle w:val="Odstavecseseznamem"/>
      </w:pPr>
    </w:p>
    <w:p w14:paraId="081612F8" w14:textId="0A5C857C" w:rsidR="00A123CE" w:rsidRPr="009F3DC9" w:rsidRDefault="00517CBE" w:rsidP="00A123CE">
      <w:pPr>
        <w:pStyle w:val="Odstavecseseznamem"/>
        <w:numPr>
          <w:ilvl w:val="0"/>
          <w:numId w:val="14"/>
        </w:numPr>
        <w:rPr>
          <w:b/>
          <w:i/>
        </w:rPr>
      </w:pPr>
      <w:r>
        <w:rPr>
          <w:b/>
          <w:i/>
        </w:rPr>
        <w:t>Minimální p</w:t>
      </w:r>
      <w:r w:rsidR="00A123CE" w:rsidRPr="009F3DC9">
        <w:rPr>
          <w:b/>
          <w:i/>
        </w:rPr>
        <w:t>očty Rack</w:t>
      </w:r>
    </w:p>
    <w:p w14:paraId="51E26B78" w14:textId="77777777" w:rsidR="00A123CE" w:rsidRPr="009F3DC9" w:rsidRDefault="00A123CE" w:rsidP="00A123CE">
      <w:pPr>
        <w:pStyle w:val="Odstavecseseznamem"/>
        <w:rPr>
          <w:b/>
          <w:i/>
        </w:rPr>
      </w:pPr>
    </w:p>
    <w:p w14:paraId="7641ADFA" w14:textId="77777777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první hostingové centrum – 5x</w:t>
      </w:r>
    </w:p>
    <w:p w14:paraId="50BC471B" w14:textId="77777777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druhé hostingové centrum – 5x</w:t>
      </w:r>
    </w:p>
    <w:p w14:paraId="6200B73D" w14:textId="103BD004" w:rsidR="00A123CE" w:rsidRPr="009F3DC9" w:rsidRDefault="00752224" w:rsidP="00A123CE">
      <w:pPr>
        <w:pStyle w:val="Odstavecseseznamem"/>
        <w:numPr>
          <w:ilvl w:val="0"/>
          <w:numId w:val="15"/>
        </w:numPr>
      </w:pPr>
      <w:r>
        <w:t>XXX</w:t>
      </w:r>
      <w:r w:rsidR="00A123CE" w:rsidRPr="009F3DC9">
        <w:t xml:space="preserve"> – 1x</w:t>
      </w:r>
    </w:p>
    <w:p w14:paraId="50829698" w14:textId="77777777" w:rsidR="00A123CE" w:rsidRPr="009F3DC9" w:rsidRDefault="00A123CE" w:rsidP="00A123CE">
      <w:pPr>
        <w:rPr>
          <w:rFonts w:ascii="Times New Roman" w:hAnsi="Times New Roman" w:cs="Times New Roman"/>
        </w:rPr>
      </w:pPr>
    </w:p>
    <w:p w14:paraId="3CD83397" w14:textId="77777777" w:rsidR="00A123CE" w:rsidRPr="009F3DC9" w:rsidRDefault="00A123CE" w:rsidP="00A123CE">
      <w:pPr>
        <w:pStyle w:val="Nadpis3"/>
        <w:spacing w:line="480" w:lineRule="auto"/>
        <w:rPr>
          <w:rFonts w:ascii="Times New Roman" w:hAnsi="Times New Roman" w:cs="Times New Roman"/>
          <w:b/>
        </w:rPr>
      </w:pPr>
      <w:bookmarkStart w:id="5" w:name="_Toc36042711"/>
      <w:r w:rsidRPr="009F3DC9">
        <w:rPr>
          <w:rFonts w:ascii="Times New Roman" w:hAnsi="Times New Roman" w:cs="Times New Roman"/>
          <w:b/>
        </w:rPr>
        <w:t>Požadavky a technická specifikace napájení</w:t>
      </w:r>
      <w:bookmarkEnd w:id="5"/>
    </w:p>
    <w:p w14:paraId="4D3FF0AF" w14:textId="77777777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 xml:space="preserve">230V </w:t>
      </w:r>
    </w:p>
    <w:p w14:paraId="290158B2" w14:textId="77777777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dvě spínací jednotky PDU na rack, kde každá jednotka v racku bude na jiné napájecí větvi hostingového nebo datového centra</w:t>
      </w:r>
    </w:p>
    <w:p w14:paraId="33B46674" w14:textId="77777777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všechny napájecí větve budou napojeny na elektromotorickou zálohu</w:t>
      </w:r>
    </w:p>
    <w:p w14:paraId="2ACB360D" w14:textId="77777777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garantovaný příkon el. energie minimálně 8kW pro každý rack</w:t>
      </w:r>
    </w:p>
    <w:p w14:paraId="50E55641" w14:textId="77777777" w:rsidR="00A123CE" w:rsidRPr="009F3DC9" w:rsidRDefault="00A123CE" w:rsidP="00A123CE">
      <w:pPr>
        <w:pStyle w:val="Odstavecseseznamem"/>
      </w:pPr>
    </w:p>
    <w:p w14:paraId="092AEB09" w14:textId="77777777" w:rsidR="00A123CE" w:rsidRPr="009F3DC9" w:rsidRDefault="00A123CE" w:rsidP="00A123CE">
      <w:pPr>
        <w:rPr>
          <w:rFonts w:ascii="Times New Roman" w:hAnsi="Times New Roman" w:cs="Times New Roman"/>
        </w:rPr>
      </w:pPr>
    </w:p>
    <w:p w14:paraId="4E876F91" w14:textId="77777777" w:rsidR="00A123CE" w:rsidRPr="009F3DC9" w:rsidRDefault="00A123CE" w:rsidP="00A123CE">
      <w:pPr>
        <w:pStyle w:val="Nadpis3"/>
        <w:spacing w:line="480" w:lineRule="auto"/>
        <w:rPr>
          <w:rFonts w:ascii="Times New Roman" w:hAnsi="Times New Roman" w:cs="Times New Roman"/>
          <w:b/>
        </w:rPr>
      </w:pPr>
      <w:bookmarkStart w:id="6" w:name="_Toc36042712"/>
      <w:r w:rsidRPr="009F3DC9">
        <w:rPr>
          <w:rFonts w:ascii="Times New Roman" w:hAnsi="Times New Roman" w:cs="Times New Roman"/>
          <w:b/>
        </w:rPr>
        <w:lastRenderedPageBreak/>
        <w:t>Požadavky a technická specifikace chlazení</w:t>
      </w:r>
      <w:bookmarkEnd w:id="6"/>
    </w:p>
    <w:p w14:paraId="3CCFE977" w14:textId="77777777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Garantovaná teplota 22°C  ± 3°C</w:t>
      </w:r>
    </w:p>
    <w:p w14:paraId="4AA80673" w14:textId="5F0E0EF0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Vlhkost v rozmezí 40% – 70</w:t>
      </w:r>
      <w:r w:rsidRPr="009F3DC9">
        <w:rPr>
          <w:lang w:val="en-US"/>
        </w:rPr>
        <w:t>%</w:t>
      </w:r>
    </w:p>
    <w:p w14:paraId="395FE3F5" w14:textId="77777777" w:rsidR="002A663A" w:rsidRPr="009F3DC9" w:rsidRDefault="002A663A" w:rsidP="002A663A">
      <w:pPr>
        <w:pStyle w:val="Odstavecseseznamem"/>
      </w:pPr>
    </w:p>
    <w:p w14:paraId="2B0C4D0F" w14:textId="77777777" w:rsidR="00A123CE" w:rsidRPr="009F3DC9" w:rsidRDefault="00A123CE" w:rsidP="00A123CE">
      <w:pPr>
        <w:pStyle w:val="Nadpis3"/>
        <w:spacing w:line="480" w:lineRule="auto"/>
        <w:rPr>
          <w:rFonts w:ascii="Times New Roman" w:hAnsi="Times New Roman" w:cs="Times New Roman"/>
          <w:b/>
        </w:rPr>
      </w:pPr>
      <w:bookmarkStart w:id="7" w:name="_Toc36042713"/>
      <w:r w:rsidRPr="009F3DC9">
        <w:rPr>
          <w:rFonts w:ascii="Times New Roman" w:hAnsi="Times New Roman" w:cs="Times New Roman"/>
          <w:b/>
        </w:rPr>
        <w:t>Požadavky a technická specifikace datové konektivity</w:t>
      </w:r>
      <w:bookmarkEnd w:id="7"/>
    </w:p>
    <w:p w14:paraId="11F505C7" w14:textId="77777777" w:rsidR="00A123CE" w:rsidRPr="009F3DC9" w:rsidRDefault="00A123CE" w:rsidP="00A123CE">
      <w:pPr>
        <w:pStyle w:val="Odstavecseseznamem"/>
        <w:rPr>
          <w:b/>
          <w:i/>
        </w:rPr>
      </w:pPr>
    </w:p>
    <w:p w14:paraId="7FEB6826" w14:textId="77777777" w:rsidR="00A123CE" w:rsidRPr="009F3DC9" w:rsidRDefault="00A123CE" w:rsidP="00A123CE">
      <w:pPr>
        <w:pStyle w:val="Odstavecseseznamem"/>
        <w:numPr>
          <w:ilvl w:val="0"/>
          <w:numId w:val="16"/>
        </w:numPr>
        <w:rPr>
          <w:b/>
          <w:i/>
        </w:rPr>
      </w:pPr>
      <w:r w:rsidRPr="009F3DC9">
        <w:rPr>
          <w:b/>
          <w:i/>
        </w:rPr>
        <w:t>Komunikace mezi dvěma DC ISDS (DC1 – DC2)</w:t>
      </w:r>
    </w:p>
    <w:p w14:paraId="0507773D" w14:textId="77777777" w:rsidR="00A123CE" w:rsidRPr="009F3DC9" w:rsidRDefault="00A123CE" w:rsidP="00A123CE">
      <w:pPr>
        <w:rPr>
          <w:rFonts w:ascii="Times New Roman" w:eastAsia="Calibri" w:hAnsi="Times New Roman" w:cs="Times New Roman"/>
        </w:rPr>
      </w:pPr>
    </w:p>
    <w:p w14:paraId="0A761556" w14:textId="2C9B1E0F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 xml:space="preserve">Komunikace mezi DC musí být postavena redundantně na dvou </w:t>
      </w:r>
      <w:proofErr w:type="spellStart"/>
      <w:r w:rsidRPr="009F3DC9">
        <w:t>Dark</w:t>
      </w:r>
      <w:proofErr w:type="spellEnd"/>
      <w:r w:rsidRPr="009F3DC9">
        <w:t xml:space="preserve"> </w:t>
      </w:r>
      <w:proofErr w:type="spellStart"/>
      <w:r w:rsidRPr="009F3DC9">
        <w:t>fibre</w:t>
      </w:r>
      <w:proofErr w:type="spellEnd"/>
      <w:r w:rsidRPr="009F3DC9">
        <w:t xml:space="preserve"> trasách</w:t>
      </w:r>
      <w:r w:rsidR="00846EDE" w:rsidRPr="009F3DC9">
        <w:t xml:space="preserve"> nebo jiné technologii s obdobným výkonem,</w:t>
      </w:r>
      <w:r w:rsidRPr="009F3DC9">
        <w:t xml:space="preserve"> přibližně stejné délky. </w:t>
      </w:r>
    </w:p>
    <w:p w14:paraId="6F1D443A" w14:textId="348A023B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Každá z tras musí být zakončena moduly DWDM</w:t>
      </w:r>
      <w:r w:rsidR="00846EDE" w:rsidRPr="009F3DC9">
        <w:t xml:space="preserve"> nebo zařízením odpovídajícím ke konkrétní technologii</w:t>
      </w:r>
      <w:r w:rsidRPr="009F3DC9">
        <w:t>, které umožní požadovaný přenos mezi DC.</w:t>
      </w:r>
    </w:p>
    <w:p w14:paraId="50CF69EB" w14:textId="77777777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Ethernet: minimálně 10x 10Gb</w:t>
      </w:r>
    </w:p>
    <w:p w14:paraId="401F3829" w14:textId="77777777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 xml:space="preserve">FC: minimálně 4x 16G  </w:t>
      </w:r>
    </w:p>
    <w:p w14:paraId="08BA43EE" w14:textId="77777777" w:rsidR="00A123CE" w:rsidRPr="009F3DC9" w:rsidRDefault="00A123CE" w:rsidP="00A123CE">
      <w:pPr>
        <w:rPr>
          <w:rFonts w:ascii="Times New Roman" w:eastAsia="Calibri" w:hAnsi="Times New Roman" w:cs="Times New Roman"/>
        </w:rPr>
      </w:pPr>
    </w:p>
    <w:p w14:paraId="6CCCBC6D" w14:textId="77777777" w:rsidR="00A123CE" w:rsidRPr="009F3DC9" w:rsidRDefault="00A123CE" w:rsidP="00A123CE">
      <w:pPr>
        <w:pStyle w:val="Odstavecseseznamem"/>
        <w:numPr>
          <w:ilvl w:val="0"/>
          <w:numId w:val="16"/>
        </w:numPr>
        <w:rPr>
          <w:b/>
          <w:i/>
        </w:rPr>
      </w:pPr>
      <w:r w:rsidRPr="009F3DC9">
        <w:rPr>
          <w:b/>
          <w:i/>
        </w:rPr>
        <w:t xml:space="preserve">Komunikace k CMS </w:t>
      </w:r>
    </w:p>
    <w:p w14:paraId="05659FEE" w14:textId="77777777" w:rsidR="00A123CE" w:rsidRPr="009F3DC9" w:rsidRDefault="00A123CE" w:rsidP="00A123CE">
      <w:pPr>
        <w:rPr>
          <w:rFonts w:ascii="Times New Roman" w:eastAsia="Calibri" w:hAnsi="Times New Roman" w:cs="Times New Roman"/>
        </w:rPr>
      </w:pPr>
    </w:p>
    <w:p w14:paraId="26B52A88" w14:textId="77777777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 xml:space="preserve">Komunikace k CMS musí být postavena redundantně na 2 nezávislých Ethernet trasách.  </w:t>
      </w:r>
    </w:p>
    <w:p w14:paraId="0F2D584F" w14:textId="77777777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Ethernet: minimálně 2x 10Gb (z každého centra 1x 10 Gb)</w:t>
      </w:r>
    </w:p>
    <w:p w14:paraId="59A18B51" w14:textId="77777777" w:rsidR="00A123CE" w:rsidRPr="009F3DC9" w:rsidRDefault="00A123CE" w:rsidP="00A123CE">
      <w:pPr>
        <w:rPr>
          <w:rFonts w:ascii="Times New Roman" w:eastAsia="Calibri" w:hAnsi="Times New Roman" w:cs="Times New Roman"/>
        </w:rPr>
      </w:pPr>
    </w:p>
    <w:p w14:paraId="256A7A3E" w14:textId="77777777" w:rsidR="00A123CE" w:rsidRPr="009F3DC9" w:rsidRDefault="00A123CE" w:rsidP="00A123CE">
      <w:pPr>
        <w:pStyle w:val="Odstavecseseznamem"/>
        <w:numPr>
          <w:ilvl w:val="0"/>
          <w:numId w:val="16"/>
        </w:numPr>
        <w:rPr>
          <w:b/>
          <w:i/>
        </w:rPr>
      </w:pPr>
      <w:r w:rsidRPr="009F3DC9">
        <w:rPr>
          <w:b/>
          <w:i/>
        </w:rPr>
        <w:t>Komunikace k TSA</w:t>
      </w:r>
    </w:p>
    <w:p w14:paraId="00E071DF" w14:textId="77777777" w:rsidR="00A123CE" w:rsidRPr="009F3DC9" w:rsidRDefault="00A123CE" w:rsidP="00A123CE">
      <w:pPr>
        <w:keepNext/>
        <w:keepLines/>
        <w:spacing w:before="40" w:after="0" w:line="240" w:lineRule="auto"/>
        <w:ind w:left="864"/>
        <w:outlineLvl w:val="3"/>
        <w:rPr>
          <w:rFonts w:ascii="Times New Roman" w:eastAsia="Times New Roman" w:hAnsi="Times New Roman" w:cs="Times New Roman"/>
          <w:b/>
          <w:i/>
          <w:iCs/>
          <w:color w:val="2E74B5"/>
        </w:rPr>
      </w:pPr>
    </w:p>
    <w:p w14:paraId="3D7D2738" w14:textId="221393BE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Komunikace k TSA musí být postavena redundantně na 2 nezávislých Ethernet trasách</w:t>
      </w:r>
      <w:r w:rsidR="007B2CBE" w:rsidRPr="009F3DC9">
        <w:t xml:space="preserve"> ke všem TSA autoritám (TSA3 primární,TSA2</w:t>
      </w:r>
      <w:r w:rsidR="00726A22" w:rsidRPr="009F3DC9">
        <w:t xml:space="preserve"> - záložní</w:t>
      </w:r>
      <w:r w:rsidR="007B2CBE" w:rsidRPr="009F3DC9">
        <w:t>,TSA1</w:t>
      </w:r>
      <w:r w:rsidR="00726A22" w:rsidRPr="009F3DC9">
        <w:t xml:space="preserve"> – pouze testování</w:t>
      </w:r>
      <w:r w:rsidR="007B2CBE" w:rsidRPr="009F3DC9">
        <w:t>)</w:t>
      </w:r>
      <w:r w:rsidRPr="009F3DC9">
        <w:t xml:space="preserve">.  </w:t>
      </w:r>
      <w:r w:rsidR="007B2CBE" w:rsidRPr="009F3DC9">
        <w:t xml:space="preserve"> </w:t>
      </w:r>
    </w:p>
    <w:p w14:paraId="05565375" w14:textId="71963E84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Buď přes komunikaci k CMS jako je</w:t>
      </w:r>
      <w:r w:rsidR="007B2CBE" w:rsidRPr="009F3DC9">
        <w:t xml:space="preserve"> to</w:t>
      </w:r>
      <w:r w:rsidRPr="009F3DC9">
        <w:t xml:space="preserve"> v současnosti</w:t>
      </w:r>
    </w:p>
    <w:p w14:paraId="5BCC72B7" w14:textId="77777777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Nebo nezávislými linkami do DSČP EXTRANET</w:t>
      </w:r>
    </w:p>
    <w:p w14:paraId="4D59ADB2" w14:textId="77777777" w:rsidR="00A123CE" w:rsidRPr="009F3DC9" w:rsidRDefault="00A123CE" w:rsidP="00A123CE">
      <w:pPr>
        <w:pStyle w:val="Odstavecseseznamem"/>
        <w:numPr>
          <w:ilvl w:val="0"/>
          <w:numId w:val="15"/>
        </w:numPr>
      </w:pPr>
      <w:r w:rsidRPr="009F3DC9">
        <w:t>Ethernet: minimálně 2x 1Gb (z každého centra 1x 1 Gb)</w:t>
      </w:r>
    </w:p>
    <w:p w14:paraId="04696FFE" w14:textId="77777777" w:rsidR="00A123CE" w:rsidRPr="009F3DC9" w:rsidRDefault="00A123CE" w:rsidP="00A123CE">
      <w:pPr>
        <w:rPr>
          <w:rFonts w:ascii="Times New Roman" w:hAnsi="Times New Roman" w:cs="Times New Roman"/>
        </w:rPr>
      </w:pPr>
    </w:p>
    <w:p w14:paraId="03A491B9" w14:textId="0E365633" w:rsidR="00CB3046" w:rsidRPr="009F3DC9" w:rsidRDefault="00CB3046" w:rsidP="00CB3046">
      <w:pPr>
        <w:rPr>
          <w:rFonts w:ascii="Times New Roman" w:hAnsi="Times New Roman" w:cs="Times New Roman"/>
        </w:rPr>
      </w:pPr>
      <w:r w:rsidRPr="009F3DC9">
        <w:rPr>
          <w:rFonts w:ascii="Times New Roman" w:hAnsi="Times New Roman" w:cs="Times New Roman"/>
        </w:rPr>
        <w:t xml:space="preserve">Umístění datových center: </w:t>
      </w:r>
    </w:p>
    <w:p w14:paraId="0FBB1A5C" w14:textId="2EFE1495" w:rsidR="00641A16" w:rsidRPr="00641A16" w:rsidRDefault="00752224" w:rsidP="00641A16">
      <w:pPr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</w:p>
    <w:p w14:paraId="17EF053B" w14:textId="287C74E5" w:rsidR="00641A16" w:rsidRPr="00641A16" w:rsidRDefault="00752224" w:rsidP="00641A1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641A16" w:rsidRPr="00641A16">
        <w:rPr>
          <w:rFonts w:ascii="Times New Roman" w:hAnsi="Times New Roman" w:cs="Times New Roman"/>
        </w:rPr>
        <w:t>1</w:t>
      </w:r>
    </w:p>
    <w:p w14:paraId="47A8670E" w14:textId="2B5FB811" w:rsidR="00641A16" w:rsidRPr="00641A16" w:rsidRDefault="00752224" w:rsidP="00641A16">
      <w:pPr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</w:p>
    <w:p w14:paraId="22866015" w14:textId="77777777" w:rsidR="00641A16" w:rsidRPr="00641A16" w:rsidRDefault="00641A16" w:rsidP="00641A16">
      <w:pPr>
        <w:rPr>
          <w:rFonts w:ascii="Times New Roman" w:hAnsi="Times New Roman" w:cs="Times New Roman"/>
        </w:rPr>
      </w:pPr>
    </w:p>
    <w:p w14:paraId="1820C313" w14:textId="4DA2ADF9" w:rsidR="00641A16" w:rsidRPr="00641A16" w:rsidRDefault="00752224" w:rsidP="00641A16">
      <w:pPr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</w:p>
    <w:p w14:paraId="3BE86148" w14:textId="36872037" w:rsidR="00641A16" w:rsidRPr="00641A16" w:rsidRDefault="00752224" w:rsidP="00641A16">
      <w:pPr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</w:p>
    <w:p w14:paraId="07DA91AE" w14:textId="4B85353C" w:rsidR="009C73E4" w:rsidRPr="009F3DC9" w:rsidRDefault="00752224" w:rsidP="00641A1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sectPr w:rsidR="009C73E4" w:rsidRPr="009F3D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86570" w14:textId="77777777" w:rsidR="00CF2E99" w:rsidRDefault="00CF2E99" w:rsidP="00641A16">
      <w:pPr>
        <w:spacing w:after="0" w:line="240" w:lineRule="auto"/>
      </w:pPr>
      <w:r>
        <w:separator/>
      </w:r>
    </w:p>
  </w:endnote>
  <w:endnote w:type="continuationSeparator" w:id="0">
    <w:p w14:paraId="71E6CA12" w14:textId="77777777" w:rsidR="00CF2E99" w:rsidRDefault="00CF2E99" w:rsidP="0064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1F013" w14:textId="77777777" w:rsidR="00CF2E99" w:rsidRDefault="00CF2E99" w:rsidP="00641A16">
      <w:pPr>
        <w:spacing w:after="0" w:line="240" w:lineRule="auto"/>
      </w:pPr>
      <w:r>
        <w:separator/>
      </w:r>
    </w:p>
  </w:footnote>
  <w:footnote w:type="continuationSeparator" w:id="0">
    <w:p w14:paraId="2674B15F" w14:textId="77777777" w:rsidR="00CF2E99" w:rsidRDefault="00CF2E99" w:rsidP="0064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2128A" w14:textId="71F1560D" w:rsidR="00633EEB" w:rsidRPr="00633EEB" w:rsidRDefault="00633EEB" w:rsidP="00633EEB">
    <w:pPr>
      <w:pStyle w:val="Nzev"/>
      <w:pBdr>
        <w:bottom w:val="none" w:sz="0" w:space="0" w:color="auto"/>
      </w:pBdr>
      <w:jc w:val="right"/>
      <w:rPr>
        <w:rFonts w:ascii="Times New Roman" w:hAnsi="Times New Roman" w:cs="Times New Roman"/>
        <w:color w:val="4472C4" w:themeColor="accent1"/>
        <w:sz w:val="24"/>
        <w:szCs w:val="24"/>
      </w:rPr>
    </w:pPr>
    <w:r w:rsidRPr="00633EEB">
      <w:rPr>
        <w:rFonts w:ascii="Times New Roman" w:hAnsi="Times New Roman" w:cs="Times New Roman"/>
        <w:color w:val="4472C4" w:themeColor="accent1"/>
        <w:sz w:val="24"/>
        <w:szCs w:val="24"/>
      </w:rPr>
      <w:t>Příloha č. 8 ke Smlouvě o zajištění provozu a rozvoje ISDS 2023+ č. 2021/06079</w:t>
    </w:r>
  </w:p>
  <w:p w14:paraId="4BEBA3E1" w14:textId="77777777" w:rsidR="00633EEB" w:rsidRDefault="00633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1C12"/>
    <w:multiLevelType w:val="hybridMultilevel"/>
    <w:tmpl w:val="1E3AD6D6"/>
    <w:lvl w:ilvl="0" w:tplc="130889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6015"/>
    <w:multiLevelType w:val="hybridMultilevel"/>
    <w:tmpl w:val="9496A5C4"/>
    <w:lvl w:ilvl="0" w:tplc="130889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1D34"/>
    <w:multiLevelType w:val="hybridMultilevel"/>
    <w:tmpl w:val="03089FC0"/>
    <w:lvl w:ilvl="0" w:tplc="D1A42D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D522D"/>
    <w:multiLevelType w:val="hybridMultilevel"/>
    <w:tmpl w:val="93CA217A"/>
    <w:lvl w:ilvl="0" w:tplc="C1AC7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147C8"/>
    <w:multiLevelType w:val="hybridMultilevel"/>
    <w:tmpl w:val="0D26DC0A"/>
    <w:lvl w:ilvl="0" w:tplc="FBCA10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A51"/>
    <w:multiLevelType w:val="hybridMultilevel"/>
    <w:tmpl w:val="DE445CD0"/>
    <w:lvl w:ilvl="0" w:tplc="130889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52506"/>
    <w:multiLevelType w:val="multilevel"/>
    <w:tmpl w:val="1752145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1F3864" w:themeColor="accent1" w:themeShade="8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EB024D2"/>
    <w:multiLevelType w:val="hybridMultilevel"/>
    <w:tmpl w:val="951CF0B6"/>
    <w:lvl w:ilvl="0" w:tplc="04050001">
      <w:start w:val="1"/>
      <w:numFmt w:val="bullet"/>
      <w:lvlText w:val=""/>
      <w:lvlJc w:val="left"/>
      <w:pPr>
        <w:ind w:left="19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8" w15:restartNumberingAfterBreak="0">
    <w:nsid w:val="40733E1B"/>
    <w:multiLevelType w:val="hybridMultilevel"/>
    <w:tmpl w:val="732CBAB8"/>
    <w:lvl w:ilvl="0" w:tplc="130889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1E44E9"/>
    <w:multiLevelType w:val="hybridMultilevel"/>
    <w:tmpl w:val="B9D4A002"/>
    <w:lvl w:ilvl="0" w:tplc="130889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E3FCF"/>
    <w:multiLevelType w:val="hybridMultilevel"/>
    <w:tmpl w:val="5BF8C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16283"/>
    <w:multiLevelType w:val="hybridMultilevel"/>
    <w:tmpl w:val="247C0858"/>
    <w:lvl w:ilvl="0" w:tplc="8A1E40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71AB3"/>
    <w:multiLevelType w:val="hybridMultilevel"/>
    <w:tmpl w:val="F9CEDFE8"/>
    <w:lvl w:ilvl="0" w:tplc="0D6083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321FE"/>
    <w:multiLevelType w:val="hybridMultilevel"/>
    <w:tmpl w:val="69D44676"/>
    <w:lvl w:ilvl="0" w:tplc="9E0806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22D64"/>
    <w:multiLevelType w:val="hybridMultilevel"/>
    <w:tmpl w:val="236AFA08"/>
    <w:lvl w:ilvl="0" w:tplc="130889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4410E"/>
    <w:multiLevelType w:val="hybridMultilevel"/>
    <w:tmpl w:val="B3706296"/>
    <w:lvl w:ilvl="0" w:tplc="6C7402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0"/>
  </w:num>
  <w:num w:numId="10">
    <w:abstractNumId w:val="15"/>
  </w:num>
  <w:num w:numId="11">
    <w:abstractNumId w:val="11"/>
  </w:num>
  <w:num w:numId="12">
    <w:abstractNumId w:val="7"/>
  </w:num>
  <w:num w:numId="13">
    <w:abstractNumId w:val="9"/>
  </w:num>
  <w:num w:numId="14">
    <w:abstractNumId w:val="14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CE"/>
    <w:rsid w:val="000043DF"/>
    <w:rsid w:val="00043917"/>
    <w:rsid w:val="00097CDB"/>
    <w:rsid w:val="002A663A"/>
    <w:rsid w:val="003C5314"/>
    <w:rsid w:val="00431009"/>
    <w:rsid w:val="00451085"/>
    <w:rsid w:val="00517CBE"/>
    <w:rsid w:val="005C2855"/>
    <w:rsid w:val="00633EEB"/>
    <w:rsid w:val="006369FA"/>
    <w:rsid w:val="00641A16"/>
    <w:rsid w:val="006C17BE"/>
    <w:rsid w:val="00726A22"/>
    <w:rsid w:val="007335CF"/>
    <w:rsid w:val="00752224"/>
    <w:rsid w:val="007B2CBE"/>
    <w:rsid w:val="00846EDE"/>
    <w:rsid w:val="008D7C3F"/>
    <w:rsid w:val="009178C5"/>
    <w:rsid w:val="009C73E4"/>
    <w:rsid w:val="009D26DD"/>
    <w:rsid w:val="009F3DC9"/>
    <w:rsid w:val="00A123CE"/>
    <w:rsid w:val="00AF475E"/>
    <w:rsid w:val="00B17A19"/>
    <w:rsid w:val="00B57B66"/>
    <w:rsid w:val="00C724AF"/>
    <w:rsid w:val="00CB3046"/>
    <w:rsid w:val="00CF2E99"/>
    <w:rsid w:val="00DA24F2"/>
    <w:rsid w:val="00E32F94"/>
    <w:rsid w:val="00E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BDA7F"/>
  <w15:chartTrackingRefBased/>
  <w15:docId w15:val="{9A0C490B-7345-45A3-A3D3-F5294AC9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"/>
    <w:basedOn w:val="Normln"/>
    <w:next w:val="Normln"/>
    <w:link w:val="Nadpis1Char"/>
    <w:uiPriority w:val="9"/>
    <w:qFormat/>
    <w:rsid w:val="00A123CE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"/>
    <w:basedOn w:val="Normln"/>
    <w:next w:val="Normln"/>
    <w:link w:val="Nadpis2Char"/>
    <w:uiPriority w:val="9"/>
    <w:unhideWhenUsed/>
    <w:qFormat/>
    <w:rsid w:val="00A123CE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iPriority w:val="9"/>
    <w:unhideWhenUsed/>
    <w:qFormat/>
    <w:rsid w:val="00A123CE"/>
    <w:pPr>
      <w:keepNext/>
      <w:keepLines/>
      <w:numPr>
        <w:ilvl w:val="2"/>
        <w:numId w:val="1"/>
      </w:numPr>
      <w:spacing w:before="40" w:after="0" w:line="240" w:lineRule="auto"/>
      <w:ind w:left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"/>
    <w:unhideWhenUsed/>
    <w:qFormat/>
    <w:rsid w:val="00A123CE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"/>
    <w:unhideWhenUsed/>
    <w:qFormat/>
    <w:rsid w:val="00A123CE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"/>
    <w:unhideWhenUsed/>
    <w:qFormat/>
    <w:rsid w:val="00A123CE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"/>
    <w:unhideWhenUsed/>
    <w:qFormat/>
    <w:rsid w:val="00A123CE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"/>
    <w:unhideWhenUsed/>
    <w:qFormat/>
    <w:rsid w:val="00A123CE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123CE"/>
    <w:pPr>
      <w:pBdr>
        <w:bottom w:val="single" w:sz="8" w:space="4" w:color="4472C4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123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C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"/>
    <w:basedOn w:val="Standardnpsmoodstavce"/>
    <w:link w:val="Nadpis1"/>
    <w:uiPriority w:val="9"/>
    <w:rsid w:val="00A12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uiPriority w:val="9"/>
    <w:rsid w:val="00A123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uiPriority w:val="9"/>
    <w:rsid w:val="00A123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"/>
    <w:rsid w:val="00A123C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"/>
    <w:rsid w:val="00A123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"/>
    <w:rsid w:val="00A123C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"/>
    <w:rsid w:val="00A123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"/>
    <w:rsid w:val="00A123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123CE"/>
    <w:pPr>
      <w:tabs>
        <w:tab w:val="left" w:pos="851"/>
      </w:tabs>
      <w:spacing w:after="0" w:line="240" w:lineRule="auto"/>
      <w:ind w:left="720"/>
      <w:contextualSpacing/>
      <w:jc w:val="both"/>
    </w:pPr>
    <w:rPr>
      <w:rFonts w:ascii="Times New Roman" w:eastAsia="MS ??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23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CE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CE"/>
    <w:rPr>
      <w:sz w:val="20"/>
      <w:szCs w:val="20"/>
    </w:rPr>
  </w:style>
  <w:style w:type="character" w:customStyle="1" w:styleId="cpNormalChar">
    <w:name w:val="cp_Normal Char"/>
    <w:basedOn w:val="Standardnpsmoodstavce"/>
    <w:link w:val="cpNormal"/>
    <w:locked/>
    <w:rsid w:val="00A123CE"/>
    <w:rPr>
      <w:rFonts w:ascii="Times New Roman" w:eastAsia="Calibri" w:hAnsi="Times New Roman" w:cs="Times New Roman"/>
    </w:rPr>
  </w:style>
  <w:style w:type="paragraph" w:customStyle="1" w:styleId="cpNormal">
    <w:name w:val="cp_Normal"/>
    <w:basedOn w:val="Normln"/>
    <w:link w:val="cpNormalChar"/>
    <w:qFormat/>
    <w:rsid w:val="00A123CE"/>
    <w:pPr>
      <w:spacing w:after="260" w:line="260" w:lineRule="exact"/>
    </w:pPr>
    <w:rPr>
      <w:rFonts w:ascii="Times New Roman" w:eastAsia="Calibri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4AF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4A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3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EEB"/>
  </w:style>
  <w:style w:type="paragraph" w:styleId="Zpat">
    <w:name w:val="footer"/>
    <w:basedOn w:val="Normln"/>
    <w:link w:val="ZpatChar"/>
    <w:uiPriority w:val="99"/>
    <w:unhideWhenUsed/>
    <w:rsid w:val="0063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0CD7685F8E643926B6AE424E07E19" ma:contentTypeVersion="6" ma:contentTypeDescription="Vytvoří nový dokument" ma:contentTypeScope="" ma:versionID="0540d5b7c81e8f753685810ce96f37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e357be9c07f208cc298038036e204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</p:Name>
  <p:Description>Audit 018P18 - dokument</p:Description>
  <p:Statement/>
  <p:PolicyItems>
    <p:PolicyItem featureId="Microsoft.Office.RecordsManagement.PolicyFeatures.PolicyAudit" staticId="0x0101007240CD7685F8E643926B6AE424E07E19|8138272" UniqueId="83d24d76-64d7-4609-a5e8-511c239117b3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07ECC-C502-47E0-B5E8-845BB027A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972E5-9B8A-4DB9-8BE0-6E88B7D2129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31B71BC-93E3-4F5A-A658-0B13F54D39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A57E24-C824-43A8-B8AA-C26F4F8B4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4965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Kratinova</dc:creator>
  <cp:keywords/>
  <dc:description/>
  <cp:lastModifiedBy>Kadlecová Zuzana Ing. DiS.</cp:lastModifiedBy>
  <cp:revision>2</cp:revision>
  <dcterms:created xsi:type="dcterms:W3CDTF">2021-10-14T13:24:00Z</dcterms:created>
  <dcterms:modified xsi:type="dcterms:W3CDTF">2021-10-14T13:24:00Z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0x0101007240CD7685F8E643926B6AE424E07E19</vt:lpwstr>
  </property>
</Properties>
</file>