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2383B" w14:textId="77777777" w:rsidR="009A76EA" w:rsidRPr="00942BAB" w:rsidRDefault="009A76EA" w:rsidP="009A76EA">
      <w:pPr>
        <w:pStyle w:val="Nzev"/>
        <w:rPr>
          <w:sz w:val="36"/>
          <w:szCs w:val="36"/>
        </w:rPr>
      </w:pPr>
      <w:r w:rsidRPr="00942BAB">
        <w:rPr>
          <w:sz w:val="36"/>
          <w:szCs w:val="36"/>
        </w:rPr>
        <w:t xml:space="preserve">Specifikace požadavků při vybudování vývojového a interního testovacího prostředí </w:t>
      </w:r>
    </w:p>
    <w:p w14:paraId="6A02383C" w14:textId="4507D373" w:rsidR="003D060B" w:rsidRDefault="009A76EA" w:rsidP="009A76EA">
      <w:pPr>
        <w:spacing w:before="240"/>
        <w:jc w:val="both"/>
      </w:pPr>
      <w:r>
        <w:t>Vývojové a interní testovací prostředí bude sloužit</w:t>
      </w:r>
      <w:r w:rsidRPr="00512AAE">
        <w:t xml:space="preserve"> pro zajištění úprav a rozvoje Licencovaného </w:t>
      </w:r>
      <w:r w:rsidR="006F472C">
        <w:t>software</w:t>
      </w:r>
      <w:r w:rsidRPr="00512AAE">
        <w:t xml:space="preserve">, programátorského testování a vytvoření binárních kódů určených pro předání do veřejného testovacího, </w:t>
      </w:r>
      <w:proofErr w:type="spellStart"/>
      <w:r w:rsidRPr="00512AAE">
        <w:t>předprodukčního</w:t>
      </w:r>
      <w:proofErr w:type="spellEnd"/>
      <w:r w:rsidRPr="00512AAE">
        <w:t xml:space="preserve"> a produkčního prostředí ISDS.</w:t>
      </w:r>
    </w:p>
    <w:p w14:paraId="6A02383E" w14:textId="7424ADC9" w:rsidR="009A76EA" w:rsidRPr="00B42343" w:rsidRDefault="003D060B" w:rsidP="009A76EA">
      <w:pPr>
        <w:pStyle w:val="Odstavecseseznamem"/>
        <w:numPr>
          <w:ilvl w:val="1"/>
          <w:numId w:val="3"/>
        </w:numPr>
        <w:spacing w:before="120" w:after="120" w:line="240" w:lineRule="auto"/>
        <w:contextualSpacing w:val="0"/>
        <w:jc w:val="both"/>
      </w:pPr>
      <w:r w:rsidRPr="00B42343">
        <w:t xml:space="preserve">Objednatel určí </w:t>
      </w:r>
      <w:r w:rsidR="009A76EA" w:rsidRPr="00B42343">
        <w:t xml:space="preserve">lokalitu datového centra </w:t>
      </w:r>
      <w:r w:rsidR="006F472C">
        <w:t xml:space="preserve">(DC) </w:t>
      </w:r>
      <w:r w:rsidR="009A76EA" w:rsidRPr="00B42343">
        <w:t xml:space="preserve">pro umístění </w:t>
      </w:r>
      <w:r w:rsidR="00BD134F" w:rsidRPr="00BD134F">
        <w:t>vývojového a interního</w:t>
      </w:r>
      <w:r w:rsidR="009A76EA" w:rsidRPr="00B42343">
        <w:t xml:space="preserve"> testovacího prostředí</w:t>
      </w:r>
      <w:r w:rsidR="006F472C">
        <w:t>.</w:t>
      </w:r>
    </w:p>
    <w:p w14:paraId="6A02383F" w14:textId="5847C18F" w:rsidR="009A76EA" w:rsidRPr="00B42343" w:rsidRDefault="003D060B" w:rsidP="009A76EA">
      <w:pPr>
        <w:pStyle w:val="Odstavecseseznamem"/>
        <w:numPr>
          <w:ilvl w:val="1"/>
          <w:numId w:val="3"/>
        </w:numPr>
        <w:spacing w:before="120" w:after="120" w:line="240" w:lineRule="auto"/>
        <w:contextualSpacing w:val="0"/>
        <w:jc w:val="both"/>
      </w:pPr>
      <w:r w:rsidRPr="00B42343">
        <w:t xml:space="preserve">Objednatel </w:t>
      </w:r>
      <w:r w:rsidR="009A76EA" w:rsidRPr="00B42343">
        <w:t xml:space="preserve">pro Poskytovatele </w:t>
      </w:r>
      <w:r w:rsidRPr="00B42343">
        <w:t xml:space="preserve">vyčlení </w:t>
      </w:r>
      <w:r w:rsidR="009A76EA" w:rsidRPr="00B42343">
        <w:t xml:space="preserve">v datovém centru </w:t>
      </w:r>
      <w:r w:rsidR="00861FA1" w:rsidRPr="00B42343">
        <w:t xml:space="preserve">minimálně </w:t>
      </w:r>
      <w:r w:rsidR="009A76EA" w:rsidRPr="00B42343">
        <w:t xml:space="preserve">jeden standardizovaný </w:t>
      </w:r>
      <w:r w:rsidR="00C82B9F">
        <w:t xml:space="preserve">uzamykatelný </w:t>
      </w:r>
      <w:r w:rsidR="009A76EA" w:rsidRPr="00B42343">
        <w:t>rack o počtu 42U, pokud nebude dohodnuto jinak</w:t>
      </w:r>
      <w:r w:rsidR="006F472C">
        <w:t>.</w:t>
      </w:r>
    </w:p>
    <w:p w14:paraId="6A023840" w14:textId="5A7197B6" w:rsidR="00861FA1" w:rsidRPr="00B42343" w:rsidRDefault="009A76EA" w:rsidP="009A76EA">
      <w:pPr>
        <w:pStyle w:val="Odstavecseseznamem"/>
        <w:numPr>
          <w:ilvl w:val="1"/>
          <w:numId w:val="3"/>
        </w:numPr>
        <w:spacing w:before="120" w:after="120" w:line="240" w:lineRule="auto"/>
        <w:contextualSpacing w:val="0"/>
        <w:jc w:val="both"/>
      </w:pPr>
      <w:r w:rsidRPr="00B42343">
        <w:t xml:space="preserve">Objednatel zajistí </w:t>
      </w:r>
      <w:r w:rsidR="00861FA1" w:rsidRPr="00B42343">
        <w:t>fyzický přístup do datov</w:t>
      </w:r>
      <w:r w:rsidR="00220805" w:rsidRPr="00B42343">
        <w:t xml:space="preserve">ého centra, kde bude umístěno vývojové a interní testovací prostředí podle stanovených pravidel v souladu s Provozními řády </w:t>
      </w:r>
      <w:r w:rsidR="006F472C">
        <w:t>Objednatele</w:t>
      </w:r>
      <w:r w:rsidR="00220805" w:rsidRPr="00B42343">
        <w:t xml:space="preserve">, součástí opatření je režimové řízení přístupu do objektů </w:t>
      </w:r>
      <w:r w:rsidR="006F472C">
        <w:t>Objednatele</w:t>
      </w:r>
      <w:r w:rsidR="00220805" w:rsidRPr="00B42343">
        <w:t xml:space="preserve"> včetně vjezdu a vstupu a řízení přístupu do vlastních DC</w:t>
      </w:r>
      <w:r w:rsidR="006F472C">
        <w:t>.</w:t>
      </w:r>
    </w:p>
    <w:p w14:paraId="6A023841" w14:textId="77777777" w:rsidR="00861FA1" w:rsidRPr="00B42343" w:rsidRDefault="003D060B" w:rsidP="00861FA1">
      <w:pPr>
        <w:pStyle w:val="Odstavecseseznamem"/>
        <w:numPr>
          <w:ilvl w:val="1"/>
          <w:numId w:val="3"/>
        </w:numPr>
        <w:spacing w:before="120" w:after="120" w:line="240" w:lineRule="auto"/>
        <w:contextualSpacing w:val="0"/>
        <w:jc w:val="both"/>
      </w:pPr>
      <w:r w:rsidRPr="00B42343">
        <w:t xml:space="preserve">Objednatel </w:t>
      </w:r>
      <w:r w:rsidR="00861FA1" w:rsidRPr="00B42343">
        <w:t>seznám</w:t>
      </w:r>
      <w:r w:rsidRPr="00B42343">
        <w:t xml:space="preserve">í Poskytovatele s provozním řádem DC, který </w:t>
      </w:r>
      <w:r w:rsidR="00861FA1" w:rsidRPr="00B42343">
        <w:t xml:space="preserve">je povinen </w:t>
      </w:r>
      <w:r w:rsidRPr="00B42343">
        <w:t xml:space="preserve">Poskytovatel následně </w:t>
      </w:r>
      <w:r w:rsidR="00861FA1" w:rsidRPr="00B42343">
        <w:t>dodržovat</w:t>
      </w:r>
      <w:r w:rsidRPr="00B42343">
        <w:t xml:space="preserve">. </w:t>
      </w:r>
      <w:r w:rsidR="00861FA1" w:rsidRPr="00B42343">
        <w:t xml:space="preserve"> Objednatel si vymiňuje právo kontroly dodržování provozního řádu vybraných pracovníků Poskytovatele případně přítomnost Objednatele při činnostech Poskytovatele v datovém centru.</w:t>
      </w:r>
    </w:p>
    <w:p w14:paraId="6A023842" w14:textId="420ADB1A" w:rsidR="00861FA1" w:rsidRPr="00B42343" w:rsidRDefault="009A76EA" w:rsidP="00861FA1">
      <w:pPr>
        <w:pStyle w:val="Odstavecseseznamem"/>
        <w:numPr>
          <w:ilvl w:val="1"/>
          <w:numId w:val="3"/>
        </w:numPr>
        <w:spacing w:before="120" w:after="120" w:line="240" w:lineRule="auto"/>
        <w:contextualSpacing w:val="0"/>
        <w:jc w:val="both"/>
      </w:pPr>
      <w:r w:rsidRPr="00B42343">
        <w:t xml:space="preserve">Objednatel si vyhrazuje právo monitorovat </w:t>
      </w:r>
      <w:r w:rsidR="00861FA1" w:rsidRPr="00B42343">
        <w:t xml:space="preserve">a řídit </w:t>
      </w:r>
      <w:r w:rsidRPr="00B42343">
        <w:t xml:space="preserve">konektivitu </w:t>
      </w:r>
      <w:r w:rsidR="00861FA1" w:rsidRPr="00B42343">
        <w:t xml:space="preserve">a přístup pracovníků Poskytovatele </w:t>
      </w:r>
      <w:r w:rsidRPr="00B42343">
        <w:t>do a z vývojového a interního testovacího prostředí</w:t>
      </w:r>
      <w:r w:rsidR="00861FA1" w:rsidRPr="00B42343">
        <w:t xml:space="preserve">, </w:t>
      </w:r>
      <w:r w:rsidR="00220805" w:rsidRPr="00B42343">
        <w:t>O</w:t>
      </w:r>
      <w:r w:rsidR="00861FA1" w:rsidRPr="00B42343">
        <w:t>bjednatel bude schvalovat a poskytovat Poskytovateli zabezpečené VPN přístupy do tohoto prostředí</w:t>
      </w:r>
      <w:r w:rsidR="006F472C">
        <w:t>.</w:t>
      </w:r>
      <w:r w:rsidR="00861FA1" w:rsidRPr="00B42343">
        <w:t xml:space="preserve"> </w:t>
      </w:r>
    </w:p>
    <w:p w14:paraId="6A023846" w14:textId="7755C6DD" w:rsidR="009A76EA" w:rsidRPr="00B42343" w:rsidRDefault="001E15B4" w:rsidP="00B42343">
      <w:pPr>
        <w:pStyle w:val="Odstavecseseznamem"/>
        <w:numPr>
          <w:ilvl w:val="1"/>
          <w:numId w:val="3"/>
        </w:numPr>
        <w:spacing w:before="120" w:after="120" w:line="240" w:lineRule="auto"/>
        <w:contextualSpacing w:val="0"/>
        <w:jc w:val="both"/>
      </w:pPr>
      <w:r>
        <w:t>Poskytovatel</w:t>
      </w:r>
      <w:r w:rsidR="009A76EA" w:rsidRPr="00B42343">
        <w:t xml:space="preserve"> zprac</w:t>
      </w:r>
      <w:r>
        <w:t>uje</w:t>
      </w:r>
      <w:r w:rsidR="009A76EA" w:rsidRPr="00B42343">
        <w:t xml:space="preserve"> návrh řešení </w:t>
      </w:r>
      <w:r w:rsidR="00861FA1" w:rsidRPr="00B42343">
        <w:t xml:space="preserve">procesů tvorby, </w:t>
      </w:r>
      <w:r w:rsidR="003D060B" w:rsidRPr="00B42343">
        <w:t>sestavení,</w:t>
      </w:r>
      <w:r w:rsidR="00861FA1" w:rsidRPr="00B42343">
        <w:t xml:space="preserve"> </w:t>
      </w:r>
      <w:r w:rsidR="009A76EA" w:rsidRPr="00B42343">
        <w:t xml:space="preserve">převodu </w:t>
      </w:r>
      <w:r w:rsidR="00861FA1" w:rsidRPr="00B42343">
        <w:t xml:space="preserve">binárního </w:t>
      </w:r>
      <w:r w:rsidR="009A76EA" w:rsidRPr="00B42343">
        <w:t>kódu a funkcionality </w:t>
      </w:r>
      <w:r w:rsidR="00861FA1" w:rsidRPr="00B42343">
        <w:t xml:space="preserve">v rámci vývojového prostředí a z prostředí vývojového do </w:t>
      </w:r>
      <w:proofErr w:type="spellStart"/>
      <w:r w:rsidR="00861FA1" w:rsidRPr="00B42343">
        <w:t>předprodukčního</w:t>
      </w:r>
      <w:proofErr w:type="spellEnd"/>
      <w:r w:rsidR="006F472C">
        <w:t>.</w:t>
      </w:r>
      <w:r w:rsidR="00861FA1" w:rsidRPr="00B42343">
        <w:t xml:space="preserve"> </w:t>
      </w:r>
    </w:p>
    <w:p w14:paraId="6A023847" w14:textId="69129314" w:rsidR="00220805" w:rsidRPr="00B42343" w:rsidRDefault="001E15B4" w:rsidP="00B42343">
      <w:pPr>
        <w:pStyle w:val="Odstavecseseznamem"/>
        <w:numPr>
          <w:ilvl w:val="1"/>
          <w:numId w:val="3"/>
        </w:numPr>
        <w:spacing w:before="120" w:after="120" w:line="240" w:lineRule="auto"/>
        <w:contextualSpacing w:val="0"/>
        <w:jc w:val="both"/>
      </w:pPr>
      <w:r>
        <w:t>Poskytovatel</w:t>
      </w:r>
      <w:r w:rsidR="00220805" w:rsidRPr="00B42343">
        <w:t xml:space="preserve"> zprac</w:t>
      </w:r>
      <w:r>
        <w:t>uje</w:t>
      </w:r>
      <w:r w:rsidR="00220805" w:rsidRPr="00B42343">
        <w:t xml:space="preserve"> návrh architektury vývojového a interního testovacího prostředí a použitých SW nástrojů pro vývoj aplikací (nástroje pro správu a řízení procesů vývoje, včetně zajištění verzování, schvalovacích workflow atd.)</w:t>
      </w:r>
      <w:r w:rsidR="006F472C">
        <w:t>.</w:t>
      </w:r>
      <w:r w:rsidR="00220805" w:rsidRPr="00B42343">
        <w:t xml:space="preserve"> </w:t>
      </w:r>
    </w:p>
    <w:p w14:paraId="6A023848" w14:textId="02F4AAF7" w:rsidR="00220805" w:rsidRPr="00B42343" w:rsidRDefault="001E15B4" w:rsidP="00B42343">
      <w:pPr>
        <w:pStyle w:val="Odstavecseseznamem"/>
        <w:numPr>
          <w:ilvl w:val="1"/>
          <w:numId w:val="3"/>
        </w:numPr>
        <w:spacing w:before="120" w:after="120" w:line="240" w:lineRule="auto"/>
        <w:contextualSpacing w:val="0"/>
        <w:jc w:val="both"/>
      </w:pPr>
      <w:r>
        <w:t>Poskytovatel</w:t>
      </w:r>
      <w:r w:rsidRPr="00B42343">
        <w:t xml:space="preserve"> zprac</w:t>
      </w:r>
      <w:r>
        <w:t>uje</w:t>
      </w:r>
      <w:r w:rsidRPr="00B42343">
        <w:t xml:space="preserve"> </w:t>
      </w:r>
      <w:r w:rsidR="007A2D25" w:rsidRPr="00B42343">
        <w:t xml:space="preserve">přesný postup sestavování binárních kódů, popis </w:t>
      </w:r>
      <w:r w:rsidR="00220805" w:rsidRPr="00B42343">
        <w:t>řešení procesů tvorby</w:t>
      </w:r>
      <w:r w:rsidR="007A2D25" w:rsidRPr="00B42343">
        <w:t xml:space="preserve"> a procesu vytváření zdrojových kódů,</w:t>
      </w:r>
      <w:r w:rsidR="00220805" w:rsidRPr="00B42343">
        <w:t xml:space="preserve"> </w:t>
      </w:r>
      <w:r w:rsidR="002048BD" w:rsidRPr="00B42343">
        <w:t xml:space="preserve">popis procesu přenosu vyvíjených aplikací z </w:t>
      </w:r>
      <w:r w:rsidR="00220805" w:rsidRPr="00B42343">
        <w:t xml:space="preserve">prostředí vývojového do </w:t>
      </w:r>
      <w:proofErr w:type="spellStart"/>
      <w:r w:rsidR="00220805" w:rsidRPr="00B42343">
        <w:t>předprodukčního</w:t>
      </w:r>
      <w:proofErr w:type="spellEnd"/>
      <w:r w:rsidR="006F472C">
        <w:t>.</w:t>
      </w:r>
      <w:r w:rsidR="002048BD" w:rsidRPr="00B42343">
        <w:t xml:space="preserve"> </w:t>
      </w:r>
    </w:p>
    <w:p w14:paraId="6A023849" w14:textId="77777777" w:rsidR="003D060B" w:rsidRPr="00B42343" w:rsidRDefault="003D060B" w:rsidP="00B42343">
      <w:pPr>
        <w:rPr>
          <w:b/>
        </w:rPr>
      </w:pPr>
      <w:r w:rsidRPr="00B42343">
        <w:rPr>
          <w:b/>
        </w:rPr>
        <w:t>Požadavky na Poskytovatele:</w:t>
      </w:r>
    </w:p>
    <w:p w14:paraId="6A02384A" w14:textId="2D1EDAB6" w:rsidR="009A76EA" w:rsidRPr="00B42343" w:rsidRDefault="009A76EA" w:rsidP="009A76EA">
      <w:pPr>
        <w:pStyle w:val="Odstavecseseznamem"/>
        <w:numPr>
          <w:ilvl w:val="1"/>
          <w:numId w:val="3"/>
        </w:numPr>
        <w:spacing w:before="120" w:after="120" w:line="240" w:lineRule="auto"/>
        <w:contextualSpacing w:val="0"/>
        <w:jc w:val="both"/>
      </w:pPr>
      <w:r w:rsidRPr="00BD134F">
        <w:t xml:space="preserve">Poskytovatel </w:t>
      </w:r>
      <w:r w:rsidR="00BD134F" w:rsidRPr="00BD134F">
        <w:t xml:space="preserve">zpracuje </w:t>
      </w:r>
      <w:r w:rsidRPr="00BD134F">
        <w:t>návrh technické infrastruktury</w:t>
      </w:r>
      <w:r w:rsidR="006F472C">
        <w:t>.</w:t>
      </w:r>
      <w:r w:rsidRPr="00BD134F">
        <w:t xml:space="preserve"> </w:t>
      </w:r>
    </w:p>
    <w:p w14:paraId="6A02384B" w14:textId="3063911D" w:rsidR="009A76EA" w:rsidRPr="00B42343" w:rsidRDefault="009A76EA" w:rsidP="009A76EA">
      <w:pPr>
        <w:pStyle w:val="Odstavecseseznamem"/>
        <w:numPr>
          <w:ilvl w:val="1"/>
          <w:numId w:val="3"/>
        </w:numPr>
        <w:spacing w:before="120" w:after="120" w:line="240" w:lineRule="auto"/>
        <w:contextualSpacing w:val="0"/>
        <w:jc w:val="both"/>
      </w:pPr>
      <w:r w:rsidRPr="00BD134F">
        <w:t xml:space="preserve">Poskytovatel zajistí dodání a instalaci </w:t>
      </w:r>
      <w:r w:rsidR="0082799C">
        <w:t xml:space="preserve">veškerého potřebného </w:t>
      </w:r>
      <w:r w:rsidRPr="00BD134F">
        <w:t>SW a HW.</w:t>
      </w:r>
    </w:p>
    <w:p w14:paraId="6A02384C" w14:textId="29E11B80" w:rsidR="009A76EA" w:rsidRPr="00BD134F" w:rsidRDefault="009A76EA" w:rsidP="009A76EA">
      <w:pPr>
        <w:pStyle w:val="Odstavecseseznamem"/>
        <w:numPr>
          <w:ilvl w:val="1"/>
          <w:numId w:val="3"/>
        </w:numPr>
        <w:spacing w:before="120" w:after="120" w:line="240" w:lineRule="auto"/>
        <w:contextualSpacing w:val="0"/>
        <w:jc w:val="both"/>
      </w:pPr>
      <w:r w:rsidRPr="00BD134F">
        <w:t xml:space="preserve">Poskytovatel zajistí implementaci zdrojových kódů </w:t>
      </w:r>
      <w:r w:rsidR="0082799C">
        <w:t>díla včetně ostatních potřebných externích částí</w:t>
      </w:r>
      <w:r w:rsidR="006F472C">
        <w:t>,</w:t>
      </w:r>
      <w:r w:rsidRPr="00BD134F">
        <w:t xml:space="preserve"> vytvoření vývojového a interního testovacího prostředí pro účely Služeb rozvoje, které zahrnuje vytvoření prostředí vhodného pro:</w:t>
      </w:r>
    </w:p>
    <w:p w14:paraId="6A02384D" w14:textId="21A511F2" w:rsidR="009A76EA" w:rsidRPr="00BD134F" w:rsidRDefault="009A76EA" w:rsidP="009A76EA">
      <w:pPr>
        <w:numPr>
          <w:ilvl w:val="0"/>
          <w:numId w:val="6"/>
        </w:numPr>
        <w:contextualSpacing/>
        <w:jc w:val="both"/>
      </w:pPr>
      <w:r w:rsidRPr="00BD134F">
        <w:t>editaci a řízení změn zdrojového kódu včetně systému ver</w:t>
      </w:r>
      <w:r w:rsidR="00A4739C">
        <w:t>z</w:t>
      </w:r>
      <w:r w:rsidRPr="00BD134F">
        <w:t xml:space="preserve">ování zdrojového kódu ve vhodném SW nástroji s komentářem kódu po dobu platnosti </w:t>
      </w:r>
      <w:r w:rsidR="006F472C">
        <w:t>S</w:t>
      </w:r>
      <w:r w:rsidRPr="00BD134F">
        <w:t xml:space="preserve">mlouvy. Objednatel si může při každém novém </w:t>
      </w:r>
      <w:proofErr w:type="spellStart"/>
      <w:r w:rsidR="006118CE">
        <w:t>r</w:t>
      </w:r>
      <w:r w:rsidRPr="00BD134F">
        <w:t>eleasu</w:t>
      </w:r>
      <w:proofErr w:type="spellEnd"/>
      <w:r w:rsidRPr="00BD134F">
        <w:t xml:space="preserve"> – nasazení změn – vyžádat kontrolu změn,  </w:t>
      </w:r>
    </w:p>
    <w:p w14:paraId="6A02384E" w14:textId="77777777" w:rsidR="009A76EA" w:rsidRPr="00BD134F" w:rsidRDefault="009A76EA" w:rsidP="009A76EA">
      <w:pPr>
        <w:numPr>
          <w:ilvl w:val="0"/>
          <w:numId w:val="6"/>
        </w:numPr>
        <w:contextualSpacing/>
        <w:jc w:val="both"/>
      </w:pPr>
      <w:r w:rsidRPr="00BD134F">
        <w:t>sestavení binárního kódu,</w:t>
      </w:r>
    </w:p>
    <w:p w14:paraId="6A02384F" w14:textId="77777777" w:rsidR="009A76EA" w:rsidRPr="00BD134F" w:rsidRDefault="009A76EA" w:rsidP="009A76EA">
      <w:pPr>
        <w:numPr>
          <w:ilvl w:val="0"/>
          <w:numId w:val="6"/>
        </w:numPr>
        <w:contextualSpacing/>
        <w:jc w:val="both"/>
      </w:pPr>
      <w:r w:rsidRPr="00BD134F">
        <w:t xml:space="preserve">testování binárních aplikací. </w:t>
      </w:r>
    </w:p>
    <w:p w14:paraId="6A023850" w14:textId="15D914A1" w:rsidR="009A76EA" w:rsidRPr="00BD134F" w:rsidRDefault="009A76EA" w:rsidP="009A76EA">
      <w:pPr>
        <w:pStyle w:val="Odstavecseseznamem"/>
        <w:numPr>
          <w:ilvl w:val="1"/>
          <w:numId w:val="3"/>
        </w:numPr>
        <w:spacing w:before="120" w:after="120" w:line="240" w:lineRule="auto"/>
        <w:contextualSpacing w:val="0"/>
        <w:jc w:val="both"/>
      </w:pPr>
      <w:r w:rsidRPr="00BD134F">
        <w:t>Poskytovatel bude zajišťovat administraci a správu prostředí</w:t>
      </w:r>
      <w:r w:rsidR="006F472C">
        <w:t>.</w:t>
      </w:r>
    </w:p>
    <w:p w14:paraId="6A023851" w14:textId="528ECACD" w:rsidR="009A76EA" w:rsidRPr="00BD134F" w:rsidRDefault="009A76EA" w:rsidP="00BD134F">
      <w:pPr>
        <w:pStyle w:val="Odstavecseseznamem"/>
        <w:numPr>
          <w:ilvl w:val="1"/>
          <w:numId w:val="3"/>
        </w:numPr>
        <w:spacing w:before="120" w:after="120" w:line="240" w:lineRule="auto"/>
        <w:contextualSpacing w:val="0"/>
        <w:jc w:val="both"/>
      </w:pPr>
      <w:r w:rsidRPr="00BD134F">
        <w:lastRenderedPageBreak/>
        <w:t>Na základě požadavk</w:t>
      </w:r>
      <w:r w:rsidR="00321D46">
        <w:t>u</w:t>
      </w:r>
      <w:r w:rsidRPr="00BD134F">
        <w:t xml:space="preserve"> Objednatele umožní Poskytovatel určeným osobám Objednatele přístup do tohoto prostředí </w:t>
      </w:r>
      <w:r w:rsidR="002048BD" w:rsidRPr="00BD134F">
        <w:t xml:space="preserve">SW nástroje pro vývoj aplikací </w:t>
      </w:r>
      <w:r w:rsidRPr="00BD134F">
        <w:t xml:space="preserve">s oprávněním </w:t>
      </w:r>
      <w:proofErr w:type="spellStart"/>
      <w:r w:rsidRPr="00BD134F">
        <w:t>Read</w:t>
      </w:r>
      <w:proofErr w:type="spellEnd"/>
      <w:r w:rsidRPr="00BD134F">
        <w:t xml:space="preserve"> </w:t>
      </w:r>
      <w:proofErr w:type="spellStart"/>
      <w:r w:rsidRPr="00BD134F">
        <w:t>Only</w:t>
      </w:r>
      <w:proofErr w:type="spellEnd"/>
      <w:r w:rsidR="006F472C">
        <w:t>.</w:t>
      </w:r>
    </w:p>
    <w:p w14:paraId="6A023852" w14:textId="16B5613C" w:rsidR="009A76EA" w:rsidRPr="00B42343" w:rsidRDefault="009A76EA" w:rsidP="009A76EA">
      <w:pPr>
        <w:pStyle w:val="Odstavecseseznamem"/>
        <w:numPr>
          <w:ilvl w:val="1"/>
          <w:numId w:val="3"/>
        </w:numPr>
        <w:spacing w:before="120" w:after="120" w:line="240" w:lineRule="auto"/>
        <w:contextualSpacing w:val="0"/>
        <w:jc w:val="both"/>
      </w:pPr>
      <w:r w:rsidRPr="00BD134F">
        <w:t xml:space="preserve">Poskytovatel bude zajišťovat vedení historie </w:t>
      </w:r>
      <w:proofErr w:type="spellStart"/>
      <w:r w:rsidR="006118CE">
        <w:t>r</w:t>
      </w:r>
      <w:r w:rsidRPr="00BD134F">
        <w:t>eleasů</w:t>
      </w:r>
      <w:proofErr w:type="spellEnd"/>
      <w:r w:rsidR="002048BD" w:rsidRPr="00BD134F">
        <w:t xml:space="preserve">. K této historii Objednatel požaduje přístup. </w:t>
      </w:r>
    </w:p>
    <w:p w14:paraId="6A023853" w14:textId="3BE8D1A5" w:rsidR="009A76EA" w:rsidRPr="00B42343" w:rsidRDefault="00BD134F" w:rsidP="009A76EA">
      <w:pPr>
        <w:pStyle w:val="Odstavecseseznamem"/>
        <w:numPr>
          <w:ilvl w:val="1"/>
          <w:numId w:val="3"/>
        </w:numPr>
        <w:spacing w:before="120" w:after="120" w:line="240" w:lineRule="auto"/>
        <w:contextualSpacing w:val="0"/>
        <w:jc w:val="both"/>
      </w:pPr>
      <w:r w:rsidRPr="00BD134F">
        <w:t>Poskytovatel zajistí</w:t>
      </w:r>
      <w:r w:rsidR="009A76EA" w:rsidRPr="00B42343">
        <w:t xml:space="preserve"> zálohování </w:t>
      </w:r>
      <w:r w:rsidR="00C82B9F">
        <w:t xml:space="preserve">dat </w:t>
      </w:r>
      <w:r w:rsidR="002048BD" w:rsidRPr="00B42343">
        <w:t>SW nástroj</w:t>
      </w:r>
      <w:r w:rsidR="0082799C">
        <w:t>i</w:t>
      </w:r>
      <w:r w:rsidR="002048BD" w:rsidRPr="00B42343">
        <w:t xml:space="preserve"> pro vývoj aplikací včetně všech zdrojových a binárních kódů a všech jejich verzí. Pro vývojové a interní prostředí a </w:t>
      </w:r>
      <w:r w:rsidR="009A76EA" w:rsidRPr="00B42343">
        <w:t>zpracuje plán obnovy</w:t>
      </w:r>
      <w:r w:rsidR="006F472C">
        <w:t>.</w:t>
      </w:r>
      <w:r w:rsidR="009A76EA" w:rsidRPr="00B42343">
        <w:t xml:space="preserve"> </w:t>
      </w:r>
      <w:r w:rsidR="0082799C">
        <w:t>Kopie těchto záloh budou pravidelně předávány Objednateli</w:t>
      </w:r>
      <w:r w:rsidR="00C77223">
        <w:t>.</w:t>
      </w:r>
    </w:p>
    <w:p w14:paraId="6A023854" w14:textId="725F14DF" w:rsidR="009A76EA" w:rsidRPr="003E562A" w:rsidRDefault="009A76EA" w:rsidP="00B42343">
      <w:pPr>
        <w:spacing w:before="240"/>
        <w:jc w:val="both"/>
      </w:pPr>
      <w:r>
        <w:t xml:space="preserve">Pro účely Smlouvy definuje </w:t>
      </w:r>
      <w:r w:rsidR="00F77994">
        <w:t xml:space="preserve">nebo upřesní </w:t>
      </w:r>
      <w:r>
        <w:t>Poskytovatel požadavky na části zajišťované Objednatelem, jedná se především o požadavky na:</w:t>
      </w:r>
    </w:p>
    <w:p w14:paraId="720F81AE" w14:textId="77777777" w:rsidR="007C007A" w:rsidRPr="00616B37" w:rsidRDefault="007C007A" w:rsidP="007C007A">
      <w:pPr>
        <w:pStyle w:val="Odstavecseseznamem"/>
        <w:numPr>
          <w:ilvl w:val="0"/>
          <w:numId w:val="13"/>
        </w:numPr>
        <w:spacing w:before="120" w:after="120"/>
        <w:contextualSpacing w:val="0"/>
      </w:pPr>
      <w:r w:rsidRPr="00616B37">
        <w:t xml:space="preserve">Prostory </w:t>
      </w:r>
    </w:p>
    <w:p w14:paraId="57EED91C" w14:textId="77777777" w:rsidR="007C007A" w:rsidRPr="004C7E4E" w:rsidRDefault="007C007A" w:rsidP="007C007A">
      <w:pPr>
        <w:pStyle w:val="Odstavecseseznamem"/>
        <w:spacing w:before="120" w:after="120"/>
        <w:ind w:left="1423"/>
        <w:contextualSpacing w:val="0"/>
      </w:pPr>
      <w:r w:rsidRPr="004C7E4E">
        <w:t xml:space="preserve">Poskytovatel </w:t>
      </w:r>
      <w:r w:rsidRPr="00616B37">
        <w:t>bude</w:t>
      </w:r>
      <w:r w:rsidRPr="00D404E3">
        <w:rPr>
          <w:color w:val="FF0000"/>
        </w:rPr>
        <w:t xml:space="preserve"> </w:t>
      </w:r>
      <w:r w:rsidRPr="004C7E4E">
        <w:t>potřebovat další prostor mimo vyčleněné racky pro manipulaci a přípravné práce pro vytvoření prostředí v dané lokalitě.</w:t>
      </w:r>
    </w:p>
    <w:p w14:paraId="010BEC67" w14:textId="77777777" w:rsidR="007C007A" w:rsidRPr="00616B37" w:rsidRDefault="007C007A" w:rsidP="007C007A">
      <w:pPr>
        <w:pStyle w:val="Odstavecseseznamem"/>
        <w:numPr>
          <w:ilvl w:val="0"/>
          <w:numId w:val="2"/>
        </w:numPr>
        <w:spacing w:before="120" w:after="120"/>
        <w:ind w:left="1423" w:hanging="357"/>
        <w:contextualSpacing w:val="0"/>
      </w:pPr>
      <w:r w:rsidRPr="00616B37">
        <w:t xml:space="preserve">Napájení </w:t>
      </w:r>
    </w:p>
    <w:p w14:paraId="4178EE1B" w14:textId="77777777" w:rsidR="007C007A" w:rsidRPr="00F77994" w:rsidRDefault="007C007A" w:rsidP="007C007A">
      <w:pPr>
        <w:pStyle w:val="Odstavecseseznamem"/>
        <w:numPr>
          <w:ilvl w:val="0"/>
          <w:numId w:val="11"/>
        </w:numPr>
        <w:spacing w:before="120" w:after="120"/>
        <w:contextualSpacing w:val="0"/>
        <w:rPr>
          <w:rFonts w:asciiTheme="minorHAnsi" w:eastAsiaTheme="minorEastAsia" w:hAnsiTheme="minorHAnsi" w:cstheme="minorBidi"/>
        </w:rPr>
      </w:pPr>
      <w:r>
        <w:t>Jeden rack.</w:t>
      </w:r>
    </w:p>
    <w:p w14:paraId="57534E9C" w14:textId="77777777" w:rsidR="007C007A" w:rsidRPr="00F77994" w:rsidRDefault="007C007A" w:rsidP="007C007A">
      <w:pPr>
        <w:pStyle w:val="Odstavecseseznamem"/>
        <w:numPr>
          <w:ilvl w:val="0"/>
          <w:numId w:val="11"/>
        </w:numPr>
        <w:spacing w:before="120" w:after="120"/>
        <w:contextualSpacing w:val="0"/>
      </w:pPr>
      <w:r>
        <w:t>Zálohované napájení.</w:t>
      </w:r>
    </w:p>
    <w:p w14:paraId="31FBA2F2" w14:textId="77777777" w:rsidR="007C007A" w:rsidRPr="00F77994" w:rsidRDefault="007C007A" w:rsidP="007C007A">
      <w:pPr>
        <w:pStyle w:val="Odstavecseseznamem"/>
        <w:numPr>
          <w:ilvl w:val="2"/>
          <w:numId w:val="10"/>
        </w:numPr>
        <w:spacing w:before="120" w:after="120"/>
        <w:contextualSpacing w:val="0"/>
        <w:rPr>
          <w:rFonts w:asciiTheme="minorHAnsi" w:eastAsiaTheme="minorEastAsia" w:hAnsiTheme="minorHAnsi" w:cstheme="minorBidi"/>
        </w:rPr>
      </w:pPr>
      <w:r>
        <w:t>Dvě nezávislé větve, každá 2,5 kW.</w:t>
      </w:r>
    </w:p>
    <w:p w14:paraId="1DA6E373" w14:textId="77777777" w:rsidR="007C007A" w:rsidRPr="00F77994" w:rsidRDefault="007C007A" w:rsidP="007C007A">
      <w:pPr>
        <w:pStyle w:val="Odstavecseseznamem"/>
        <w:numPr>
          <w:ilvl w:val="2"/>
          <w:numId w:val="9"/>
        </w:numPr>
        <w:spacing w:before="120" w:after="120"/>
        <w:contextualSpacing w:val="0"/>
        <w:rPr>
          <w:rFonts w:asciiTheme="minorHAnsi" w:eastAsiaTheme="minorEastAsia" w:hAnsiTheme="minorHAnsi" w:cstheme="minorBidi"/>
        </w:rPr>
      </w:pPr>
      <w:r>
        <w:t xml:space="preserve">Jištění 10 A, </w:t>
      </w:r>
      <w:proofErr w:type="gramStart"/>
      <w:r>
        <w:t>230V</w:t>
      </w:r>
      <w:proofErr w:type="gramEnd"/>
      <w:r>
        <w:t>.</w:t>
      </w:r>
    </w:p>
    <w:p w14:paraId="26707BD6" w14:textId="77777777" w:rsidR="007C007A" w:rsidRPr="00616B37" w:rsidRDefault="007C007A" w:rsidP="007C007A">
      <w:pPr>
        <w:pStyle w:val="Odstavecseseznamem"/>
        <w:numPr>
          <w:ilvl w:val="2"/>
          <w:numId w:val="8"/>
        </w:numPr>
        <w:spacing w:before="120" w:after="120"/>
        <w:contextualSpacing w:val="0"/>
        <w:rPr>
          <w:rFonts w:asciiTheme="minorHAnsi" w:eastAsiaTheme="minorEastAsia" w:hAnsiTheme="minorHAnsi" w:cstheme="minorBidi"/>
        </w:rPr>
      </w:pPr>
      <w:r w:rsidRPr="00616B37">
        <w:t>Každá větev ukončená pomocí PDU se zásuvkou 8x C13.</w:t>
      </w:r>
    </w:p>
    <w:p w14:paraId="444B780A" w14:textId="77777777" w:rsidR="007C007A" w:rsidRPr="00616B37" w:rsidRDefault="007C007A" w:rsidP="007C007A">
      <w:pPr>
        <w:pStyle w:val="Odstavecseseznamem"/>
        <w:spacing w:before="120" w:after="120"/>
        <w:ind w:left="1423"/>
        <w:contextualSpacing w:val="0"/>
        <w:rPr>
          <w:i/>
          <w:iCs/>
          <w:highlight w:val="yellow"/>
        </w:rPr>
      </w:pPr>
      <w:r w:rsidRPr="00616B37">
        <w:rPr>
          <w:i/>
          <w:iCs/>
        </w:rPr>
        <w:t xml:space="preserve">Pro standardizovaný rack 42U je stanovena maximální hodnota </w:t>
      </w:r>
      <w:r w:rsidRPr="00616B37">
        <w:rPr>
          <w:bCs/>
          <w:i/>
          <w:iCs/>
        </w:rPr>
        <w:t>8 kW. V případě vyšší potřeby je třeba prvky rozdělit do dvou nebo více racků</w:t>
      </w:r>
    </w:p>
    <w:p w14:paraId="1E48F36C" w14:textId="77777777" w:rsidR="007C007A" w:rsidRPr="00616B37" w:rsidRDefault="007C007A" w:rsidP="007C007A">
      <w:pPr>
        <w:pStyle w:val="Odstavecseseznamem"/>
        <w:numPr>
          <w:ilvl w:val="0"/>
          <w:numId w:val="2"/>
        </w:numPr>
        <w:spacing w:before="120" w:after="120"/>
        <w:ind w:left="1423" w:hanging="357"/>
        <w:contextualSpacing w:val="0"/>
      </w:pPr>
      <w:r w:rsidRPr="00616B37">
        <w:t xml:space="preserve">Datové komunikace </w:t>
      </w:r>
    </w:p>
    <w:p w14:paraId="6FAF3D44" w14:textId="77777777" w:rsidR="007C007A" w:rsidRPr="00616B37" w:rsidRDefault="007C007A" w:rsidP="007C007A">
      <w:pPr>
        <w:pStyle w:val="Odstavecseseznamem"/>
        <w:numPr>
          <w:ilvl w:val="1"/>
          <w:numId w:val="12"/>
        </w:numPr>
        <w:spacing w:before="120" w:after="120"/>
        <w:contextualSpacing w:val="0"/>
        <w:rPr>
          <w:rFonts w:asciiTheme="minorHAnsi" w:eastAsiaTheme="minorEastAsia" w:hAnsiTheme="minorHAnsi" w:cstheme="minorBidi"/>
        </w:rPr>
      </w:pPr>
      <w:r w:rsidRPr="00616B37">
        <w:t>Redundantní připojení.</w:t>
      </w:r>
    </w:p>
    <w:p w14:paraId="30CE3B09" w14:textId="77777777" w:rsidR="007C007A" w:rsidRPr="005B58D9" w:rsidRDefault="007C007A" w:rsidP="007C007A">
      <w:pPr>
        <w:pStyle w:val="Odstavecseseznamem"/>
        <w:numPr>
          <w:ilvl w:val="1"/>
          <w:numId w:val="12"/>
        </w:numPr>
        <w:spacing w:before="120" w:after="120"/>
        <w:contextualSpacing w:val="0"/>
        <w:rPr>
          <w:rFonts w:asciiTheme="minorHAnsi" w:eastAsiaTheme="minorEastAsia" w:hAnsiTheme="minorHAnsi" w:cstheme="minorBidi"/>
        </w:rPr>
      </w:pPr>
      <w:r>
        <w:t>2x 1000Base-T/100Base-TX.</w:t>
      </w:r>
    </w:p>
    <w:p w14:paraId="72BBA04F" w14:textId="77777777" w:rsidR="007C007A" w:rsidRPr="00616B37" w:rsidRDefault="007C007A" w:rsidP="007C007A">
      <w:pPr>
        <w:pStyle w:val="Odstavecseseznamem"/>
        <w:numPr>
          <w:ilvl w:val="1"/>
          <w:numId w:val="12"/>
        </w:numPr>
        <w:spacing w:before="120" w:after="120"/>
        <w:contextualSpacing w:val="0"/>
      </w:pPr>
      <w:r w:rsidRPr="00616B37">
        <w:t>Podpora 802.3ad (LACP) nebo 802.</w:t>
      </w:r>
      <w:proofErr w:type="gramStart"/>
      <w:r w:rsidRPr="00616B37">
        <w:t>1d</w:t>
      </w:r>
      <w:proofErr w:type="gramEnd"/>
      <w:r w:rsidRPr="00616B37">
        <w:t xml:space="preserve"> (STP), 802.1s (RSTP) nebo 802.1w(MSTP)).</w:t>
      </w:r>
    </w:p>
    <w:p w14:paraId="2301E0F3" w14:textId="77777777" w:rsidR="007C007A" w:rsidRPr="00D404E3" w:rsidRDefault="007C007A" w:rsidP="007C007A">
      <w:pPr>
        <w:pStyle w:val="Odstavecseseznamem"/>
        <w:numPr>
          <w:ilvl w:val="1"/>
          <w:numId w:val="12"/>
        </w:numPr>
        <w:spacing w:before="120" w:after="120"/>
        <w:contextualSpacing w:val="0"/>
      </w:pPr>
      <w:r>
        <w:t>Rychlost připojení 100 Mbit.</w:t>
      </w:r>
    </w:p>
    <w:p w14:paraId="1A1F93A3" w14:textId="77777777" w:rsidR="007C007A" w:rsidRPr="00616B37" w:rsidRDefault="007C007A" w:rsidP="007C007A">
      <w:pPr>
        <w:pStyle w:val="Odstavecseseznamem"/>
        <w:spacing w:before="120" w:after="120"/>
        <w:ind w:left="1423"/>
        <w:contextualSpacing w:val="0"/>
        <w:rPr>
          <w:i/>
          <w:iCs/>
        </w:rPr>
      </w:pPr>
      <w:r w:rsidRPr="00616B37">
        <w:rPr>
          <w:i/>
          <w:iCs/>
        </w:rPr>
        <w:t xml:space="preserve">Maximální hodnota poskytované konektivity je </w:t>
      </w:r>
      <w:r w:rsidRPr="00616B37">
        <w:rPr>
          <w:bCs/>
          <w:i/>
          <w:iCs/>
        </w:rPr>
        <w:t>100Mb.</w:t>
      </w:r>
    </w:p>
    <w:p w14:paraId="486F8106" w14:textId="77777777" w:rsidR="007C007A" w:rsidRPr="00616B37" w:rsidRDefault="007C007A" w:rsidP="007C007A">
      <w:pPr>
        <w:pStyle w:val="Odstavecseseznamem"/>
        <w:numPr>
          <w:ilvl w:val="0"/>
          <w:numId w:val="2"/>
        </w:numPr>
        <w:spacing w:before="120" w:after="120"/>
        <w:ind w:left="1423" w:hanging="357"/>
        <w:contextualSpacing w:val="0"/>
      </w:pPr>
      <w:r w:rsidRPr="00616B37">
        <w:t xml:space="preserve">Dostupnost, vzdálené přístupy </w:t>
      </w:r>
    </w:p>
    <w:p w14:paraId="78B58E7B" w14:textId="77777777" w:rsidR="007C007A" w:rsidRPr="008467D0" w:rsidRDefault="007C007A" w:rsidP="007C007A">
      <w:pPr>
        <w:pStyle w:val="Odstavecseseznamem"/>
        <w:numPr>
          <w:ilvl w:val="1"/>
          <w:numId w:val="12"/>
        </w:numPr>
        <w:spacing w:before="120" w:after="120"/>
        <w:contextualSpacing w:val="0"/>
      </w:pPr>
      <w:r w:rsidRPr="00616B37">
        <w:t>Očekávaná dostupnost služeb HC a Internetové konektivity 99,9 %, vyhodnocováno měsíčně. Dostupnost prostředí bude monitorována prostředky Poskytovatele.</w:t>
      </w:r>
    </w:p>
    <w:p w14:paraId="6827F393" w14:textId="77777777" w:rsidR="007C007A" w:rsidRPr="008467D0" w:rsidRDefault="007C007A" w:rsidP="007C007A">
      <w:pPr>
        <w:pStyle w:val="Odstavecseseznamem"/>
        <w:numPr>
          <w:ilvl w:val="1"/>
          <w:numId w:val="12"/>
        </w:numPr>
        <w:spacing w:before="120" w:after="120"/>
        <w:contextualSpacing w:val="0"/>
      </w:pPr>
      <w:r w:rsidRPr="008467D0">
        <w:t>Neomezovaný přístup (například firewallem) na vývojové prostředí</w:t>
      </w:r>
    </w:p>
    <w:p w14:paraId="5FB84802" w14:textId="77777777" w:rsidR="007C007A" w:rsidRPr="008467D0" w:rsidRDefault="007C007A" w:rsidP="007C007A">
      <w:pPr>
        <w:pStyle w:val="Odstavecseseznamem"/>
        <w:numPr>
          <w:ilvl w:val="1"/>
          <w:numId w:val="12"/>
        </w:numPr>
        <w:spacing w:before="120" w:after="120"/>
        <w:contextualSpacing w:val="0"/>
      </w:pPr>
      <w:r w:rsidRPr="008467D0">
        <w:t>Poskytovatele na TCP porty 443 na IPv4 a IPv6 protokolech.</w:t>
      </w:r>
    </w:p>
    <w:p w14:paraId="3BAF6D5D" w14:textId="77777777" w:rsidR="007C007A" w:rsidRPr="00616B37" w:rsidRDefault="007C007A" w:rsidP="007C007A">
      <w:pPr>
        <w:pStyle w:val="Odstavecseseznamem"/>
        <w:spacing w:before="120" w:after="120"/>
        <w:ind w:left="1428"/>
        <w:contextualSpacing w:val="0"/>
        <w:rPr>
          <w:i/>
          <w:iCs/>
          <w:highlight w:val="yellow"/>
        </w:rPr>
      </w:pPr>
      <w:r w:rsidRPr="00616B37">
        <w:rPr>
          <w:i/>
          <w:iCs/>
        </w:rPr>
        <w:t>Vzdálené přístupy budou zřízeny prostřednictvím zabezpečené VPN ve správě Objednatele.</w:t>
      </w:r>
    </w:p>
    <w:p w14:paraId="54034D32" w14:textId="77777777" w:rsidR="007C007A" w:rsidRPr="00616B37" w:rsidRDefault="007C007A" w:rsidP="007C007A">
      <w:pPr>
        <w:pStyle w:val="Odstavecseseznamem"/>
        <w:numPr>
          <w:ilvl w:val="0"/>
          <w:numId w:val="2"/>
        </w:numPr>
        <w:spacing w:before="120" w:after="120"/>
        <w:ind w:left="1423" w:hanging="357"/>
        <w:contextualSpacing w:val="0"/>
      </w:pPr>
      <w:r w:rsidRPr="00616B37">
        <w:t xml:space="preserve">Fyzické přístupy do datového centra </w:t>
      </w:r>
    </w:p>
    <w:p w14:paraId="1DB54AC9" w14:textId="77777777" w:rsidR="007C007A" w:rsidRPr="00616B37" w:rsidRDefault="007C007A" w:rsidP="007C007A">
      <w:pPr>
        <w:pStyle w:val="Odstavecseseznamem"/>
        <w:numPr>
          <w:ilvl w:val="1"/>
          <w:numId w:val="12"/>
        </w:numPr>
        <w:spacing w:before="120" w:after="120"/>
        <w:contextualSpacing w:val="0"/>
      </w:pPr>
      <w:r w:rsidRPr="00616B37">
        <w:t>Budou potřeba v počtu pěti přístupů.</w:t>
      </w:r>
    </w:p>
    <w:p w14:paraId="4F02CFC5" w14:textId="77777777" w:rsidR="007C007A" w:rsidRPr="00616B37" w:rsidRDefault="007C007A" w:rsidP="007C007A">
      <w:pPr>
        <w:pStyle w:val="Odstavecseseznamem"/>
        <w:spacing w:before="120" w:after="120"/>
        <w:ind w:left="1423"/>
        <w:contextualSpacing w:val="0"/>
        <w:rPr>
          <w:i/>
          <w:iCs/>
        </w:rPr>
      </w:pPr>
      <w:r w:rsidRPr="00616B37">
        <w:rPr>
          <w:i/>
          <w:iCs/>
        </w:rPr>
        <w:lastRenderedPageBreak/>
        <w:t xml:space="preserve">Počet přístupových karet pro Poskytovatele je omezen na 5 ks. Počet členů doprovodu je omezen na 3 osoby. </w:t>
      </w:r>
    </w:p>
    <w:p w14:paraId="39E98EBC" w14:textId="77777777" w:rsidR="007C007A" w:rsidRPr="00616B37" w:rsidRDefault="007C007A" w:rsidP="007C007A">
      <w:pPr>
        <w:pStyle w:val="Odstavecseseznamem"/>
        <w:numPr>
          <w:ilvl w:val="0"/>
          <w:numId w:val="2"/>
        </w:numPr>
        <w:spacing w:before="120" w:after="120"/>
        <w:ind w:left="1423" w:hanging="357"/>
        <w:contextualSpacing w:val="0"/>
      </w:pPr>
      <w:r w:rsidRPr="00616B37">
        <w:t xml:space="preserve">Požadavky na součinnost Objednatele </w:t>
      </w:r>
    </w:p>
    <w:p w14:paraId="501597CA" w14:textId="77777777" w:rsidR="007C007A" w:rsidRPr="00616B37" w:rsidRDefault="007C007A" w:rsidP="007C007A">
      <w:pPr>
        <w:pStyle w:val="Odstavecseseznamem"/>
        <w:numPr>
          <w:ilvl w:val="2"/>
          <w:numId w:val="16"/>
        </w:numPr>
        <w:spacing w:before="120" w:after="120"/>
        <w:contextualSpacing w:val="0"/>
        <w:rPr>
          <w:rFonts w:asciiTheme="minorHAnsi" w:eastAsiaTheme="minorEastAsia" w:hAnsiTheme="minorHAnsi" w:cstheme="minorBidi"/>
        </w:rPr>
      </w:pPr>
      <w:r w:rsidRPr="00616B37">
        <w:t>Minimálně dvě IPv4 adresy, dostupné z Internetu a směrované na koncové zařízení Poskytovatele.</w:t>
      </w:r>
    </w:p>
    <w:p w14:paraId="676D03E3" w14:textId="77777777" w:rsidR="007C007A" w:rsidRPr="00616B37" w:rsidRDefault="007C007A" w:rsidP="007C007A">
      <w:pPr>
        <w:pStyle w:val="Odstavecseseznamem"/>
        <w:numPr>
          <w:ilvl w:val="2"/>
          <w:numId w:val="15"/>
        </w:numPr>
        <w:spacing w:before="120" w:after="120"/>
        <w:contextualSpacing w:val="0"/>
        <w:rPr>
          <w:rFonts w:asciiTheme="minorHAnsi" w:eastAsiaTheme="minorEastAsia" w:hAnsiTheme="minorHAnsi" w:cstheme="minorBidi"/>
        </w:rPr>
      </w:pPr>
      <w:r w:rsidRPr="00616B37">
        <w:t>Dva IPv6 rozsahy s prefixem /64, dostupné z Internetu a směrované na koncové zařízení Poskytovatele.</w:t>
      </w:r>
    </w:p>
    <w:p w14:paraId="5C3AFDB2" w14:textId="77777777" w:rsidR="007C007A" w:rsidRPr="00616B37" w:rsidRDefault="007C007A" w:rsidP="007C007A">
      <w:pPr>
        <w:pStyle w:val="Odstavecseseznamem"/>
        <w:numPr>
          <w:ilvl w:val="2"/>
          <w:numId w:val="14"/>
        </w:numPr>
        <w:spacing w:before="120" w:after="120"/>
        <w:contextualSpacing w:val="0"/>
        <w:rPr>
          <w:rFonts w:asciiTheme="minorHAnsi" w:eastAsiaTheme="minorEastAsia" w:hAnsiTheme="minorHAnsi" w:cstheme="minorBidi"/>
        </w:rPr>
      </w:pPr>
      <w:r w:rsidRPr="00616B37">
        <w:t>Služba „</w:t>
      </w:r>
      <w:proofErr w:type="spellStart"/>
      <w:r w:rsidRPr="00616B37">
        <w:t>remote</w:t>
      </w:r>
      <w:proofErr w:type="spellEnd"/>
      <w:r w:rsidRPr="00616B37">
        <w:t xml:space="preserve"> hand“ pro základní obsluhu technologie (restart, LED diagnostiku, výměna doručených vadných disků, doprovod servisního technika k zařízení Poskytovatele).</w:t>
      </w:r>
    </w:p>
    <w:p w14:paraId="5E237486" w14:textId="77777777" w:rsidR="007C007A" w:rsidRDefault="007C007A" w:rsidP="007C007A">
      <w:pPr>
        <w:pStyle w:val="Odstavecseseznamem"/>
        <w:numPr>
          <w:ilvl w:val="2"/>
          <w:numId w:val="15"/>
        </w:numPr>
        <w:spacing w:before="120" w:after="120"/>
        <w:contextualSpacing w:val="0"/>
      </w:pPr>
      <w:r w:rsidRPr="00223C05">
        <w:t>Zajištění 50 VPN přístupů pro pracovníky Poskytovatele.</w:t>
      </w:r>
    </w:p>
    <w:p w14:paraId="113A10E0" w14:textId="77777777" w:rsidR="007C007A" w:rsidRDefault="007C007A" w:rsidP="007C007A">
      <w:pPr>
        <w:pStyle w:val="Odstavecseseznamem"/>
        <w:numPr>
          <w:ilvl w:val="2"/>
          <w:numId w:val="15"/>
        </w:numPr>
        <w:spacing w:before="120" w:after="120"/>
        <w:contextualSpacing w:val="0"/>
      </w:pPr>
      <w:r w:rsidRPr="00223C05">
        <w:t>Zajištění konektivity do CMS2.</w:t>
      </w:r>
    </w:p>
    <w:p w14:paraId="7BA60CD5" w14:textId="77777777" w:rsidR="007C007A" w:rsidRPr="00B42343" w:rsidRDefault="007C007A" w:rsidP="007C007A">
      <w:pPr>
        <w:rPr>
          <w:highlight w:val="yellow"/>
        </w:rPr>
      </w:pPr>
    </w:p>
    <w:p w14:paraId="6A02385B" w14:textId="77777777" w:rsidR="00A2164A" w:rsidRPr="00082E45" w:rsidRDefault="00A2164A" w:rsidP="00082E45"/>
    <w:sectPr w:rsidR="00A2164A" w:rsidRPr="00082E45" w:rsidSect="00A2164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7B115" w14:textId="77777777" w:rsidR="00F3291A" w:rsidRDefault="00F3291A" w:rsidP="00593E31">
      <w:pPr>
        <w:spacing w:after="0" w:line="240" w:lineRule="auto"/>
      </w:pPr>
      <w:r>
        <w:separator/>
      </w:r>
    </w:p>
  </w:endnote>
  <w:endnote w:type="continuationSeparator" w:id="0">
    <w:p w14:paraId="12D371A9" w14:textId="77777777" w:rsidR="00F3291A" w:rsidRDefault="00F3291A" w:rsidP="0059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3137072"/>
      <w:docPartObj>
        <w:docPartGallery w:val="Page Numbers (Bottom of Page)"/>
        <w:docPartUnique/>
      </w:docPartObj>
    </w:sdtPr>
    <w:sdtEndPr/>
    <w:sdtContent>
      <w:p w14:paraId="6A023863" w14:textId="22A7574A" w:rsidR="00593E31" w:rsidRDefault="00593E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7E7">
          <w:rPr>
            <w:noProof/>
          </w:rPr>
          <w:t>2</w:t>
        </w:r>
        <w:r>
          <w:fldChar w:fldCharType="end"/>
        </w:r>
      </w:p>
    </w:sdtContent>
  </w:sdt>
  <w:p w14:paraId="6A023864" w14:textId="77777777" w:rsidR="00593E31" w:rsidRDefault="00593E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452C9" w14:textId="77777777" w:rsidR="00F3291A" w:rsidRDefault="00F3291A" w:rsidP="00593E31">
      <w:pPr>
        <w:spacing w:after="0" w:line="240" w:lineRule="auto"/>
      </w:pPr>
      <w:r>
        <w:separator/>
      </w:r>
    </w:p>
  </w:footnote>
  <w:footnote w:type="continuationSeparator" w:id="0">
    <w:p w14:paraId="56ED3C3D" w14:textId="77777777" w:rsidR="00F3291A" w:rsidRDefault="00F3291A" w:rsidP="0059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47A45" w14:textId="254E459A" w:rsidR="003E1CF2" w:rsidRPr="00656FB9" w:rsidRDefault="003E1CF2" w:rsidP="003E1CF2">
    <w:pPr>
      <w:pStyle w:val="Nzev"/>
      <w:pBdr>
        <w:bottom w:val="none" w:sz="0" w:space="0" w:color="auto"/>
      </w:pBd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Příloha č. 12 ke </w:t>
    </w:r>
    <w:r w:rsidRPr="00BE56BE">
      <w:rPr>
        <w:rFonts w:ascii="Times New Roman" w:hAnsi="Times New Roman" w:cs="Times New Roman"/>
        <w:sz w:val="24"/>
        <w:szCs w:val="24"/>
      </w:rPr>
      <w:t>Smlouv</w:t>
    </w:r>
    <w:r>
      <w:rPr>
        <w:rFonts w:ascii="Times New Roman" w:hAnsi="Times New Roman" w:cs="Times New Roman"/>
        <w:sz w:val="24"/>
        <w:szCs w:val="24"/>
      </w:rPr>
      <w:t>ě</w:t>
    </w:r>
    <w:r w:rsidRPr="00BE56BE">
      <w:rPr>
        <w:rFonts w:ascii="Times New Roman" w:hAnsi="Times New Roman" w:cs="Times New Roman"/>
        <w:sz w:val="24"/>
        <w:szCs w:val="24"/>
      </w:rPr>
      <w:t xml:space="preserve"> o zajištění provozu a rozvoje ISDS 2023+ č. 2021/06079</w:t>
    </w:r>
  </w:p>
  <w:p w14:paraId="6A023861" w14:textId="77777777" w:rsidR="00593E31" w:rsidRDefault="00593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D69"/>
    <w:multiLevelType w:val="hybridMultilevel"/>
    <w:tmpl w:val="56A8E92E"/>
    <w:lvl w:ilvl="0" w:tplc="359299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67C9"/>
    <w:multiLevelType w:val="hybridMultilevel"/>
    <w:tmpl w:val="97FE7B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D6086A"/>
    <w:multiLevelType w:val="hybridMultilevel"/>
    <w:tmpl w:val="ED16F9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EC02C3E">
      <w:start w:val="1"/>
      <w:numFmt w:val="bullet"/>
      <w:lvlText w:val="-"/>
      <w:lvlJc w:val="left"/>
      <w:pPr>
        <w:ind w:left="2148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B860A1"/>
    <w:multiLevelType w:val="hybridMultilevel"/>
    <w:tmpl w:val="91CCCF9A"/>
    <w:lvl w:ilvl="0" w:tplc="CF440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CC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6AF86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1A884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E0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88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6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C8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ED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43EF"/>
    <w:multiLevelType w:val="hybridMultilevel"/>
    <w:tmpl w:val="B656A9E4"/>
    <w:lvl w:ilvl="0" w:tplc="181A1472">
      <w:start w:val="1"/>
      <w:numFmt w:val="bullet"/>
      <w:lvlText w:val="-"/>
      <w:lvlJc w:val="left"/>
      <w:pPr>
        <w:ind w:left="2136" w:hanging="360"/>
      </w:pPr>
      <w:rPr>
        <w:rFonts w:ascii="Calibri" w:hAnsi="Calibri" w:hint="default"/>
      </w:rPr>
    </w:lvl>
    <w:lvl w:ilvl="1" w:tplc="D3563C8C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461AE70E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8638AF34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DA300DF0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36F486D4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DE62ED48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6C3CCB34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473C1AC4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9A504B1"/>
    <w:multiLevelType w:val="hybridMultilevel"/>
    <w:tmpl w:val="43DA97BC"/>
    <w:lvl w:ilvl="0" w:tplc="891C8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A7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4A41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2D08E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CD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46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20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06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26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717DC"/>
    <w:multiLevelType w:val="hybridMultilevel"/>
    <w:tmpl w:val="11E83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51B00"/>
    <w:multiLevelType w:val="hybridMultilevel"/>
    <w:tmpl w:val="048AA384"/>
    <w:lvl w:ilvl="0" w:tplc="6E763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EC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02C3E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C0620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C0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FAB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06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CD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85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83E7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F694655"/>
    <w:multiLevelType w:val="hybridMultilevel"/>
    <w:tmpl w:val="C576C2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596E07"/>
    <w:multiLevelType w:val="hybridMultilevel"/>
    <w:tmpl w:val="BB6246A2"/>
    <w:lvl w:ilvl="0" w:tplc="B26673E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A0EDE"/>
    <w:multiLevelType w:val="hybridMultilevel"/>
    <w:tmpl w:val="151408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2D0FEB"/>
    <w:multiLevelType w:val="hybridMultilevel"/>
    <w:tmpl w:val="B3BE22B8"/>
    <w:lvl w:ilvl="0" w:tplc="4FC82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E6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6433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9A622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EB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A1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A5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0F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86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72F85"/>
    <w:multiLevelType w:val="hybridMultilevel"/>
    <w:tmpl w:val="7B40B490"/>
    <w:lvl w:ilvl="0" w:tplc="65F85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E6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E353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B2FC0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68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26A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69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46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85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813E6"/>
    <w:multiLevelType w:val="hybridMultilevel"/>
    <w:tmpl w:val="0FAED7FE"/>
    <w:lvl w:ilvl="0" w:tplc="BE708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E6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82606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31920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69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A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0C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01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9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43FE"/>
    <w:multiLevelType w:val="hybridMultilevel"/>
    <w:tmpl w:val="42C84F6C"/>
    <w:lvl w:ilvl="0" w:tplc="04050019">
      <w:start w:val="1"/>
      <w:numFmt w:val="lowerLetter"/>
      <w:lvlText w:val="%1.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 w:numId="12">
    <w:abstractNumId w:val="2"/>
  </w:num>
  <w:num w:numId="13">
    <w:abstractNumId w:val="9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4A"/>
    <w:rsid w:val="0000052C"/>
    <w:rsid w:val="00082E45"/>
    <w:rsid w:val="00092902"/>
    <w:rsid w:val="000D134D"/>
    <w:rsid w:val="000E5017"/>
    <w:rsid w:val="0019456E"/>
    <w:rsid w:val="001D280B"/>
    <w:rsid w:val="001E15B4"/>
    <w:rsid w:val="002048BD"/>
    <w:rsid w:val="00212573"/>
    <w:rsid w:val="00220805"/>
    <w:rsid w:val="002600AA"/>
    <w:rsid w:val="00271DBD"/>
    <w:rsid w:val="00295174"/>
    <w:rsid w:val="002D7A09"/>
    <w:rsid w:val="00321D46"/>
    <w:rsid w:val="00377A80"/>
    <w:rsid w:val="003B7B70"/>
    <w:rsid w:val="003D060B"/>
    <w:rsid w:val="003E1CF2"/>
    <w:rsid w:val="003E562A"/>
    <w:rsid w:val="00497B71"/>
    <w:rsid w:val="004C498C"/>
    <w:rsid w:val="004C7E4E"/>
    <w:rsid w:val="00512AAE"/>
    <w:rsid w:val="00517B19"/>
    <w:rsid w:val="00521B58"/>
    <w:rsid w:val="00593E31"/>
    <w:rsid w:val="005B58D9"/>
    <w:rsid w:val="006118CE"/>
    <w:rsid w:val="00660A25"/>
    <w:rsid w:val="006F472C"/>
    <w:rsid w:val="00732CB5"/>
    <w:rsid w:val="00780A48"/>
    <w:rsid w:val="00783217"/>
    <w:rsid w:val="0078560C"/>
    <w:rsid w:val="0079148B"/>
    <w:rsid w:val="007A2D25"/>
    <w:rsid w:val="007C007A"/>
    <w:rsid w:val="007E5373"/>
    <w:rsid w:val="0082799C"/>
    <w:rsid w:val="00844490"/>
    <w:rsid w:val="00861FA1"/>
    <w:rsid w:val="008C17E7"/>
    <w:rsid w:val="00942BAB"/>
    <w:rsid w:val="00966DA2"/>
    <w:rsid w:val="0098644B"/>
    <w:rsid w:val="00997F74"/>
    <w:rsid w:val="009A76EA"/>
    <w:rsid w:val="009E16FC"/>
    <w:rsid w:val="00A03040"/>
    <w:rsid w:val="00A20288"/>
    <w:rsid w:val="00A2164A"/>
    <w:rsid w:val="00A22187"/>
    <w:rsid w:val="00A25D72"/>
    <w:rsid w:val="00A4739C"/>
    <w:rsid w:val="00B370AA"/>
    <w:rsid w:val="00B42343"/>
    <w:rsid w:val="00BD134F"/>
    <w:rsid w:val="00C11B86"/>
    <w:rsid w:val="00C56795"/>
    <w:rsid w:val="00C6662B"/>
    <w:rsid w:val="00C77223"/>
    <w:rsid w:val="00C82B9F"/>
    <w:rsid w:val="00CA013C"/>
    <w:rsid w:val="00D55332"/>
    <w:rsid w:val="00D6178B"/>
    <w:rsid w:val="00DB6E05"/>
    <w:rsid w:val="00E16337"/>
    <w:rsid w:val="00E901C5"/>
    <w:rsid w:val="00EB76D1"/>
    <w:rsid w:val="00F3291A"/>
    <w:rsid w:val="00F57123"/>
    <w:rsid w:val="00F77994"/>
    <w:rsid w:val="00F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02383A"/>
  <w15:docId w15:val="{5079379C-6740-48FA-B440-3D3B6EE6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64A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21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A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21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Normln">
    <w:name w:val="AC Normální"/>
    <w:basedOn w:val="Normln"/>
    <w:link w:val="ACNormlnChar"/>
    <w:uiPriority w:val="99"/>
    <w:rsid w:val="00A03040"/>
    <w:pPr>
      <w:widowControl w:val="0"/>
      <w:spacing w:before="120" w:after="0" w:line="240" w:lineRule="auto"/>
      <w:jc w:val="both"/>
    </w:pPr>
    <w:rPr>
      <w:rFonts w:eastAsia="Times New Roman"/>
      <w:szCs w:val="20"/>
      <w:lang w:eastAsia="cs-CZ"/>
    </w:rPr>
  </w:style>
  <w:style w:type="character" w:customStyle="1" w:styleId="ACNormlnChar">
    <w:name w:val="AC Normální Char"/>
    <w:link w:val="ACNormln"/>
    <w:uiPriority w:val="99"/>
    <w:rsid w:val="00A03040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42B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2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49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44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4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49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490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82E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3E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9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E31"/>
    <w:rPr>
      <w:rFonts w:ascii="Times New Roman" w:hAnsi="Times New Roman" w:cs="Times New Roman"/>
    </w:rPr>
  </w:style>
  <w:style w:type="character" w:customStyle="1" w:styleId="Nadpis9Char">
    <w:name w:val="Nadpis 9 Char"/>
    <w:basedOn w:val="Standardnpsmoodstavce"/>
    <w:link w:val="Nadpis9"/>
    <w:uiPriority w:val="9"/>
    <w:rsid w:val="00512A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ze">
    <w:name w:val="Revision"/>
    <w:hidden/>
    <w:uiPriority w:val="99"/>
    <w:semiHidden/>
    <w:rsid w:val="00E16337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0CD7685F8E643926B6AE424E07E19" ma:contentTypeVersion="6" ma:contentTypeDescription="Vytvoří nový dokument" ma:contentTypeScope="" ma:versionID="0540d5b7c81e8f753685810ce96f37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ae357be9c07f208cc298038036e204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Dokument</p:Name>
  <p:Description>Audit 018P18 - dokument</p:Description>
  <p:Statement/>
  <p:PolicyItems>
    <p:PolicyItem featureId="Microsoft.Office.RecordsManagement.PolicyFeatures.PolicyAudit" staticId="0x0101007240CD7685F8E643926B6AE424E07E19|8138272" UniqueId="83d24d76-64d7-4609-a5e8-511c239117b3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5753-2EFF-462F-8F21-57D813B92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68861-507F-41C1-8BA9-4E5501BD94D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3744C82-CE11-45E2-9C3E-14D560D931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5FF10D-62D1-48D0-A953-04B34974CB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EB7E12-0881-4C6F-9A9C-6C5EF4E5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4415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Kratinová Jana RNDr.</dc:creator>
  <cp:lastModifiedBy>Kadlecová Zuzana Ing. DiS.</cp:lastModifiedBy>
  <cp:revision>2</cp:revision>
  <cp:lastPrinted>2016-11-25T14:15:00Z</cp:lastPrinted>
  <dcterms:created xsi:type="dcterms:W3CDTF">2021-10-14T13:12:00Z</dcterms:created>
  <dcterms:modified xsi:type="dcterms:W3CDTF">2021-10-14T13:12:00Z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0x0101007240CD7685F8E643926B6AE424E07E19</vt:lpwstr>
  </property>
</Properties>
</file>