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68" w:rsidRDefault="00CF5532">
      <w:pPr>
        <w:jc w:val="center"/>
        <w:rPr>
          <w:b/>
          <w:sz w:val="26"/>
        </w:rPr>
      </w:pPr>
      <w:r>
        <w:rPr>
          <w:b/>
          <w:sz w:val="26"/>
        </w:rPr>
        <w:t>SMLOUVA</w:t>
      </w:r>
    </w:p>
    <w:p w:rsidR="00D76868" w:rsidRDefault="00CF5532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:rsidR="00D76868" w:rsidRDefault="00CF5532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21RGI02-0157</w:t>
      </w:r>
      <w:r>
        <w:fldChar w:fldCharType="end"/>
      </w:r>
      <w:r>
        <w:rPr>
          <w:b/>
          <w:sz w:val="24"/>
        </w:rPr>
        <w:t xml:space="preserve"> </w:t>
      </w:r>
    </w:p>
    <w:p w:rsidR="00D76868" w:rsidRDefault="00CF5532">
      <w:pPr>
        <w:jc w:val="both"/>
        <w:rPr>
          <w:sz w:val="24"/>
        </w:rPr>
      </w:pPr>
      <w:r>
        <w:rPr>
          <w:sz w:val="24"/>
        </w:rPr>
        <w:t xml:space="preserve">kterou v souladu s ustanovením § </w:t>
      </w:r>
      <w:proofErr w:type="gramStart"/>
      <w:r>
        <w:rPr>
          <w:sz w:val="24"/>
        </w:rPr>
        <w:t>10a</w:t>
      </w:r>
      <w:proofErr w:type="gramEnd"/>
      <w:r>
        <w:rPr>
          <w:sz w:val="24"/>
        </w:rPr>
        <w:t xml:space="preserve"> odst. (3) a (5)</w:t>
      </w:r>
      <w:r>
        <w:rPr>
          <w:sz w:val="24"/>
        </w:rPr>
        <w:t xml:space="preserve">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</w:t>
      </w:r>
      <w:r>
        <w:rPr>
          <w:sz w:val="24"/>
        </w:rPr>
        <w:t xml:space="preserve"> občanský zákoník, ve znění pozdějších předpisů, uzavřely tyto smluvní strany:</w:t>
      </w:r>
    </w:p>
    <w:p w:rsidR="00D76868" w:rsidRDefault="00D76868">
      <w:pPr>
        <w:jc w:val="center"/>
        <w:rPr>
          <w:sz w:val="24"/>
        </w:rPr>
      </w:pPr>
    </w:p>
    <w:p w:rsidR="00D76868" w:rsidRDefault="00CF5532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:rsidR="00D76868" w:rsidRDefault="00D76868">
      <w:pPr>
        <w:jc w:val="center"/>
        <w:rPr>
          <w:sz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D7686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Pivovarské náměstí 1245, 500 03 Hradec Králové</w:t>
            </w:r>
          </w:p>
        </w:tc>
      </w:tr>
      <w:tr w:rsidR="00D7686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Mgr. Martin Červíček, hejtman</w:t>
            </w:r>
          </w:p>
        </w:tc>
      </w:tr>
      <w:tr w:rsidR="00D7686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70889546</w:t>
            </w:r>
          </w:p>
        </w:tc>
      </w:tr>
      <w:tr w:rsidR="00D76868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  <w:r>
              <w:rPr>
                <w:sz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107-</w:t>
            </w:r>
            <w:r>
              <w:rPr>
                <w:sz w:val="24"/>
              </w:rPr>
              <w:t>4153480277/0100</w:t>
            </w:r>
          </w:p>
        </w:tc>
      </w:tr>
    </w:tbl>
    <w:p w:rsidR="00D76868" w:rsidRDefault="00CF5532">
      <w:pPr>
        <w:rPr>
          <w:i/>
          <w:sz w:val="24"/>
        </w:rPr>
      </w:pPr>
      <w:r>
        <w:rPr>
          <w:i/>
          <w:sz w:val="24"/>
        </w:rPr>
        <w:t>(dále jen „poskytovatel“)</w:t>
      </w:r>
    </w:p>
    <w:p w:rsidR="00D76868" w:rsidRDefault="00CF5532">
      <w:pPr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D76868" w:rsidRDefault="00D76868">
      <w:pPr>
        <w:rPr>
          <w:color w:val="000000"/>
          <w:sz w:val="24"/>
        </w:rPr>
      </w:pPr>
    </w:p>
    <w:p w:rsidR="00D76868" w:rsidRDefault="00CF5532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MĚSTO HRONOV</w:t>
      </w:r>
      <w:r>
        <w:fldChar w:fldCharType="end"/>
      </w:r>
    </w:p>
    <w:p w:rsidR="00D76868" w:rsidRDefault="00D76868">
      <w:pPr>
        <w:jc w:val="center"/>
        <w:rPr>
          <w:b/>
          <w:sz w:val="24"/>
        </w:rPr>
      </w:pP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D76868">
        <w:tc>
          <w:tcPr>
            <w:tcW w:w="4323" w:type="dxa"/>
            <w:shd w:val="clear" w:color="auto" w:fill="auto"/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se sídlem:</w:t>
            </w:r>
          </w:p>
        </w:tc>
        <w:tc>
          <w:tcPr>
            <w:tcW w:w="6065" w:type="dxa"/>
            <w:shd w:val="clear" w:color="auto" w:fill="auto"/>
          </w:tcPr>
          <w:p w:rsidR="00D76868" w:rsidRDefault="00CF5532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ProfisSubjStreetZIPTown  \* MERGEFORMAT </w:instrText>
            </w:r>
            <w:r>
              <w:fldChar w:fldCharType="separate"/>
            </w:r>
            <w:r>
              <w:rPr>
                <w:sz w:val="24"/>
              </w:rPr>
              <w:t xml:space="preserve">nám. Čs. armády 5, </w:t>
            </w:r>
            <w:proofErr w:type="gramStart"/>
            <w:r>
              <w:rPr>
                <w:sz w:val="24"/>
              </w:rPr>
              <w:t>54931  Hronov</w:t>
            </w:r>
            <w:proofErr w:type="gramEnd"/>
            <w:r>
              <w:fldChar w:fldCharType="end"/>
            </w:r>
          </w:p>
        </w:tc>
      </w:tr>
      <w:tr w:rsidR="00D76868">
        <w:tc>
          <w:tcPr>
            <w:tcW w:w="4323" w:type="dxa"/>
            <w:shd w:val="clear" w:color="auto" w:fill="auto"/>
          </w:tcPr>
          <w:p w:rsidR="00D76868" w:rsidRDefault="00CF5532">
            <w:pPr>
              <w:rPr>
                <w:sz w:val="24"/>
              </w:rPr>
            </w:pPr>
            <w:r>
              <w:rPr>
                <w:sz w:val="24"/>
              </w:rPr>
              <w:t>zástupce:</w:t>
            </w:r>
          </w:p>
        </w:tc>
        <w:tc>
          <w:tcPr>
            <w:tcW w:w="6065" w:type="dxa"/>
            <w:shd w:val="clear" w:color="auto" w:fill="auto"/>
          </w:tcPr>
          <w:p w:rsidR="00D76868" w:rsidRDefault="00CF5532">
            <w:pPr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DotisReqRepContactName  \* MERGEFORMAT </w:instrText>
            </w:r>
            <w:r>
              <w:fldChar w:fldCharType="separate"/>
            </w:r>
            <w:r>
              <w:rPr>
                <w:sz w:val="24"/>
              </w:rPr>
              <w:t>Petr Koleta</w:t>
            </w:r>
            <w:r>
              <w:fldChar w:fldCharType="end"/>
            </w:r>
            <w:r>
              <w:rPr>
                <w:sz w:val="24"/>
              </w:rPr>
              <w:t xml:space="preserve">, </w:t>
            </w:r>
            <w:r>
              <w:fldChar w:fldCharType="begin"/>
            </w:r>
            <w:r>
              <w:rPr>
                <w:sz w:val="24"/>
              </w:rPr>
              <w:instrText xml:space="preserve"> DOCVARIABLE  DotisReqRepContactFunction  \* MERGEFORMAT </w:instrText>
            </w:r>
            <w:r>
              <w:fldChar w:fldCharType="separate"/>
            </w:r>
            <w:r>
              <w:rPr>
                <w:sz w:val="24"/>
              </w:rPr>
              <w:t>Starosta</w:t>
            </w:r>
            <w:r>
              <w:fldChar w:fldCharType="end"/>
            </w:r>
          </w:p>
        </w:tc>
      </w:tr>
      <w:tr w:rsidR="00D76868">
        <w:tc>
          <w:tcPr>
            <w:tcW w:w="4323" w:type="dxa"/>
            <w:shd w:val="clear" w:color="auto" w:fill="auto"/>
          </w:tcPr>
          <w:p w:rsidR="00D76868" w:rsidRDefault="00CF553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6065" w:type="dxa"/>
            <w:shd w:val="clear" w:color="auto" w:fill="auto"/>
          </w:tcPr>
          <w:p w:rsidR="00D76868" w:rsidRDefault="00CF5532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ProfisSubjOIN  \* MERGEFORMAT </w:instrText>
            </w:r>
            <w:r>
              <w:fldChar w:fldCharType="separate"/>
            </w:r>
            <w:r>
              <w:rPr>
                <w:sz w:val="24"/>
              </w:rPr>
              <w:t>00272680</w:t>
            </w:r>
            <w:r>
              <w:fldChar w:fldCharType="end"/>
            </w:r>
          </w:p>
        </w:tc>
      </w:tr>
      <w:tr w:rsidR="00D76868">
        <w:tc>
          <w:tcPr>
            <w:tcW w:w="4323" w:type="dxa"/>
            <w:shd w:val="clear" w:color="auto" w:fill="auto"/>
          </w:tcPr>
          <w:p w:rsidR="00D76868" w:rsidRDefault="00CF553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bankovní účet (bankovní spojení):</w:t>
            </w:r>
          </w:p>
        </w:tc>
        <w:tc>
          <w:tcPr>
            <w:tcW w:w="6065" w:type="dxa"/>
            <w:shd w:val="clear" w:color="auto" w:fill="auto"/>
          </w:tcPr>
          <w:p w:rsidR="00D76868" w:rsidRDefault="00CF5532">
            <w:pPr>
              <w:spacing w:after="120"/>
              <w:rPr>
                <w:sz w:val="24"/>
              </w:rPr>
            </w:pPr>
            <w:r>
              <w:fldChar w:fldCharType="begin"/>
            </w:r>
            <w:r>
              <w:rPr>
                <w:sz w:val="24"/>
              </w:rPr>
              <w:instrText xml:space="preserve"> DOCVARIABLE  ProfisS</w:instrText>
            </w:r>
            <w:r>
              <w:rPr>
                <w:sz w:val="24"/>
              </w:rPr>
              <w:instrText xml:space="preserve">ubjBankAccount  \* MERGEFORMAT </w:instrText>
            </w:r>
            <w:r>
              <w:fldChar w:fldCharType="separate"/>
            </w:r>
            <w:r>
              <w:rPr>
                <w:sz w:val="24"/>
              </w:rPr>
              <w:t>1524551/0100</w:t>
            </w:r>
            <w:r>
              <w:fldChar w:fldCharType="end"/>
            </w:r>
          </w:p>
        </w:tc>
      </w:tr>
    </w:tbl>
    <w:p w:rsidR="00D76868" w:rsidRDefault="00CF5532">
      <w:pPr>
        <w:rPr>
          <w:i/>
          <w:sz w:val="24"/>
        </w:rPr>
      </w:pPr>
      <w:r>
        <w:rPr>
          <w:i/>
          <w:sz w:val="24"/>
        </w:rPr>
        <w:t>(dále jen „příjemce“)</w:t>
      </w:r>
    </w:p>
    <w:p w:rsidR="00D76868" w:rsidRDefault="00D76868">
      <w:pPr>
        <w:jc w:val="center"/>
        <w:rPr>
          <w:sz w:val="24"/>
        </w:rPr>
      </w:pPr>
    </w:p>
    <w:p w:rsidR="00D76868" w:rsidRDefault="00CF5532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D76868" w:rsidRDefault="00CF5532">
      <w:pPr>
        <w:tabs>
          <w:tab w:val="left" w:pos="2780"/>
          <w:tab w:val="center" w:pos="4876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Předmět smlouvy a účel dotace</w:t>
      </w:r>
    </w:p>
    <w:p w:rsidR="00D76868" w:rsidRDefault="00CF5532">
      <w:pPr>
        <w:numPr>
          <w:ilvl w:val="0"/>
          <w:numId w:val="34"/>
        </w:numPr>
        <w:spacing w:after="120"/>
        <w:jc w:val="both"/>
        <w:rPr>
          <w:sz w:val="24"/>
        </w:rPr>
      </w:pPr>
      <w:r>
        <w:rPr>
          <w:sz w:val="24"/>
        </w:rPr>
        <w:t xml:space="preserve">Předmětem této smlouvy je poskytnutí účelové </w:t>
      </w:r>
      <w:r w:rsidR="002F40F8">
        <w:rPr>
          <w:sz w:val="24"/>
        </w:rPr>
        <w:t>investiční</w:t>
      </w:r>
      <w:r>
        <w:rPr>
          <w:sz w:val="24"/>
        </w:rPr>
        <w:t xml:space="preserve"> dotace z dotačního fondu poskytovatele na financování výdajů vynaložených na realizaci projektu s </w:t>
      </w:r>
      <w:r>
        <w:rPr>
          <w:sz w:val="24"/>
        </w:rPr>
        <w:t xml:space="preserve">názvem </w:t>
      </w:r>
      <w:r>
        <w:rPr>
          <w:b/>
          <w:sz w:val="24"/>
        </w:rPr>
        <w:t>„</w:t>
      </w:r>
      <w:r>
        <w:fldChar w:fldCharType="begin"/>
      </w:r>
      <w:r>
        <w:rPr>
          <w:b/>
          <w:sz w:val="24"/>
        </w:rPr>
        <w:instrText xml:space="preserve"> DOCVARIABLE  ProfisTaskTitle  \* MERGEFORMAT </w:instrText>
      </w:r>
      <w:r>
        <w:fldChar w:fldCharType="separate"/>
      </w:r>
      <w:r>
        <w:rPr>
          <w:b/>
          <w:sz w:val="24"/>
        </w:rPr>
        <w:t>Víceúčelové školní hřiště v Hronově</w:t>
      </w:r>
      <w:r>
        <w:fldChar w:fldCharType="end"/>
      </w:r>
      <w:r>
        <w:rPr>
          <w:b/>
          <w:sz w:val="24"/>
        </w:rPr>
        <w:t>“,</w:t>
      </w:r>
      <w:r>
        <w:rPr>
          <w:sz w:val="24"/>
        </w:rPr>
        <w:t xml:space="preserve"> evidovaného pod číslem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21RGI02-0157</w:t>
      </w:r>
      <w:r>
        <w:fldChar w:fldCharType="end"/>
      </w:r>
      <w:r>
        <w:rPr>
          <w:sz w:val="24"/>
        </w:rPr>
        <w:t>, (dále jen „projekt“).</w:t>
      </w:r>
    </w:p>
    <w:p w:rsidR="00D76868" w:rsidRDefault="00CF5532">
      <w:pPr>
        <w:numPr>
          <w:ilvl w:val="0"/>
          <w:numId w:val="34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Dotaci lze použít na účel: </w:t>
      </w:r>
      <w:r w:rsidR="002F40F8" w:rsidRPr="002F40F8">
        <w:rPr>
          <w:b/>
          <w:sz w:val="24"/>
        </w:rPr>
        <w:t>Realizace víceúčelového školního hřiště v Hronově, jehož součástí bude atletický ovál po obvodu plochy pro výuku běžeckých disciplín, rovinka pro krátké běhy, doskočiště s délkově vyhovujícím rozběžištěm a hřiště pro míčové hry uvnitř oválu</w:t>
      </w:r>
      <w:r w:rsidRPr="002F40F8">
        <w:rPr>
          <w:b/>
          <w:sz w:val="24"/>
        </w:rPr>
        <w:t>.</w:t>
      </w:r>
      <w:r>
        <w:rPr>
          <w:sz w:val="24"/>
        </w:rPr>
        <w:t xml:space="preserve"> Na jiné výdaje, směřující</w:t>
      </w:r>
      <w:r>
        <w:rPr>
          <w:sz w:val="24"/>
        </w:rPr>
        <w:t xml:space="preserve"> k realizaci projektu, lze dotaci použít jen se souhlasem zřizovatele.</w:t>
      </w:r>
    </w:p>
    <w:p w:rsidR="00D76868" w:rsidRDefault="00CF5532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D76868" w:rsidRDefault="00CF553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Výše a způsob poskytnutí dotace</w:t>
      </w:r>
    </w:p>
    <w:p w:rsidR="00D76868" w:rsidRDefault="00CF5532">
      <w:pPr>
        <w:numPr>
          <w:ilvl w:val="0"/>
          <w:numId w:val="35"/>
        </w:numPr>
        <w:spacing w:after="120"/>
        <w:jc w:val="both"/>
        <w:rPr>
          <w:sz w:val="24"/>
        </w:rPr>
      </w:pPr>
      <w:r>
        <w:rPr>
          <w:sz w:val="24"/>
        </w:rPr>
        <w:t xml:space="preserve">Příjemci je poskytována </w:t>
      </w:r>
      <w:r w:rsidR="002F40F8">
        <w:rPr>
          <w:sz w:val="24"/>
        </w:rPr>
        <w:t>investiční</w:t>
      </w:r>
      <w:r>
        <w:rPr>
          <w:sz w:val="24"/>
        </w:rPr>
        <w:t xml:space="preserve"> dotace ve výši </w:t>
      </w:r>
      <w:r>
        <w:fldChar w:fldCharType="begin"/>
      </w:r>
      <w:r>
        <w:rPr>
          <w:b/>
          <w:sz w:val="24"/>
        </w:rPr>
        <w:instrText xml:space="preserve"> DOCVARIABLE  DotisAppTotalGrant  \* </w:instrText>
      </w:r>
      <w:r>
        <w:rPr>
          <w:b/>
          <w:sz w:val="24"/>
        </w:rPr>
        <w:instrText xml:space="preserve">MERGEFORMAT </w:instrText>
      </w:r>
      <w:r>
        <w:fldChar w:fldCharType="separate"/>
      </w:r>
      <w:r>
        <w:rPr>
          <w:b/>
          <w:sz w:val="24"/>
        </w:rPr>
        <w:t>1 000 000,00</w:t>
      </w:r>
      <w:r>
        <w:fldChar w:fldCharType="end"/>
      </w:r>
      <w:r>
        <w:rPr>
          <w:b/>
          <w:sz w:val="24"/>
        </w:rPr>
        <w:t xml:space="preserve"> Kč</w:t>
      </w:r>
      <w:r>
        <w:rPr>
          <w:sz w:val="24"/>
        </w:rPr>
        <w:t xml:space="preserve"> v návaznosti na rozpočet uvedený v žádosti o poskytnutí dotace z dotačního fondu Královéhradeckého kraje č. </w:t>
      </w:r>
      <w:r>
        <w:fldChar w:fldCharType="begin"/>
      </w:r>
      <w:r>
        <w:rPr>
          <w:sz w:val="24"/>
        </w:rPr>
        <w:instrText xml:space="preserve"> DOCVARIABLE  ProfisTaskCode  \* MERGEFORMAT </w:instrText>
      </w:r>
      <w:r>
        <w:fldChar w:fldCharType="separate"/>
      </w:r>
      <w:r>
        <w:rPr>
          <w:sz w:val="24"/>
        </w:rPr>
        <w:t>21RGI02-0157</w:t>
      </w:r>
      <w:r>
        <w:fldChar w:fldCharType="end"/>
      </w:r>
      <w:r>
        <w:rPr>
          <w:sz w:val="24"/>
        </w:rPr>
        <w:t> (dále jen „žádost o dotaci“). Maximální procentuální pod</w:t>
      </w:r>
      <w:r>
        <w:rPr>
          <w:sz w:val="24"/>
        </w:rPr>
        <w:t xml:space="preserve">íl dotace na uznatelných výdajích projektu nesmí přesáhnout </w:t>
      </w:r>
      <w:proofErr w:type="gramStart"/>
      <w:r w:rsidR="002F40F8" w:rsidRPr="002F40F8">
        <w:rPr>
          <w:b/>
          <w:sz w:val="24"/>
          <w:szCs w:val="24"/>
        </w:rPr>
        <w:t>24,05</w:t>
      </w:r>
      <w:r w:rsidRPr="002F40F8">
        <w:rPr>
          <w:b/>
          <w:sz w:val="24"/>
          <w:szCs w:val="24"/>
        </w:rPr>
        <w:t>%</w:t>
      </w:r>
      <w:proofErr w:type="gramEnd"/>
      <w:r w:rsidRPr="002F40F8">
        <w:rPr>
          <w:sz w:val="24"/>
          <w:szCs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uvedených v žádosti o dotaci.</w:t>
      </w:r>
    </w:p>
    <w:p w:rsidR="00D76868" w:rsidRDefault="00CF5532">
      <w:pPr>
        <w:numPr>
          <w:ilvl w:val="0"/>
          <w:numId w:val="3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Poskytovatel se zavazuje převést celou výši dotace na bankovní účet příjemce uvedený v záhlaví této sml</w:t>
      </w:r>
      <w:r>
        <w:rPr>
          <w:sz w:val="24"/>
        </w:rPr>
        <w:t xml:space="preserve">ouvy nejpozději do 45 dnů ode dne nabytí účinnosti této smlouvy. </w:t>
      </w:r>
    </w:p>
    <w:p w:rsidR="00D76868" w:rsidRDefault="00CF5532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D76868" w:rsidRDefault="00CF553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Podmínky použití dotace 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předmětnou dotaci přijímá a zavazuje se, že bude projekt realizovat v souladu s právními předpisy a zněním Zásad pro poskytování dotací a darů z rozpoč</w:t>
      </w:r>
      <w:r>
        <w:rPr>
          <w:sz w:val="24"/>
        </w:rPr>
        <w:t xml:space="preserve">tu Královéhradeckého kraje účinným ke dni podání žádosti o dotaci (dále jen „Zásady“) Zásady i dotační program jsou zveřejněny na stránkách dotačního portálu poskytovatele: </w:t>
      </w:r>
      <w:hyperlink r:id="rId7" w:history="1">
        <w:r>
          <w:rPr>
            <w:rStyle w:val="Hypertextovodkaz"/>
            <w:sz w:val="24"/>
          </w:rPr>
          <w:t>http://dotace.kr-kralovehradecky.c</w:t>
        </w:r>
        <w:r>
          <w:rPr>
            <w:rStyle w:val="Hypertextovodkaz"/>
            <w:sz w:val="24"/>
          </w:rPr>
          <w:t>z</w:t>
        </w:r>
      </w:hyperlink>
      <w:r>
        <w:rPr>
          <w:rStyle w:val="Hypertextovodkaz"/>
          <w:sz w:val="24"/>
        </w:rPr>
        <w:t xml:space="preserve"> </w:t>
      </w:r>
      <w:r>
        <w:rPr>
          <w:sz w:val="24"/>
        </w:rPr>
        <w:t>(dále jen „dotační portál“). Příjemce se zavazuje použít dotaci maximálně hospodárným způsobem.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Dotace je ve smyslu zákona č. 320/2001 Sb., o finanční kontrole ve veřejné správě a o změně některých zákonů, ve znění pozdějších předpisů (dále jen „zákon</w:t>
      </w:r>
      <w:r>
        <w:rPr>
          <w:sz w:val="24"/>
        </w:rPr>
        <w:t xml:space="preserve"> o finanční kontrole“ nebo „zákon č. 320/2001 Sb., o finanční kontrole“), veřejnou finanční podporou a vztahují se na ni všechna ustanovení tohoto zákona.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Dotace je slučitelná s podporou poskytnutou z rozpočtu jiných územních samosprávných celků, státního </w:t>
      </w:r>
      <w:r>
        <w:rPr>
          <w:sz w:val="24"/>
        </w:rPr>
        <w:t>rozpočtu nebo strukturálních fondů Evropské unie, pokud to pravidla pro poskytnutí těchto podpor nevylučují.</w:t>
      </w:r>
    </w:p>
    <w:p w:rsidR="00D76868" w:rsidRDefault="00CF5532">
      <w:pPr>
        <w:keepNext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Doba, v níž má být dosaženo účelu stanoveného v článku I. odst. (2) této smlouvy, tj. doba, </w:t>
      </w:r>
      <w:r>
        <w:br/>
      </w:r>
      <w:r>
        <w:rPr>
          <w:sz w:val="24"/>
        </w:rPr>
        <w:t>ve které musejí být provedeny všechny činnosti spojené</w:t>
      </w:r>
      <w:r>
        <w:rPr>
          <w:sz w:val="24"/>
        </w:rPr>
        <w:t xml:space="preserve"> s realizací předmětného projektu, (dále jen „doba realizace projektu“) se stanovuje </w:t>
      </w:r>
      <w:r>
        <w:rPr>
          <w:b/>
          <w:sz w:val="24"/>
        </w:rPr>
        <w:t xml:space="preserve">od </w:t>
      </w:r>
      <w:r>
        <w:fldChar w:fldCharType="begin"/>
      </w:r>
      <w:r>
        <w:rPr>
          <w:b/>
          <w:sz w:val="24"/>
        </w:rPr>
        <w:instrText xml:space="preserve"> DOCVARIABLE  DotisStartDate  \* MERGEFORMAT </w:instrText>
      </w:r>
      <w:r>
        <w:fldChar w:fldCharType="separate"/>
      </w:r>
      <w:r>
        <w:rPr>
          <w:b/>
          <w:sz w:val="24"/>
        </w:rPr>
        <w:t>11.02.2020</w:t>
      </w:r>
      <w:r>
        <w:fldChar w:fldCharType="end"/>
      </w:r>
      <w:r>
        <w:rPr>
          <w:b/>
          <w:sz w:val="24"/>
        </w:rPr>
        <w:t xml:space="preserve"> 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 w:rsidR="002F40F8">
        <w:rPr>
          <w:b/>
          <w:sz w:val="24"/>
        </w:rPr>
        <w:t>31.12</w:t>
      </w:r>
      <w:r>
        <w:rPr>
          <w:b/>
          <w:sz w:val="24"/>
        </w:rPr>
        <w:t>.2021</w:t>
      </w:r>
      <w:r>
        <w:fldChar w:fldCharType="end"/>
      </w:r>
      <w:r>
        <w:rPr>
          <w:sz w:val="24"/>
        </w:rPr>
        <w:t>. V době realizace projektu musí být uhrazeny vešk</w:t>
      </w:r>
      <w:r>
        <w:rPr>
          <w:sz w:val="24"/>
        </w:rPr>
        <w:t>eré výdaje projektu. Těmito výdaji jsou výdaje, které budou vynaloženy v době realizace projektu nebo tvoří kompenzaci již vynaložených výdajů souvisejících s realizací projektu od termínu jeho zahájení.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DPH, o jejíž vrácení může příjemce zpětně zažádat, n</w:t>
      </w:r>
      <w:r>
        <w:rPr>
          <w:sz w:val="24"/>
        </w:rPr>
        <w:t xml:space="preserve">ení uznatelným výdajem. 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Jednotlivé výdaje nad 40.000 Kč se příjemce zavazuje hradit bezhotovostním převodem. 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postupovat v souladu se zákonem č. 134/2016 Sb., o zadávání veřejných zakázek, ve znění pozdějších předpisů (dále jen „ZZ</w:t>
      </w:r>
      <w:r>
        <w:rPr>
          <w:sz w:val="24"/>
        </w:rPr>
        <w:t xml:space="preserve">VZ“). 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Příjemce je povinen v rámci účetnictví vést výdaje vynaložené na realizaci projektu odděleně (např. analytická evidence, střediska apod.), v členění na výdaje financované z poskytnuté dotace a výdaje financované z vlastního podílu, v souladu se záko</w:t>
      </w:r>
      <w:r>
        <w:rPr>
          <w:sz w:val="24"/>
        </w:rPr>
        <w:t>nem č. 563/1991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</w:t>
      </w:r>
      <w:r>
        <w:rPr>
          <w:sz w:val="24"/>
        </w:rPr>
        <w:t>telné, průběžně chronologicky řazené a vedené způsobem zaručujícím jejich trvalost.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označit originály dokladů, souvisejících s realizací projektu (výdaje hrazené z dotace či vlastního podílu), číslem této smlouvy a vyčíslit na nich část</w:t>
      </w:r>
      <w:r>
        <w:rPr>
          <w:sz w:val="24"/>
        </w:rPr>
        <w:t xml:space="preserve">ku hrazenou z dotace. 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zveřejnit, že Královéhradecký kraj je poskytovatelem dotace na realizaci předmětného projektu, a to po dobu realizace projektu a v případě výstavby, oprav a rekonstrukcí staveb (vyjma liniových) i nejméně jeden ro</w:t>
      </w:r>
      <w:r>
        <w:rPr>
          <w:sz w:val="24"/>
        </w:rPr>
        <w:t>k po 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sz w:val="24"/>
            <w:u w:val="none"/>
          </w:rPr>
          <w:t>dotačním</w:t>
        </w:r>
      </w:hyperlink>
      <w:r>
        <w:rPr>
          <w:rStyle w:val="Hypertextovodkaz"/>
          <w:color w:val="auto"/>
          <w:sz w:val="24"/>
          <w:u w:val="none"/>
        </w:rPr>
        <w:t xml:space="preserve"> portálu</w:t>
      </w:r>
      <w:r>
        <w:rPr>
          <w:sz w:val="24"/>
        </w:rPr>
        <w:t>.</w:t>
      </w:r>
    </w:p>
    <w:p w:rsidR="00D76868" w:rsidRDefault="00CF5532">
      <w:pPr>
        <w:pStyle w:val="Odstavecseseznamem"/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b/>
          <w:sz w:val="24"/>
        </w:rPr>
        <w:t xml:space="preserve">Příjemce je povinen předat poskytovateli </w:t>
      </w:r>
      <w:r>
        <w:rPr>
          <w:b/>
          <w:sz w:val="24"/>
        </w:rPr>
        <w:t>Závěrečnou zprávu o realizaci projektu, její součástí je finanční vypořádání projektu (dále jen „Závěrečná zpráva“)</w:t>
      </w:r>
      <w:r>
        <w:rPr>
          <w:sz w:val="24"/>
        </w:rPr>
        <w:t xml:space="preserve"> </w:t>
      </w:r>
      <w:r>
        <w:rPr>
          <w:b/>
          <w:sz w:val="24"/>
        </w:rPr>
        <w:t xml:space="preserve">do </w:t>
      </w:r>
      <w:r>
        <w:fldChar w:fldCharType="begin"/>
      </w:r>
      <w:r>
        <w:rPr>
          <w:b/>
          <w:sz w:val="24"/>
        </w:rPr>
        <w:instrText xml:space="preserve"> DOCVARIABLE  DotisEndDate  \* MERGEFORMAT </w:instrText>
      </w:r>
      <w:r>
        <w:fldChar w:fldCharType="separate"/>
      </w:r>
      <w:r w:rsidR="002F40F8">
        <w:rPr>
          <w:b/>
          <w:sz w:val="24"/>
        </w:rPr>
        <w:t>31.12</w:t>
      </w:r>
      <w:r>
        <w:rPr>
          <w:b/>
          <w:sz w:val="24"/>
        </w:rPr>
        <w:t>.2021</w:t>
      </w:r>
      <w:r>
        <w:fldChar w:fldCharType="end"/>
      </w:r>
      <w:r>
        <w:rPr>
          <w:b/>
          <w:sz w:val="24"/>
        </w:rPr>
        <w:t>.</w:t>
      </w:r>
      <w:r>
        <w:rPr>
          <w:sz w:val="24"/>
        </w:rPr>
        <w:t xml:space="preserve"> Za den předání Závěrečné zprávy se považuje den jejího odeslání prostřednictvím</w:t>
      </w:r>
      <w:r>
        <w:rPr>
          <w:sz w:val="24"/>
        </w:rPr>
        <w:t xml:space="preserve"> dotačního portálu. Přílohy závěrečné zprávy, které nebyly vloženy do dotačního portálu elektronicky, lze zaslat v listinné podobě. 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 xml:space="preserve">Závěrečná zpráva musí obsahovat podrobný popis realizace projektu, vyhodnocení dopadu projektu, seznam dokladů </w:t>
      </w:r>
      <w:r>
        <w:rPr>
          <w:sz w:val="24"/>
        </w:rPr>
        <w:t>prokazujících výdaje vynaložené na realizaci projektu (číslo dokladu, účel použití dotace a výši dotace použité na daný výdaj, datum výdaje, částka v Kč), a doklad o naplnění publicity finanční podpory od poskytovatele podle článku III. odst. (15) této sml</w:t>
      </w:r>
      <w:r>
        <w:rPr>
          <w:sz w:val="24"/>
        </w:rPr>
        <w:t>ouvy. Závěrečná zpráva musí obsahovat i kopie dokladů vystavených na částku přesahující 40.000 Kč a hrazených z poskytnuté dotace. Příjemce je povinen archivovat veškeré dokumenty související s poskytnutou dotací po dobu 10 let počínajících koncem účetního</w:t>
      </w:r>
      <w:r>
        <w:rPr>
          <w:sz w:val="24"/>
        </w:rPr>
        <w:t xml:space="preserve"> období, ve kterém byla ukončena realizace předmětného projektu.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ve lhůtě 5 pracovních dnů po uplynutí lhůty pro předání Závěrečné zprávy vrátit případnou nepoužitou část dotace, a to jejím odesláním na bankovní účet poskytovatele uvede</w:t>
      </w:r>
      <w:r>
        <w:rPr>
          <w:sz w:val="24"/>
        </w:rPr>
        <w:t>ný v záhlaví této smlouvy. Dotace či její části se považují za vrácené dnem, kdy byly připsány na bankovní účet poskytovatele. V případě, že účinnost této smlouvy zasahuje do dvou a více kalendářních let (tzv. víceleté projekty), je příjemce povinen předat</w:t>
      </w:r>
      <w:r>
        <w:rPr>
          <w:sz w:val="24"/>
        </w:rPr>
        <w:t xml:space="preserve"> </w:t>
      </w:r>
      <w:r>
        <w:rPr>
          <w:b/>
          <w:sz w:val="24"/>
        </w:rPr>
        <w:t>dílčí finanční vypořádání</w:t>
      </w:r>
      <w:r>
        <w:rPr>
          <w:sz w:val="24"/>
        </w:rPr>
        <w:t xml:space="preserve"> dotace (za předchozí kalendářní rok či jeho část) poskytovateli nejpozději </w:t>
      </w:r>
      <w:r>
        <w:rPr>
          <w:b/>
          <w:sz w:val="24"/>
        </w:rPr>
        <w:t>do 8. ledna</w:t>
      </w:r>
      <w:r>
        <w:rPr>
          <w:sz w:val="24"/>
        </w:rPr>
        <w:t xml:space="preserve"> následujícího roku.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Za den předání dílčího finančního vypořádání dotace se považuje den jeho odeslání poskytovateli prostřednictvím dotačního </w:t>
      </w:r>
      <w:r>
        <w:rPr>
          <w:sz w:val="24"/>
        </w:rPr>
        <w:t>portálu.</w:t>
      </w:r>
    </w:p>
    <w:p w:rsidR="00D76868" w:rsidRDefault="00CF5532">
      <w:pPr>
        <w:numPr>
          <w:ilvl w:val="0"/>
          <w:numId w:val="36"/>
        </w:numPr>
        <w:spacing w:after="120"/>
        <w:jc w:val="both"/>
        <w:rPr>
          <w:sz w:val="24"/>
        </w:rPr>
      </w:pPr>
      <w:r>
        <w:rPr>
          <w:sz w:val="24"/>
        </w:rPr>
        <w:t>Příjemce je povinen u veškerého majetku získaného z dotace dodržovat dobu udržitelnosti projektu stanovenou v Zásadách. Stav majetku, jeho evidenci v účetnictví a využívání pro svou činnost je příjemce povinen prokázat kdykoliv během doby, po kter</w:t>
      </w:r>
      <w:r>
        <w:rPr>
          <w:sz w:val="24"/>
        </w:rPr>
        <w:t xml:space="preserve">ou má majetek pořízený z poskytnuté dotace ve svém vlastnictví, max. do uplynutí doby udržitelnosti projektu. </w:t>
      </w:r>
    </w:p>
    <w:p w:rsidR="00D76868" w:rsidRDefault="00CF5532">
      <w:pPr>
        <w:numPr>
          <w:ilvl w:val="0"/>
          <w:numId w:val="3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Poskytovatel má právo využít informace a výstupy realizovaného projektu včetně digitální a tištěné prezentace k případnému nekomerčnímu využití, </w:t>
      </w:r>
      <w:r>
        <w:rPr>
          <w:sz w:val="24"/>
        </w:rPr>
        <w:t xml:space="preserve">a to bez souhlasu příjemce. Příjemce je </w:t>
      </w:r>
      <w:r>
        <w:rPr>
          <w:sz w:val="24"/>
        </w:rPr>
        <w:lastRenderedPageBreak/>
        <w:t>povinen toto právo poskytovatele strpět a zavazuje se mu poskytnout k jeho realizaci veškerou součinnost.</w:t>
      </w:r>
    </w:p>
    <w:p w:rsidR="00D76868" w:rsidRDefault="00CF5532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D76868" w:rsidRDefault="00CF5532">
      <w:pPr>
        <w:spacing w:after="120"/>
        <w:ind w:left="357"/>
        <w:jc w:val="center"/>
        <w:rPr>
          <w:sz w:val="24"/>
        </w:rPr>
      </w:pPr>
      <w:r>
        <w:rPr>
          <w:b/>
          <w:sz w:val="24"/>
        </w:rPr>
        <w:t>Změny v projektu, zánik příjemce s likvidací a změny podmínek čerpání poskytnuté dotace</w:t>
      </w:r>
    </w:p>
    <w:p w:rsidR="00D76868" w:rsidRDefault="00CF5532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>Příjemce je povine</w:t>
      </w:r>
      <w:r>
        <w:rPr>
          <w:sz w:val="24"/>
        </w:rPr>
        <w:t>n průběžně a prokazatelným způsobem informovat poskytovatele o všech změnách souvisejících s projektem (o změně  harmonogramu realizace projektu, změně statutárního orgánu, změně osoby odpovědné za realizaci projektu, zahájení insolvenčního řízení proti př</w:t>
      </w:r>
      <w:r>
        <w:rPr>
          <w:sz w:val="24"/>
        </w:rPr>
        <w:t>íjemci, rozhodnutí o úpadku příjemce, vstupu příjemce do likvidace, sloučení s jiným příjemcem dotace, zrušení právnického osoby, přeměně právnické osoby nebo o jiné situaci směřující k zániku příjemce), vyjma změn uvedených v odst. (3) tohoto článku, nejp</w:t>
      </w:r>
      <w:r>
        <w:rPr>
          <w:sz w:val="24"/>
        </w:rPr>
        <w:t xml:space="preserve">ozději </w:t>
      </w:r>
      <w:r>
        <w:br/>
      </w:r>
      <w:r>
        <w:rPr>
          <w:sz w:val="24"/>
        </w:rPr>
        <w:t xml:space="preserve">do 5 pracovních dnů ode dne, kdy se o změnách dozvěděl. </w:t>
      </w:r>
    </w:p>
    <w:p w:rsidR="00D76868" w:rsidRDefault="00CF5532">
      <w:pPr>
        <w:numPr>
          <w:ilvl w:val="0"/>
          <w:numId w:val="37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</w:r>
      <w:r>
        <w:rPr>
          <w:sz w:val="24"/>
        </w:rPr>
        <w:t>že v důsled</w:t>
      </w:r>
      <w:r>
        <w:rPr>
          <w:sz w:val="24"/>
        </w:rPr>
        <w:t xml:space="preserve">ku zániku příjemce s likvidací není možné provést projekt, na který byla dotace poskytnuta, je příjemce povinen vrátit celou částku poskytnuté dotace poskytovateli, </w:t>
      </w:r>
      <w:r>
        <w:br/>
      </w:r>
      <w:r>
        <w:rPr>
          <w:sz w:val="24"/>
        </w:rPr>
        <w:t xml:space="preserve">a to nejpozději do zahájení likvidace příjemce. Stejně tak je příjemce povinen postupovat </w:t>
      </w:r>
      <w:r>
        <w:rPr>
          <w:sz w:val="24"/>
        </w:rPr>
        <w:t>v případě, že bude zahájeno insolvenční řízení proti příjemci jako dlužníkovi, příslušným soudem bude rozhodnuto o úpadku příjemce nebo nastane jiná situace směřující k zániku příjemce. Pokud příjemce nevrátí do lhůt uvedených výše poskytnutou dotaci, stáv</w:t>
      </w:r>
      <w:r>
        <w:rPr>
          <w:sz w:val="24"/>
        </w:rPr>
        <w:t>ají se prostředky dotace zadrženými ve smyslu ustanovení § 22 a násl. zákona č. 250/2000 Sb., o rozpočtových pravidlech územních rozpočtů, ve znění pozdějších předpisů (dále jen „ZORP“ nebo „zákon č. 250/2000 Sb., o rozpočtových pravidlech územních rozpočt</w:t>
      </w:r>
      <w:r>
        <w:rPr>
          <w:sz w:val="24"/>
        </w:rPr>
        <w:t>ů“), bude postupováno dle tohoto zákona a zákona č. 280/2009 Sb., daňový řád, ve znění pozdějších předpisů.</w:t>
      </w:r>
    </w:p>
    <w:p w:rsidR="00D76868" w:rsidRDefault="00CF5532">
      <w:pPr>
        <w:numPr>
          <w:ilvl w:val="0"/>
          <w:numId w:val="37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Příjemce je povinen požádat poskytovatele prokazatelným způsobem o schválení záměru změnit podmínky čerpání poskytnuté dotace vyžadující změnu této </w:t>
      </w:r>
      <w:r>
        <w:rPr>
          <w:sz w:val="24"/>
        </w:rPr>
        <w:t xml:space="preserve">smlouvy (zejména změnu účelu dotace, typu dotace, doby realizace projektu). Žádost je nutné podat s takovým předstihem, aby byl dodatek k této smlouvě uzavřen před ukončením doby realizace projektu. </w:t>
      </w:r>
    </w:p>
    <w:p w:rsidR="00D76868" w:rsidRDefault="00CF5532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D76868" w:rsidRDefault="00CF5532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:rsidR="00D76868" w:rsidRDefault="00CF5532">
      <w:pPr>
        <w:spacing w:after="240"/>
        <w:ind w:left="425"/>
        <w:jc w:val="both"/>
        <w:rPr>
          <w:sz w:val="24"/>
        </w:rPr>
      </w:pPr>
      <w:r>
        <w:rPr>
          <w:sz w:val="24"/>
        </w:rPr>
        <w:t xml:space="preserve">Příslušné orgány poskytovatele </w:t>
      </w:r>
      <w:r>
        <w:rPr>
          <w:sz w:val="24"/>
        </w:rPr>
        <w:t>či osoby pověřené poskytovatelem jsou v souladu se zákonem č. 129/2000 Sb., o krajích ve znění pozdějších předpisů, zákonem č. 320/2001 Sb., o finanční kontrole, a zákonem č. 250/2000 Sb., o rozpočtových pravidlech územních rozpočtů, oprávněny kdykoli kont</w:t>
      </w:r>
      <w:r>
        <w:rPr>
          <w:sz w:val="24"/>
        </w:rPr>
        <w:t>rolovat dodržení podmínek, za kterých byla dotace poskytnuta.</w:t>
      </w:r>
    </w:p>
    <w:p w:rsidR="00D76868" w:rsidRDefault="00CF5532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D76868" w:rsidRDefault="00CF553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Důsledky porušení povinností příjemce</w:t>
      </w:r>
    </w:p>
    <w:p w:rsidR="00D76868" w:rsidRDefault="00CF5532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Pokud se příjemce dopustí porušení rozpočtové kázně, poskytovatel dotace bude postupovat dle ustanovení § 22 ZORP. </w:t>
      </w:r>
    </w:p>
    <w:p w:rsidR="00D76868" w:rsidRDefault="00CF5532">
      <w:pPr>
        <w:numPr>
          <w:ilvl w:val="0"/>
          <w:numId w:val="39"/>
        </w:numPr>
        <w:spacing w:after="120"/>
        <w:ind w:left="426"/>
        <w:jc w:val="both"/>
        <w:rPr>
          <w:sz w:val="24"/>
        </w:rPr>
      </w:pPr>
      <w:r>
        <w:rPr>
          <w:sz w:val="24"/>
        </w:rPr>
        <w:lastRenderedPageBreak/>
        <w:t>Podmínky, jejichž porušení je dle us</w:t>
      </w:r>
      <w:r>
        <w:rPr>
          <w:sz w:val="24"/>
        </w:rPr>
        <w:t xml:space="preserve">tanovení § </w:t>
      </w:r>
      <w:proofErr w:type="gramStart"/>
      <w:r>
        <w:rPr>
          <w:sz w:val="24"/>
        </w:rPr>
        <w:t>10a</w:t>
      </w:r>
      <w:proofErr w:type="gramEnd"/>
      <w:r>
        <w:rPr>
          <w:sz w:val="24"/>
        </w:rPr>
        <w:t xml:space="preserve"> odst. (6) ZORP považováno za méně závažné, za které se uloží odvod za porušení rozpočtové kázně nižší, než odpovídá výši neoprávněně použitých nebo zadržených peněžních prostředků:</w:t>
      </w:r>
    </w:p>
    <w:p w:rsidR="00D76868" w:rsidRDefault="00CF5532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nepředání Závěrečné zprávy nebo dílčího finančního vypořádán</w:t>
      </w:r>
      <w:r>
        <w:rPr>
          <w:sz w:val="24"/>
        </w:rPr>
        <w:t>í dotace ve lhůtách stanovených touto smlouvou [viz článek III. odst. (11) a (13) této smlouvy]:</w:t>
      </w:r>
    </w:p>
    <w:p w:rsidR="00D76868" w:rsidRDefault="00CF5532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0,5 % z celkové částky poskytnuté dotace při překročení o max. 5 pracovních dnů,</w:t>
      </w:r>
    </w:p>
    <w:p w:rsidR="00D76868" w:rsidRDefault="00CF5532">
      <w:pPr>
        <w:numPr>
          <w:ilvl w:val="2"/>
          <w:numId w:val="39"/>
        </w:numPr>
        <w:ind w:left="993"/>
        <w:jc w:val="both"/>
        <w:rPr>
          <w:sz w:val="24"/>
        </w:rPr>
      </w:pPr>
      <w:r>
        <w:rPr>
          <w:sz w:val="24"/>
        </w:rPr>
        <w:t>odvod ve výši 2 % z celkové částky poskytnuté dotace při překroč</w:t>
      </w:r>
      <w:r>
        <w:rPr>
          <w:sz w:val="24"/>
        </w:rPr>
        <w:t xml:space="preserve">ení lhůty </w:t>
      </w:r>
      <w:r>
        <w:br/>
      </w:r>
      <w:r>
        <w:rPr>
          <w:sz w:val="24"/>
        </w:rPr>
        <w:t>o max. 20 pracovních dnů,</w:t>
      </w:r>
    </w:p>
    <w:p w:rsidR="00D76868" w:rsidRDefault="00CF5532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>za každé jednotlivé porušení článku III. odst. (6), (8), (9), (10) a (12) této smlouvy – odvod ve výši 5 % z celkové částky poskytnuté dotace,</w:t>
      </w:r>
    </w:p>
    <w:p w:rsidR="00D76868" w:rsidRDefault="00CF5532">
      <w:pPr>
        <w:numPr>
          <w:ilvl w:val="1"/>
          <w:numId w:val="39"/>
        </w:numPr>
        <w:ind w:left="709"/>
        <w:jc w:val="both"/>
        <w:rPr>
          <w:sz w:val="24"/>
        </w:rPr>
      </w:pPr>
      <w:r>
        <w:rPr>
          <w:sz w:val="24"/>
        </w:rPr>
        <w:t xml:space="preserve">za každé jednotlivé porušení zákonné povinnosti vymezené v ustanovení § 219 </w:t>
      </w:r>
      <w:r>
        <w:rPr>
          <w:sz w:val="24"/>
        </w:rPr>
        <w:t>odst. (1) až (4) ZZVZ – odvod ve výši 2.000 Kč.</w:t>
      </w:r>
    </w:p>
    <w:p w:rsidR="00D76868" w:rsidRDefault="00D76868">
      <w:pPr>
        <w:ind w:left="426"/>
        <w:jc w:val="both"/>
        <w:rPr>
          <w:sz w:val="24"/>
        </w:rPr>
      </w:pPr>
    </w:p>
    <w:p w:rsidR="00D76868" w:rsidRDefault="00CF5532">
      <w:pPr>
        <w:numPr>
          <w:ilvl w:val="0"/>
          <w:numId w:val="39"/>
        </w:numPr>
        <w:spacing w:after="240"/>
        <w:ind w:left="425" w:hanging="357"/>
        <w:jc w:val="both"/>
        <w:rPr>
          <w:sz w:val="24"/>
        </w:rPr>
      </w:pPr>
      <w:r>
        <w:rPr>
          <w:sz w:val="24"/>
        </w:rPr>
        <w:t>Veškeré platby, jako důsledky porušení závazků, provede příjemce formou bezhotovostního převodu na bankovní účet poskytovatele uvedený v záhlaví této smlouvy.</w:t>
      </w:r>
    </w:p>
    <w:p w:rsidR="00D76868" w:rsidRDefault="00CF5532">
      <w:pPr>
        <w:keepNext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D76868" w:rsidRDefault="00CF5532">
      <w:pPr>
        <w:keepNext/>
        <w:spacing w:after="120"/>
        <w:jc w:val="center"/>
        <w:rPr>
          <w:b/>
          <w:sz w:val="24"/>
        </w:rPr>
      </w:pPr>
      <w:r>
        <w:rPr>
          <w:b/>
          <w:sz w:val="24"/>
        </w:rPr>
        <w:t>Ukončení smlouvy, výpověď smlouvy a sankce</w:t>
      </w:r>
    </w:p>
    <w:p w:rsidR="00D76868" w:rsidRDefault="00CF5532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Závazkový vztah založený touto smlouvou lze ukončit na základě dohody nebo výpovědí. </w:t>
      </w:r>
      <w:r>
        <w:br/>
      </w:r>
      <w:r>
        <w:rPr>
          <w:sz w:val="24"/>
        </w:rPr>
        <w:t>V případě, že příjemce nebude projekt realizovat, je kterákoli ze smluvních stran oprávněna smlouvu vypovědět. Poskytovatel je oprávněn dále smlouvu vypovědět kdykoli, kd</w:t>
      </w:r>
      <w:r>
        <w:rPr>
          <w:sz w:val="24"/>
        </w:rPr>
        <w:t xml:space="preserve">y dojde </w:t>
      </w:r>
      <w:r>
        <w:br/>
      </w:r>
      <w:r>
        <w:rPr>
          <w:sz w:val="24"/>
        </w:rPr>
        <w:t>ze strany příjemce k porušení jakýchkoli povinností stanovených právními předpisy, touto smlouvou, Zásadami a souvisejícími dokumenty.</w:t>
      </w:r>
    </w:p>
    <w:p w:rsidR="00D76868" w:rsidRDefault="00CF5532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>Výpovědní doba činí 15 dnů ode dne doručení výpovědi druhé smluvní straně. Výpověď smlouvy musí být učiněna píse</w:t>
      </w:r>
      <w:r>
        <w:rPr>
          <w:sz w:val="24"/>
        </w:rPr>
        <w:t xml:space="preserve">mnou formou. V případě pochybnosti o doručení se má za to, že je výpověď doručena 5. den od jejího odeslání. </w:t>
      </w:r>
    </w:p>
    <w:p w:rsidR="00D76868" w:rsidRDefault="00CF5532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peněžní </w:t>
      </w:r>
      <w:r>
        <w:rPr>
          <w:sz w:val="24"/>
        </w:rPr>
        <w:t>prostředky za zadržené ve smyslu ustanovení § 22 odst. (3) ZORP, a poskytovatel dotace bude postupovat v souladu s tímto ustanovením.</w:t>
      </w:r>
    </w:p>
    <w:p w:rsidR="00D76868" w:rsidRDefault="00CF5532">
      <w:pPr>
        <w:numPr>
          <w:ilvl w:val="0"/>
          <w:numId w:val="40"/>
        </w:numPr>
        <w:spacing w:after="120"/>
        <w:jc w:val="both"/>
        <w:rPr>
          <w:sz w:val="24"/>
        </w:rPr>
      </w:pPr>
      <w:r>
        <w:rPr>
          <w:sz w:val="24"/>
        </w:rPr>
        <w:t xml:space="preserve">Realizací výpovědi smlouvy ze strany příjemce či poskytovatele není dotčen postup </w:t>
      </w:r>
      <w:r>
        <w:br/>
      </w:r>
      <w:r>
        <w:rPr>
          <w:sz w:val="24"/>
        </w:rPr>
        <w:t>dle ustanovení článku VI. a předchozích</w:t>
      </w:r>
      <w:r>
        <w:rPr>
          <w:sz w:val="24"/>
        </w:rPr>
        <w:t xml:space="preserve"> odstavců článku VII. této smlouvy. </w:t>
      </w:r>
    </w:p>
    <w:p w:rsidR="00D76868" w:rsidRDefault="00CF5532">
      <w:pPr>
        <w:numPr>
          <w:ilvl w:val="0"/>
          <w:numId w:val="40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Výpověď smlouvy se nedotýká nároku na náhradu škody, vzniklé porušením smlouvy.</w:t>
      </w:r>
    </w:p>
    <w:p w:rsidR="00D76868" w:rsidRDefault="00CF5532">
      <w:pPr>
        <w:keepNext/>
        <w:keepLines/>
        <w:jc w:val="center"/>
        <w:rPr>
          <w:b/>
          <w:sz w:val="24"/>
        </w:rPr>
      </w:pPr>
      <w:r>
        <w:rPr>
          <w:b/>
          <w:sz w:val="24"/>
        </w:rPr>
        <w:lastRenderedPageBreak/>
        <w:t>VIII.</w:t>
      </w:r>
    </w:p>
    <w:p w:rsidR="00D76868" w:rsidRDefault="00CF5532">
      <w:pPr>
        <w:keepNext/>
        <w:keepLines/>
        <w:spacing w:after="12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D76868" w:rsidRDefault="00CF5532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Smluvní strany souhlasí se zveřejněním této smlouvy i všech údajů týkajících se projektu. Příjemce prohlašuje, ž</w:t>
      </w:r>
      <w:r>
        <w:rPr>
          <w:sz w:val="24"/>
        </w:rPr>
        <w:t xml:space="preserve">e tato smlouva neobsahuje žádná obchodní tajemství. Příjemce bere </w:t>
      </w:r>
      <w:r>
        <w:br/>
      </w:r>
      <w:r>
        <w:rPr>
          <w:sz w:val="24"/>
        </w:rPr>
        <w:t>na vědomí, že tato smlouva může být zveřejněna v registru smluv včetně všech údajů uváděných v této smlouvě a souhlasí s tímto zveřejněním včetně veškerých případných osobních údajů všech o</w:t>
      </w:r>
      <w:r>
        <w:rPr>
          <w:sz w:val="24"/>
        </w:rPr>
        <w:t>sob uváděných ve smlouvě.</w:t>
      </w:r>
    </w:p>
    <w:p w:rsidR="00D76868" w:rsidRDefault="00CF5532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V případě, že je dotace použita na vytvoření předmětu duševního vlastnictví (zejména autorského díla), poskytuje příjemce poskytovateli dotaci právo dílo užít pro své potřeby, </w:t>
      </w:r>
      <w:r>
        <w:br/>
      </w:r>
      <w:r>
        <w:rPr>
          <w:sz w:val="24"/>
        </w:rPr>
        <w:t>a to bezplatně na území České republiky na dobu neurč</w:t>
      </w:r>
      <w:r>
        <w:rPr>
          <w:sz w:val="24"/>
        </w:rPr>
        <w:t>itou. Případné další podmínky budou upraveny v licenční smlouvě.</w:t>
      </w:r>
    </w:p>
    <w:p w:rsidR="00D76868" w:rsidRDefault="00CF5532">
      <w:pPr>
        <w:numPr>
          <w:ilvl w:val="0"/>
          <w:numId w:val="41"/>
        </w:numPr>
        <w:spacing w:before="120" w:after="120"/>
        <w:jc w:val="both"/>
        <w:rPr>
          <w:sz w:val="24"/>
        </w:rPr>
      </w:pPr>
      <w:r>
        <w:rPr>
          <w:sz w:val="24"/>
        </w:rPr>
        <w:t>Tato smlouva nezaniká dnem ukončení projektu, nýbrž dnem, kdy smluvní strany splní všechny povinnosti, které jim plynou z této smlouvy.</w:t>
      </w:r>
    </w:p>
    <w:p w:rsidR="00D76868" w:rsidRDefault="00CF5532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Práva a povinnosti z této smlouvy vyplývající </w:t>
      </w:r>
      <w:r>
        <w:rPr>
          <w:sz w:val="24"/>
        </w:rPr>
        <w:t>přecházejí na právního nástupce příjemce.</w:t>
      </w:r>
    </w:p>
    <w:p w:rsidR="00D76868" w:rsidRDefault="00CF5532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Jakékoli změny této smlouvy lze provádět pouze formou písemných, postupně číslovaných, dodatků na základě dohody obou smluvních stran. </w:t>
      </w:r>
    </w:p>
    <w:p w:rsidR="00D76868" w:rsidRDefault="00CF5532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Vztahy touto smlouvou neupravené se řídí právním řádem České republiky zejména</w:t>
      </w:r>
      <w:r>
        <w:rPr>
          <w:sz w:val="24"/>
        </w:rPr>
        <w:t xml:space="preserve"> ustanoveními ZORP, ustanoveními § 159 až § 170 zákona č. 500/2004 Sb., správní řád, ve znění pozdějších předpisů, a příslušnými ustanoveními zákona č. 89/2012 Sb., občanský zákoník, ve znění pozdějších předpisů.</w:t>
      </w:r>
    </w:p>
    <w:p w:rsidR="00D76868" w:rsidRDefault="00CF5532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Tato smlouva je sepsána ve třech vyhotovení</w:t>
      </w:r>
      <w:r>
        <w:rPr>
          <w:sz w:val="24"/>
        </w:rPr>
        <w:t>ch, z nichž dvě jsou určena pro poskytovatele a jedno pro příjemce.</w:t>
      </w:r>
    </w:p>
    <w:p w:rsidR="00D76868" w:rsidRDefault="00CF5532">
      <w:pPr>
        <w:numPr>
          <w:ilvl w:val="0"/>
          <w:numId w:val="41"/>
        </w:numPr>
        <w:spacing w:after="480"/>
        <w:jc w:val="both"/>
        <w:rPr>
          <w:sz w:val="24"/>
        </w:rPr>
      </w:pPr>
      <w:r>
        <w:rPr>
          <w:sz w:val="24"/>
        </w:rPr>
        <w:t xml:space="preserve">Tato smlouva nabývá platnosti a účinnosti dnem jejího podpisu smluvními stranami, pokud zvláštní právní předpis [zejména zákon č. 340/2015 Sb., o zvláštních podmínkách účinnosti některých </w:t>
      </w:r>
      <w:r>
        <w:rPr>
          <w:sz w:val="24"/>
        </w:rPr>
        <w:t>smluv, uveřejňování těchto smluv a o registru smluv (zákon o registru smluv), ve znění pozdějších předpisů] nestanoví účinnost jinak.</w:t>
      </w:r>
    </w:p>
    <w:p w:rsidR="00D76868" w:rsidRDefault="00CF5532">
      <w:pPr>
        <w:keepNext/>
        <w:ind w:left="357"/>
        <w:jc w:val="both"/>
        <w:rPr>
          <w:sz w:val="24"/>
        </w:rPr>
      </w:pPr>
      <w:r>
        <w:rPr>
          <w:b/>
          <w:sz w:val="24"/>
        </w:rPr>
        <w:t xml:space="preserve">Doložka podle ustanovení § 23 odst. (1) zákona o krajích </w:t>
      </w:r>
    </w:p>
    <w:p w:rsidR="002F40F8" w:rsidRDefault="002F40F8" w:rsidP="002F40F8">
      <w:pPr>
        <w:keepNext/>
        <w:ind w:left="357"/>
        <w:jc w:val="both"/>
        <w:rPr>
          <w:sz w:val="24"/>
        </w:rPr>
      </w:pPr>
      <w:r>
        <w:rPr>
          <w:sz w:val="24"/>
        </w:rPr>
        <w:t xml:space="preserve">O poskytnutí dotace a uzavření této smlouvy rozhodlo Zastupitelstvo Královéhradeckého kraje na svém zasedání konaném dne 13. 9. 2021 usnesením č. </w:t>
      </w:r>
      <w:r>
        <w:fldChar w:fldCharType="begin"/>
      </w:r>
      <w:r>
        <w:instrText xml:space="preserve"> DOCVARIABLE  DotisGrantApprovalNumber  \* MERGEFORMAT </w:instrText>
      </w:r>
      <w:r>
        <w:fldChar w:fldCharType="separate"/>
      </w:r>
      <w:r>
        <w:t>ZK/7/447/2021</w:t>
      </w:r>
      <w:r>
        <w:fldChar w:fldCharType="end"/>
      </w:r>
      <w:r>
        <w:rPr>
          <w:sz w:val="24"/>
        </w:rPr>
        <w:t>.</w:t>
      </w:r>
    </w:p>
    <w:p w:rsidR="00D76868" w:rsidRDefault="00D76868">
      <w:pPr>
        <w:keepNext/>
        <w:ind w:left="357"/>
        <w:jc w:val="both"/>
        <w:rPr>
          <w:sz w:val="24"/>
        </w:rPr>
      </w:pPr>
    </w:p>
    <w:p w:rsidR="00D76868" w:rsidRDefault="00CF5532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ab/>
        <w:t>V …………………. dne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….......………                V Hradci Králové dne .....................</w:t>
      </w:r>
      <w:r>
        <w:rPr>
          <w:sz w:val="24"/>
        </w:rPr>
        <w:t>............</w:t>
      </w:r>
    </w:p>
    <w:p w:rsidR="00D76868" w:rsidRDefault="00D76868">
      <w:pPr>
        <w:tabs>
          <w:tab w:val="center" w:pos="2160"/>
          <w:tab w:val="center" w:pos="7020"/>
        </w:tabs>
        <w:rPr>
          <w:sz w:val="24"/>
        </w:rPr>
      </w:pPr>
    </w:p>
    <w:p w:rsidR="00D76868" w:rsidRDefault="00D76868">
      <w:pPr>
        <w:tabs>
          <w:tab w:val="center" w:pos="2160"/>
          <w:tab w:val="center" w:pos="7020"/>
        </w:tabs>
        <w:rPr>
          <w:sz w:val="24"/>
        </w:rPr>
      </w:pPr>
    </w:p>
    <w:p w:rsidR="00D76868" w:rsidRDefault="00CF5532">
      <w:pPr>
        <w:tabs>
          <w:tab w:val="left" w:pos="284"/>
          <w:tab w:val="center" w:pos="2160"/>
          <w:tab w:val="center" w:pos="7020"/>
        </w:tabs>
        <w:rPr>
          <w:sz w:val="24"/>
        </w:rPr>
      </w:pPr>
      <w:r>
        <w:rPr>
          <w:sz w:val="24"/>
        </w:rPr>
        <w:t xml:space="preserve">     …………………...…………........................          </w:t>
      </w:r>
      <w:r w:rsidR="002F40F8">
        <w:rPr>
          <w:sz w:val="24"/>
        </w:rPr>
        <w:t xml:space="preserve">              </w:t>
      </w:r>
      <w:bookmarkStart w:id="0" w:name="_GoBack"/>
      <w:bookmarkEnd w:id="0"/>
      <w:r>
        <w:rPr>
          <w:sz w:val="24"/>
        </w:rPr>
        <w:t xml:space="preserve">       …...……………………………………….</w:t>
      </w:r>
    </w:p>
    <w:p w:rsidR="00D76868" w:rsidRDefault="00CF5532">
      <w:pPr>
        <w:tabs>
          <w:tab w:val="center" w:pos="1980"/>
          <w:tab w:val="center" w:pos="7020"/>
        </w:tabs>
        <w:rPr>
          <w:sz w:val="24"/>
        </w:rPr>
      </w:pPr>
      <w:r>
        <w:rPr>
          <w:sz w:val="24"/>
        </w:rPr>
        <w:t xml:space="preserve">                            za příjemce</w:t>
      </w:r>
      <w:r>
        <w:rPr>
          <w:sz w:val="24"/>
        </w:rPr>
        <w:tab/>
        <w:t xml:space="preserve">              za poskytovatele</w:t>
      </w:r>
      <w:r>
        <w:rPr>
          <w:sz w:val="24"/>
        </w:rPr>
        <w:tab/>
        <w:t xml:space="preserve">                    </w:t>
      </w:r>
    </w:p>
    <w:sectPr w:rsidR="00D76868">
      <w:footerReference w:type="even" r:id="rId9"/>
      <w:footerReference w:type="default" r:id="rId10"/>
      <w:pgSz w:w="11906" w:h="16838"/>
      <w:pgMar w:top="1440" w:right="1077" w:bottom="156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32" w:rsidRDefault="00CF5532">
      <w:pPr>
        <w:spacing w:after="0" w:line="240" w:lineRule="auto"/>
      </w:pPr>
      <w:r>
        <w:separator/>
      </w:r>
    </w:p>
  </w:endnote>
  <w:endnote w:type="continuationSeparator" w:id="0">
    <w:p w:rsidR="00CF5532" w:rsidRDefault="00CF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68" w:rsidRDefault="00CF5532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:rsidR="00D76868" w:rsidRDefault="00D768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68" w:rsidRDefault="00D76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32" w:rsidRDefault="00CF5532">
      <w:pPr>
        <w:spacing w:after="0" w:line="240" w:lineRule="auto"/>
      </w:pPr>
      <w:r>
        <w:separator/>
      </w:r>
    </w:p>
  </w:footnote>
  <w:footnote w:type="continuationSeparator" w:id="0">
    <w:p w:rsidR="00CF5532" w:rsidRDefault="00CF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12B"/>
    <w:multiLevelType w:val="multilevel"/>
    <w:tmpl w:val="82520E5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03CD7950"/>
    <w:multiLevelType w:val="multilevel"/>
    <w:tmpl w:val="AB76754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6B619DD"/>
    <w:multiLevelType w:val="hybridMultilevel"/>
    <w:tmpl w:val="EA0685A8"/>
    <w:lvl w:ilvl="0" w:tplc="07325C0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D696D5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C6EBAA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6764B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5D4B85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3B2E4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37A87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ABAF3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06880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6E81E00"/>
    <w:multiLevelType w:val="hybridMultilevel"/>
    <w:tmpl w:val="44FE49DA"/>
    <w:lvl w:ilvl="0" w:tplc="C480075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669CF104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D65AB4A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5FA1DD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1E3E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0A84BF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DA873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340FD8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3027CB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9FA7896"/>
    <w:multiLevelType w:val="hybridMultilevel"/>
    <w:tmpl w:val="B01A5902"/>
    <w:lvl w:ilvl="0" w:tplc="2B6ADD1E">
      <w:start w:val="1"/>
      <w:numFmt w:val="lowerLetter"/>
      <w:lvlText w:val="%1)"/>
      <w:lvlJc w:val="left"/>
      <w:pPr>
        <w:ind w:left="1854" w:hanging="360"/>
      </w:pPr>
    </w:lvl>
    <w:lvl w:ilvl="1" w:tplc="486CE840">
      <w:start w:val="1"/>
      <w:numFmt w:val="lowerLetter"/>
      <w:lvlText w:val="%2."/>
      <w:lvlJc w:val="left"/>
      <w:pPr>
        <w:ind w:left="2574" w:hanging="360"/>
      </w:pPr>
    </w:lvl>
    <w:lvl w:ilvl="2" w:tplc="6A9A0878">
      <w:start w:val="1"/>
      <w:numFmt w:val="lowerLetter"/>
      <w:lvlText w:val="%3."/>
      <w:lvlJc w:val="left"/>
      <w:pPr>
        <w:ind w:left="3294" w:hanging="180"/>
      </w:pPr>
    </w:lvl>
    <w:lvl w:ilvl="3" w:tplc="321EEF8A">
      <w:start w:val="1"/>
      <w:numFmt w:val="decimal"/>
      <w:lvlText w:val="%4."/>
      <w:lvlJc w:val="left"/>
      <w:pPr>
        <w:ind w:left="4014" w:hanging="360"/>
      </w:pPr>
    </w:lvl>
    <w:lvl w:ilvl="4" w:tplc="22F80776">
      <w:start w:val="1"/>
      <w:numFmt w:val="lowerLetter"/>
      <w:lvlText w:val="%5."/>
      <w:lvlJc w:val="left"/>
      <w:pPr>
        <w:ind w:left="4734" w:hanging="360"/>
      </w:pPr>
    </w:lvl>
    <w:lvl w:ilvl="5" w:tplc="AB5E9FA4">
      <w:start w:val="1"/>
      <w:numFmt w:val="lowerRoman"/>
      <w:lvlText w:val="%6."/>
      <w:lvlJc w:val="right"/>
      <w:pPr>
        <w:ind w:left="5454" w:hanging="180"/>
      </w:pPr>
    </w:lvl>
    <w:lvl w:ilvl="6" w:tplc="CB586C4E">
      <w:start w:val="1"/>
      <w:numFmt w:val="decimal"/>
      <w:lvlText w:val="%7."/>
      <w:lvlJc w:val="left"/>
      <w:pPr>
        <w:ind w:left="6174" w:hanging="360"/>
      </w:pPr>
    </w:lvl>
    <w:lvl w:ilvl="7" w:tplc="565EC91A">
      <w:start w:val="1"/>
      <w:numFmt w:val="lowerLetter"/>
      <w:lvlText w:val="%8."/>
      <w:lvlJc w:val="left"/>
      <w:pPr>
        <w:ind w:left="6894" w:hanging="360"/>
      </w:pPr>
    </w:lvl>
    <w:lvl w:ilvl="8" w:tplc="7778A828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80534D2"/>
    <w:multiLevelType w:val="multilevel"/>
    <w:tmpl w:val="1550F24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6" w15:restartNumberingAfterBreak="0">
    <w:nsid w:val="21201397"/>
    <w:multiLevelType w:val="hybridMultilevel"/>
    <w:tmpl w:val="9718FE42"/>
    <w:lvl w:ilvl="0" w:tplc="F648E87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67E6733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95ABE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C8ACD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828F3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1ACEBE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7DEDD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6DEC5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84EC3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5A5601E"/>
    <w:multiLevelType w:val="multilevel"/>
    <w:tmpl w:val="68C0E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 w15:restartNumberingAfterBreak="0">
    <w:nsid w:val="26147AF8"/>
    <w:multiLevelType w:val="multilevel"/>
    <w:tmpl w:val="A63E448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26513D68"/>
    <w:multiLevelType w:val="multilevel"/>
    <w:tmpl w:val="E3E204D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27F639F1"/>
    <w:multiLevelType w:val="hybridMultilevel"/>
    <w:tmpl w:val="4516B80E"/>
    <w:lvl w:ilvl="0" w:tplc="69B0E5D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23C230B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B52A35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B688C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A52D7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EE406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9068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B4EB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DBAED2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8847E54"/>
    <w:multiLevelType w:val="multilevel"/>
    <w:tmpl w:val="5F1C527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 w15:restartNumberingAfterBreak="0">
    <w:nsid w:val="2B1213F3"/>
    <w:multiLevelType w:val="multilevel"/>
    <w:tmpl w:val="EC168E6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358E3C5F"/>
    <w:multiLevelType w:val="hybridMultilevel"/>
    <w:tmpl w:val="90B63BD8"/>
    <w:lvl w:ilvl="0" w:tplc="562EA44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B6FC88D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9A5AE75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1A90544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EF4F68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80B2D44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1200D9A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D624BFB4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9582C9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3AF50565"/>
    <w:multiLevelType w:val="hybridMultilevel"/>
    <w:tmpl w:val="64BAADF4"/>
    <w:lvl w:ilvl="0" w:tplc="1A86EEC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130EC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8C28CA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D4E69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082CD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98AC5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C2A4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304396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ACA04E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FB545E8"/>
    <w:multiLevelType w:val="multilevel"/>
    <w:tmpl w:val="1D4E9A1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6" w15:restartNumberingAfterBreak="0">
    <w:nsid w:val="42C12DA5"/>
    <w:multiLevelType w:val="hybridMultilevel"/>
    <w:tmpl w:val="BC2683C2"/>
    <w:lvl w:ilvl="0" w:tplc="129C391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66462C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4E871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6FAB5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CE044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644B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C4C57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B6DAD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71CDBE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46A14190"/>
    <w:multiLevelType w:val="hybridMultilevel"/>
    <w:tmpl w:val="060EA604"/>
    <w:lvl w:ilvl="0" w:tplc="69927D7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FB6884D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5028DC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374BB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60EB3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112E1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3C8B4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B0AC84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F30FB8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B2222E4"/>
    <w:multiLevelType w:val="multilevel"/>
    <w:tmpl w:val="8FD8D6B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9" w15:restartNumberingAfterBreak="0">
    <w:nsid w:val="4D0452F3"/>
    <w:multiLevelType w:val="hybridMultilevel"/>
    <w:tmpl w:val="FD0C6614"/>
    <w:lvl w:ilvl="0" w:tplc="6A0A5DD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506E05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720B3C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28B3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7FC4D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D686B4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88E29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6C0C0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0F6450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5A4838"/>
    <w:multiLevelType w:val="hybridMultilevel"/>
    <w:tmpl w:val="C4580252"/>
    <w:lvl w:ilvl="0" w:tplc="40E28F9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AE0A2F6C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CE62442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DCAC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00B24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2EC04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44C38A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BE0CB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70A07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2472E86"/>
    <w:multiLevelType w:val="hybridMultilevel"/>
    <w:tmpl w:val="272404AA"/>
    <w:lvl w:ilvl="0" w:tplc="4C4C9132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CED0B11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CBEA9B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84AB8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614669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090334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9FECD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BE50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BF487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52B95C10"/>
    <w:multiLevelType w:val="multilevel"/>
    <w:tmpl w:val="5A32AB4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3" w15:restartNumberingAfterBreak="0">
    <w:nsid w:val="563F6CCD"/>
    <w:multiLevelType w:val="hybridMultilevel"/>
    <w:tmpl w:val="6450B114"/>
    <w:lvl w:ilvl="0" w:tplc="FEB8768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946C97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83ABA2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8DC79A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73E1CE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F84A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598C1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9DCD5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D966DB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68D28A2"/>
    <w:multiLevelType w:val="multilevel"/>
    <w:tmpl w:val="2D2C5F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5" w15:restartNumberingAfterBreak="0">
    <w:nsid w:val="56FA7ED3"/>
    <w:multiLevelType w:val="hybridMultilevel"/>
    <w:tmpl w:val="6B064652"/>
    <w:lvl w:ilvl="0" w:tplc="4B0C5AF2">
      <w:start w:val="1"/>
      <w:numFmt w:val="decimal"/>
      <w:lvlText w:val="(%1)"/>
      <w:lvlJc w:val="left"/>
      <w:pPr>
        <w:ind w:left="720" w:hanging="360"/>
      </w:pPr>
    </w:lvl>
    <w:lvl w:ilvl="1" w:tplc="70C80E42">
      <w:start w:val="1"/>
      <w:numFmt w:val="lowerLetter"/>
      <w:lvlText w:val="%2."/>
      <w:lvlJc w:val="left"/>
      <w:pPr>
        <w:ind w:left="1440" w:hanging="360"/>
      </w:pPr>
    </w:lvl>
    <w:lvl w:ilvl="2" w:tplc="666E0066">
      <w:start w:val="1"/>
      <w:numFmt w:val="lowerRoman"/>
      <w:lvlText w:val="%3."/>
      <w:lvlJc w:val="right"/>
      <w:pPr>
        <w:ind w:left="2160" w:hanging="180"/>
      </w:pPr>
    </w:lvl>
    <w:lvl w:ilvl="3" w:tplc="A8AA2002">
      <w:start w:val="1"/>
      <w:numFmt w:val="decimal"/>
      <w:lvlText w:val="%4."/>
      <w:lvlJc w:val="left"/>
      <w:pPr>
        <w:ind w:left="2880" w:hanging="360"/>
      </w:pPr>
    </w:lvl>
    <w:lvl w:ilvl="4" w:tplc="6A50F3DE">
      <w:start w:val="1"/>
      <w:numFmt w:val="lowerLetter"/>
      <w:lvlText w:val="%5."/>
      <w:lvlJc w:val="left"/>
      <w:pPr>
        <w:ind w:left="3600" w:hanging="360"/>
      </w:pPr>
    </w:lvl>
    <w:lvl w:ilvl="5" w:tplc="0C2C6B50">
      <w:start w:val="1"/>
      <w:numFmt w:val="lowerRoman"/>
      <w:lvlText w:val="%6."/>
      <w:lvlJc w:val="right"/>
      <w:pPr>
        <w:ind w:left="4320" w:hanging="180"/>
      </w:pPr>
    </w:lvl>
    <w:lvl w:ilvl="6" w:tplc="4708612A">
      <w:start w:val="1"/>
      <w:numFmt w:val="decimal"/>
      <w:lvlText w:val="%7."/>
      <w:lvlJc w:val="left"/>
      <w:pPr>
        <w:ind w:left="5040" w:hanging="360"/>
      </w:pPr>
    </w:lvl>
    <w:lvl w:ilvl="7" w:tplc="044E5D3C">
      <w:start w:val="1"/>
      <w:numFmt w:val="lowerLetter"/>
      <w:lvlText w:val="%8."/>
      <w:lvlJc w:val="left"/>
      <w:pPr>
        <w:ind w:left="5760" w:hanging="360"/>
      </w:pPr>
    </w:lvl>
    <w:lvl w:ilvl="8" w:tplc="2A125F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F6317"/>
    <w:multiLevelType w:val="multilevel"/>
    <w:tmpl w:val="6F80EDE2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5B1E4F47"/>
    <w:multiLevelType w:val="multilevel"/>
    <w:tmpl w:val="41EA0C8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8" w15:restartNumberingAfterBreak="0">
    <w:nsid w:val="5D717C73"/>
    <w:multiLevelType w:val="hybridMultilevel"/>
    <w:tmpl w:val="23CA7286"/>
    <w:lvl w:ilvl="0" w:tplc="16FE8AF2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CEE274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5A0AB4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A2213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57235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42EF0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7AF6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B54B54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974D80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5E7D38E8"/>
    <w:multiLevelType w:val="multilevel"/>
    <w:tmpl w:val="C07CF26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612F0B86"/>
    <w:multiLevelType w:val="multilevel"/>
    <w:tmpl w:val="AED6BA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62774374"/>
    <w:multiLevelType w:val="hybridMultilevel"/>
    <w:tmpl w:val="0612308E"/>
    <w:lvl w:ilvl="0" w:tplc="3BDCE808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2A5086A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2EA9F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F83E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E47D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E247B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A682D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8C8FB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A8E99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3CA0E06"/>
    <w:multiLevelType w:val="multilevel"/>
    <w:tmpl w:val="4D82EDD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69507713"/>
    <w:multiLevelType w:val="hybridMultilevel"/>
    <w:tmpl w:val="E040A906"/>
    <w:lvl w:ilvl="0" w:tplc="DD54652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7DD24E46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886F344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9365AD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DCAECF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F3C0E5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7F5A123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D494CBD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67A2169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4" w15:restartNumberingAfterBreak="0">
    <w:nsid w:val="6D9D0242"/>
    <w:multiLevelType w:val="multilevel"/>
    <w:tmpl w:val="8216250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5" w15:restartNumberingAfterBreak="0">
    <w:nsid w:val="76A151D4"/>
    <w:multiLevelType w:val="hybridMultilevel"/>
    <w:tmpl w:val="D938D71E"/>
    <w:lvl w:ilvl="0" w:tplc="25CEB3F2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CB8C407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F4A456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02CE5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826D6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AAC86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E6483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C6A350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E2A65D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7112440"/>
    <w:multiLevelType w:val="multilevel"/>
    <w:tmpl w:val="B6F67F2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7" w15:restartNumberingAfterBreak="0">
    <w:nsid w:val="7AFB49BE"/>
    <w:multiLevelType w:val="multilevel"/>
    <w:tmpl w:val="A8ECDBD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8" w15:restartNumberingAfterBreak="0">
    <w:nsid w:val="7BB06E6B"/>
    <w:multiLevelType w:val="hybridMultilevel"/>
    <w:tmpl w:val="9F7257E6"/>
    <w:lvl w:ilvl="0" w:tplc="9B6AC5B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ABAA291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47273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46274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732062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A96E99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72415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E648E1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1FE68E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DF91739"/>
    <w:multiLevelType w:val="hybridMultilevel"/>
    <w:tmpl w:val="34D43A02"/>
    <w:lvl w:ilvl="0" w:tplc="CCE62952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777C669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513E3B3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72D4B44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E8127EF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18EFFB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79E1F8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C7826BC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15A6FC0E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0" w15:restartNumberingAfterBreak="0">
    <w:nsid w:val="7F6D4BB7"/>
    <w:multiLevelType w:val="hybridMultilevel"/>
    <w:tmpl w:val="C456CC9A"/>
    <w:lvl w:ilvl="0" w:tplc="CC52F7E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B7C0DE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2EB3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E46E5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01C95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CC0E11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24BC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BC4586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BC4AF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23"/>
  </w:num>
  <w:num w:numId="5">
    <w:abstractNumId w:val="37"/>
  </w:num>
  <w:num w:numId="6">
    <w:abstractNumId w:val="8"/>
  </w:num>
  <w:num w:numId="7">
    <w:abstractNumId w:val="38"/>
  </w:num>
  <w:num w:numId="8">
    <w:abstractNumId w:val="17"/>
  </w:num>
  <w:num w:numId="9">
    <w:abstractNumId w:val="19"/>
  </w:num>
  <w:num w:numId="10">
    <w:abstractNumId w:val="35"/>
  </w:num>
  <w:num w:numId="11">
    <w:abstractNumId w:val="33"/>
  </w:num>
  <w:num w:numId="12">
    <w:abstractNumId w:val="1"/>
  </w:num>
  <w:num w:numId="13">
    <w:abstractNumId w:val="30"/>
  </w:num>
  <w:num w:numId="14">
    <w:abstractNumId w:val="11"/>
  </w:num>
  <w:num w:numId="15">
    <w:abstractNumId w:val="24"/>
  </w:num>
  <w:num w:numId="16">
    <w:abstractNumId w:val="34"/>
  </w:num>
  <w:num w:numId="17">
    <w:abstractNumId w:val="32"/>
  </w:num>
  <w:num w:numId="18">
    <w:abstractNumId w:val="5"/>
  </w:num>
  <w:num w:numId="19">
    <w:abstractNumId w:val="31"/>
  </w:num>
  <w:num w:numId="20">
    <w:abstractNumId w:val="40"/>
  </w:num>
  <w:num w:numId="21">
    <w:abstractNumId w:val="3"/>
  </w:num>
  <w:num w:numId="22">
    <w:abstractNumId w:val="4"/>
  </w:num>
  <w:num w:numId="23">
    <w:abstractNumId w:val="20"/>
  </w:num>
  <w:num w:numId="24">
    <w:abstractNumId w:val="2"/>
  </w:num>
  <w:num w:numId="25">
    <w:abstractNumId w:val="14"/>
  </w:num>
  <w:num w:numId="26">
    <w:abstractNumId w:val="10"/>
  </w:num>
  <w:num w:numId="27">
    <w:abstractNumId w:val="16"/>
  </w:num>
  <w:num w:numId="28">
    <w:abstractNumId w:val="7"/>
  </w:num>
  <w:num w:numId="29">
    <w:abstractNumId w:val="13"/>
  </w:num>
  <w:num w:numId="30">
    <w:abstractNumId w:val="29"/>
  </w:num>
  <w:num w:numId="31">
    <w:abstractNumId w:val="0"/>
  </w:num>
  <w:num w:numId="32">
    <w:abstractNumId w:val="18"/>
  </w:num>
  <w:num w:numId="33">
    <w:abstractNumId w:val="27"/>
  </w:num>
  <w:num w:numId="34">
    <w:abstractNumId w:val="28"/>
  </w:num>
  <w:num w:numId="35">
    <w:abstractNumId w:val="39"/>
  </w:num>
  <w:num w:numId="36">
    <w:abstractNumId w:val="12"/>
  </w:num>
  <w:num w:numId="37">
    <w:abstractNumId w:val="22"/>
  </w:num>
  <w:num w:numId="38">
    <w:abstractNumId w:val="6"/>
  </w:num>
  <w:num w:numId="39">
    <w:abstractNumId w:val="25"/>
  </w:num>
  <w:num w:numId="40">
    <w:abstractNumId w:val="3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16,52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1 000 000,00"/>
    <w:docVar w:name="DotisEndDate" w:val="30.09.2021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Požadovaná dotace bude použita na realizaci víceúčelového školního hřiště v Hronově, jehož součástí bude atletický ovál po obvodu plochy pro výuku běžeckých disciplín, rovinka pro krátké běhy, doskočiště s délkově vyhovujícím rozběžištěm a hřiště pro míčové hry uvnitř oválu.&amp;nbsp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tarosta"/>
    <w:docVar w:name="DotisReqRepContactName" w:val="Petr Koleta"/>
    <w:docVar w:name="DotisReqStatOrgName" w:val="Vladimír Flégr"/>
    <w:docVar w:name="DotisReqTotalGrant" w:val="50 000"/>
    <w:docVar w:name="DotisStartDate" w:val="11.02.2020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524551/01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MĚSTO HRONOV"/>
    <w:docVar w:name="ProfisSubjOIN" w:val="00272680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nám. Čs. armády 5, 54931  Hronov"/>
    <w:docVar w:name="ProfisSubjTIN" w:val="CZ64812821"/>
    <w:docVar w:name="ProfisSubjTown" w:val="Jičín"/>
    <w:docVar w:name="ProfisSubjZIP" w:val="50601"/>
    <w:docVar w:name="ProfisTaskCode" w:val="21RGI02-0157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Víceúčelové školní hřiště v Hronově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D76868"/>
    <w:rsid w:val="002F40F8"/>
    <w:rsid w:val="00CF5532"/>
    <w:rsid w:val="00D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EE91"/>
  <w15:docId w15:val="{A48F52F8-75B7-4182-8A9F-B2F99BE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2</cp:revision>
  <dcterms:created xsi:type="dcterms:W3CDTF">2021-10-05T13:40:00Z</dcterms:created>
  <dcterms:modified xsi:type="dcterms:W3CDTF">2021-10-05T13:40:00Z</dcterms:modified>
</cp:coreProperties>
</file>