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69491A" w:rsidRDefault="00D70F4C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9491A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2</w:t>
      </w:r>
      <w:r w:rsidRPr="0069491A">
        <w:rPr>
          <w:rFonts w:ascii="Arial" w:hAnsi="Arial" w:cs="Arial"/>
          <w:b/>
          <w:sz w:val="24"/>
          <w:szCs w:val="24"/>
        </w:rPr>
        <w:t xml:space="preserve"> k dohodě </w:t>
      </w:r>
      <w:r w:rsidRPr="001327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zřízení</w:t>
      </w:r>
      <w:r w:rsidRPr="001327C6">
        <w:rPr>
          <w:rFonts w:ascii="Arial" w:hAnsi="Arial" w:cs="Arial"/>
          <w:b/>
          <w:sz w:val="24"/>
          <w:szCs w:val="24"/>
        </w:rPr>
        <w:t xml:space="preserve"> chráněného pracovního místa</w:t>
      </w:r>
      <w:r>
        <w:rPr>
          <w:rFonts w:ascii="Arial" w:hAnsi="Arial" w:cs="Arial"/>
          <w:b/>
          <w:sz w:val="24"/>
          <w:szCs w:val="24"/>
        </w:rPr>
        <w:br/>
      </w:r>
      <w:r w:rsidRPr="0069491A">
        <w:rPr>
          <w:rFonts w:ascii="Arial" w:hAnsi="Arial" w:cs="Arial"/>
          <w:b/>
          <w:sz w:val="24"/>
          <w:szCs w:val="24"/>
        </w:rPr>
        <w:t xml:space="preserve">č. </w:t>
      </w:r>
      <w:r w:rsidR="00EA41C7">
        <w:rPr>
          <w:rFonts w:ascii="Arial" w:hAnsi="Arial" w:cs="Arial"/>
          <w:b/>
          <w:sz w:val="24"/>
          <w:szCs w:val="24"/>
        </w:rPr>
        <w:t>TPA</w:t>
      </w:r>
      <w:r w:rsidRPr="0069491A">
        <w:rPr>
          <w:rFonts w:ascii="Arial" w:hAnsi="Arial" w:cs="Arial"/>
          <w:b/>
          <w:sz w:val="24"/>
          <w:szCs w:val="24"/>
        </w:rPr>
        <w:t>-P-</w:t>
      </w:r>
      <w:r w:rsidR="008D705D">
        <w:rPr>
          <w:rFonts w:ascii="Arial" w:hAnsi="Arial" w:cs="Arial"/>
          <w:b/>
          <w:sz w:val="24"/>
          <w:szCs w:val="24"/>
        </w:rPr>
        <w:t>2/2017</w:t>
      </w:r>
    </w:p>
    <w:p w:rsidR="00D70F4C" w:rsidRPr="0069491A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206AD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206AD">
        <w:rPr>
          <w:rStyle w:val="FontStyle18"/>
          <w:b/>
          <w:sz w:val="24"/>
          <w:szCs w:val="24"/>
        </w:rPr>
        <w:t>Seznam uznatelných nákladových položek</w:t>
      </w:r>
    </w:p>
    <w:p w:rsidR="00D70F4C" w:rsidRDefault="00D70F4C" w:rsidP="00D70F4C">
      <w:pPr>
        <w:pStyle w:val="Bezmezer"/>
        <w:rPr>
          <w:rStyle w:val="FontStyle18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74317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17D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74317D">
              <w:rPr>
                <w:rFonts w:ascii="Arial" w:hAnsi="Arial" w:cs="Arial"/>
                <w:sz w:val="20"/>
                <w:szCs w:val="20"/>
              </w:rPr>
              <w:t>.</w:t>
            </w:r>
            <w:r w:rsidRPr="0074317D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6AD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6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EA41C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Židle s opěrkou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8D705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stůl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8D705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Skladovací regály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Kartonová váha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Zamykací šuplíkový kontejner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Plnička a balička sáčků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8D705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Regálový zakladač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15375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Smršťovací tunel na folii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Termotransferová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tiskárna etiket a EAN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kodů</w:t>
            </w:r>
            <w:proofErr w:type="spellEnd"/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Bezmezer"/>
      </w:pPr>
    </w:p>
    <w:p w:rsidR="00D70F4C" w:rsidRPr="0069491A" w:rsidRDefault="00D70F4C" w:rsidP="00D70F4C">
      <w:pPr>
        <w:pStyle w:val="Bezmezer"/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 Teplicích </w:t>
      </w:r>
      <w:r w:rsidRPr="0074317D">
        <w:rPr>
          <w:rFonts w:ascii="Arial" w:hAnsi="Arial" w:cs="Arial"/>
          <w:sz w:val="20"/>
          <w:szCs w:val="20"/>
        </w:rPr>
        <w:t xml:space="preserve">dne </w:t>
      </w:r>
      <w:r w:rsidR="008D705D">
        <w:rPr>
          <w:rFonts w:ascii="Arial" w:hAnsi="Arial" w:cs="Arial"/>
          <w:sz w:val="20"/>
          <w:szCs w:val="20"/>
        </w:rPr>
        <w:t>17. 3. 201</w:t>
      </w:r>
      <w:bookmarkStart w:id="0" w:name="_GoBack"/>
      <w:bookmarkEnd w:id="0"/>
      <w:r w:rsidR="008D705D">
        <w:rPr>
          <w:rFonts w:ascii="Arial" w:hAnsi="Arial" w:cs="Arial"/>
          <w:sz w:val="20"/>
          <w:szCs w:val="20"/>
        </w:rPr>
        <w:t>7</w:t>
      </w: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EE28B8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EE28B8" w:rsidTr="00033DDF">
        <w:tc>
          <w:tcPr>
            <w:tcW w:w="4819" w:type="dxa"/>
            <w:vAlign w:val="bottom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D70F4C" w:rsidRPr="008D705D" w:rsidTr="00033DDF">
        <w:tc>
          <w:tcPr>
            <w:tcW w:w="4819" w:type="dxa"/>
          </w:tcPr>
          <w:p w:rsidR="00D70F4C" w:rsidRPr="008D705D" w:rsidRDefault="008D705D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 xml:space="preserve">                  RNDr. Jaroslav Oprchal</w:t>
            </w:r>
          </w:p>
          <w:p w:rsidR="00D70F4C" w:rsidRPr="008D705D" w:rsidRDefault="00D70F4C" w:rsidP="008D705D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279A1" w:rsidRPr="008D705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D705D" w:rsidRPr="008D705D">
              <w:rPr>
                <w:rFonts w:ascii="Arial" w:hAnsi="Arial" w:cs="Arial"/>
                <w:sz w:val="20"/>
                <w:szCs w:val="20"/>
              </w:rPr>
              <w:t xml:space="preserve">            jednatel</w:t>
            </w:r>
          </w:p>
        </w:tc>
        <w:tc>
          <w:tcPr>
            <w:tcW w:w="841" w:type="dxa"/>
          </w:tcPr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8D705D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8D705D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8D705D">
              <w:rPr>
                <w:rFonts w:ascii="Arial" w:hAnsi="Arial" w:cs="Arial"/>
                <w:sz w:val="20"/>
                <w:szCs w:val="20"/>
              </w:rPr>
              <w:t>editel</w:t>
            </w:r>
            <w:r w:rsidRPr="008D705D"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proofErr w:type="gramStart"/>
            <w:r w:rsidRPr="008D705D">
              <w:rPr>
                <w:rFonts w:ascii="Arial" w:hAnsi="Arial" w:cs="Arial"/>
                <w:sz w:val="20"/>
                <w:szCs w:val="20"/>
              </w:rPr>
              <w:t>KoP</w:t>
            </w:r>
            <w:proofErr w:type="spellEnd"/>
            <w:r w:rsidRPr="008D705D">
              <w:rPr>
                <w:rFonts w:ascii="Arial" w:hAnsi="Arial" w:cs="Arial"/>
                <w:sz w:val="20"/>
                <w:szCs w:val="20"/>
              </w:rPr>
              <w:t xml:space="preserve">  Teplice</w:t>
            </w:r>
            <w:proofErr w:type="gramEnd"/>
            <w:r w:rsidR="006279A1" w:rsidRPr="008D7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Pr="00BC1281" w:rsidRDefault="00D70F4C" w:rsidP="00D70F4C">
      <w:pPr>
        <w:pStyle w:val="Style14"/>
        <w:widowControl/>
        <w:spacing w:before="10" w:line="220" w:lineRule="exact"/>
        <w:rPr>
          <w:rStyle w:val="FontStyle21"/>
          <w:i/>
        </w:rPr>
      </w:pPr>
    </w:p>
    <w:p w:rsidR="00BA608A" w:rsidRDefault="008D705D"/>
    <w:sectPr w:rsidR="00BA608A" w:rsidSect="00E60AD8">
      <w:footerReference w:type="default" r:id="rId7"/>
      <w:footerReference w:type="first" r:id="rId8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8D705D">
      <w:rPr>
        <w:rFonts w:ascii="Arial" w:hAnsi="Arial" w:cs="Arial"/>
        <w:noProof/>
        <w:sz w:val="16"/>
        <w:szCs w:val="16"/>
      </w:rPr>
      <w:t>2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8D705D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8D705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3309E"/>
    <w:rsid w:val="00153758"/>
    <w:rsid w:val="003421BC"/>
    <w:rsid w:val="00410D4A"/>
    <w:rsid w:val="00483C24"/>
    <w:rsid w:val="006279A1"/>
    <w:rsid w:val="007F03C3"/>
    <w:rsid w:val="008D705D"/>
    <w:rsid w:val="00A27D6A"/>
    <w:rsid w:val="00AB73F7"/>
    <w:rsid w:val="00D176E5"/>
    <w:rsid w:val="00D70F4C"/>
    <w:rsid w:val="00EA41C7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2017-03-15T10:12:00Z</cp:lastPrinted>
  <dcterms:created xsi:type="dcterms:W3CDTF">2017-03-15T10:07:00Z</dcterms:created>
  <dcterms:modified xsi:type="dcterms:W3CDTF">2017-03-15T10:12:00Z</dcterms:modified>
</cp:coreProperties>
</file>