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07" w:rsidRDefault="00411A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SMLOUVA O DÍLO</w:t>
      </w:r>
    </w:p>
    <w:p w:rsidR="00512107" w:rsidRDefault="005121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512107" w:rsidRDefault="00411A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84" w:hanging="284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Smluvní strany</w:t>
      </w:r>
    </w:p>
    <w:p w:rsidR="00512107" w:rsidRDefault="00411A3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Objednatel: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České vysoké učení technické v Praze, veřejná vysoká škola</w:t>
      </w:r>
    </w:p>
    <w:p w:rsidR="00512107" w:rsidRDefault="00411A3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IČO: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sz w:val="22"/>
          <w:szCs w:val="22"/>
        </w:rPr>
        <w:tab/>
        <w:t>68407700</w:t>
      </w:r>
    </w:p>
    <w:p w:rsidR="00512107" w:rsidRDefault="00411A3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DIČ: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CZ68407700</w:t>
      </w:r>
    </w:p>
    <w:p w:rsidR="00512107" w:rsidRDefault="00411A3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Organiz</w:t>
      </w:r>
      <w:proofErr w:type="spellEnd"/>
      <w:r>
        <w:rPr>
          <w:rFonts w:ascii="Calibri" w:eastAsia="Calibri" w:hAnsi="Calibri" w:cs="Calibri"/>
          <w:sz w:val="22"/>
          <w:szCs w:val="22"/>
        </w:rPr>
        <w:t>. součást:</w:t>
      </w:r>
      <w:r>
        <w:rPr>
          <w:rFonts w:ascii="Calibri" w:eastAsia="Calibri" w:hAnsi="Calibri" w:cs="Calibri"/>
          <w:sz w:val="22"/>
          <w:szCs w:val="22"/>
        </w:rPr>
        <w:tab/>
        <w:t>Fakulta elektrotechnická</w:t>
      </w:r>
    </w:p>
    <w:p w:rsidR="00512107" w:rsidRDefault="00411A3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Sídlem: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Technická 2, 166 27 Praha 6</w:t>
      </w:r>
    </w:p>
    <w:p w:rsidR="00512107" w:rsidRDefault="00411A3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Zastoupený: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prof. Mgr. Petr </w:t>
      </w:r>
      <w:proofErr w:type="spellStart"/>
      <w:r>
        <w:rPr>
          <w:rFonts w:ascii="Calibri" w:eastAsia="Calibri" w:hAnsi="Calibri" w:cs="Calibri"/>
          <w:sz w:val="22"/>
          <w:szCs w:val="22"/>
        </w:rPr>
        <w:t>Páta</w:t>
      </w:r>
      <w:proofErr w:type="spellEnd"/>
      <w:r>
        <w:rPr>
          <w:rFonts w:ascii="Calibri" w:eastAsia="Calibri" w:hAnsi="Calibri" w:cs="Calibri"/>
          <w:sz w:val="22"/>
          <w:szCs w:val="22"/>
        </w:rPr>
        <w:t>, Ph.D.</w:t>
      </w:r>
    </w:p>
    <w:p w:rsidR="00512107" w:rsidRDefault="00411A30">
      <w:pPr>
        <w:spacing w:line="276" w:lineRule="auto"/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Calibri" w:eastAsia="Calibri" w:hAnsi="Calibri" w:cs="Calibri"/>
          <w:sz w:val="22"/>
          <w:szCs w:val="22"/>
        </w:rPr>
        <w:t xml:space="preserve">Bankovní spojení: </w:t>
      </w:r>
      <w:r>
        <w:rPr>
          <w:rFonts w:ascii="Calibri" w:eastAsia="Calibri" w:hAnsi="Calibri" w:cs="Calibri"/>
          <w:sz w:val="22"/>
          <w:szCs w:val="22"/>
        </w:rPr>
        <w:tab/>
      </w:r>
      <w:r w:rsidRPr="00D56D8F">
        <w:rPr>
          <w:rFonts w:ascii="Calibri" w:eastAsia="Calibri" w:hAnsi="Calibri" w:cs="Calibri"/>
          <w:sz w:val="22"/>
          <w:szCs w:val="22"/>
        </w:rPr>
        <w:t>19-5504540257/0100</w:t>
      </w:r>
    </w:p>
    <w:p w:rsidR="00512107" w:rsidRDefault="00411A30">
      <w:pPr>
        <w:spacing w:after="24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(dále jen „</w:t>
      </w:r>
      <w:r>
        <w:rPr>
          <w:rFonts w:ascii="Calibri" w:eastAsia="Calibri" w:hAnsi="Calibri" w:cs="Calibri"/>
          <w:b/>
          <w:sz w:val="22"/>
          <w:szCs w:val="22"/>
        </w:rPr>
        <w:t>Objednatel</w:t>
      </w:r>
      <w:r>
        <w:rPr>
          <w:rFonts w:ascii="Calibri" w:eastAsia="Calibri" w:hAnsi="Calibri" w:cs="Calibri"/>
          <w:sz w:val="22"/>
          <w:szCs w:val="22"/>
        </w:rPr>
        <w:t>“) na straně jedné</w:t>
      </w:r>
    </w:p>
    <w:p w:rsidR="00512107" w:rsidRDefault="00411A30">
      <w:pPr>
        <w:spacing w:after="24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</w:p>
    <w:p w:rsidR="00512107" w:rsidRDefault="00411A3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Zhotovitel: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PORTA DESIGN s.r.o.</w:t>
      </w:r>
    </w:p>
    <w:p w:rsidR="00512107" w:rsidRDefault="00411A3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IČO: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27726789</w:t>
      </w:r>
    </w:p>
    <w:p w:rsidR="00512107" w:rsidRDefault="00411A3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DIČ: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CZ27726789</w:t>
      </w:r>
    </w:p>
    <w:p w:rsidR="00512107" w:rsidRDefault="00411A3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Sídlem: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Za divadlem 586/2, 602 00 Brno</w:t>
      </w:r>
    </w:p>
    <w:p w:rsidR="00512107" w:rsidRDefault="00411A3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Jednající: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Ing. Ondřej Janus</w:t>
      </w:r>
    </w:p>
    <w:p w:rsidR="00512107" w:rsidRDefault="00411A3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Bankovní spojení:</w:t>
      </w:r>
      <w:r>
        <w:rPr>
          <w:rFonts w:ascii="Calibri" w:eastAsia="Calibri" w:hAnsi="Calibri" w:cs="Calibri"/>
          <w:sz w:val="22"/>
          <w:szCs w:val="22"/>
        </w:rPr>
        <w:tab/>
        <w:t>ČSOB a.s.</w:t>
      </w:r>
    </w:p>
    <w:p w:rsidR="00512107" w:rsidRDefault="00411A3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Číslo účtu: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213965922</w:t>
      </w:r>
    </w:p>
    <w:p w:rsidR="00512107" w:rsidRDefault="00411A3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Zapsaná: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v obchodním rejstříku vedeném Krajským soudem v Brně, oddíl C, vložka 54960</w:t>
      </w:r>
    </w:p>
    <w:p w:rsidR="00512107" w:rsidRDefault="00411A30">
      <w:pPr>
        <w:spacing w:after="24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(dále jen „</w:t>
      </w:r>
      <w:r>
        <w:rPr>
          <w:rFonts w:ascii="Calibri" w:eastAsia="Calibri" w:hAnsi="Calibri" w:cs="Calibri"/>
          <w:b/>
          <w:sz w:val="22"/>
          <w:szCs w:val="22"/>
        </w:rPr>
        <w:t>Zhotovitel</w:t>
      </w:r>
      <w:r>
        <w:rPr>
          <w:rFonts w:ascii="Calibri" w:eastAsia="Calibri" w:hAnsi="Calibri" w:cs="Calibri"/>
          <w:sz w:val="22"/>
          <w:szCs w:val="22"/>
        </w:rPr>
        <w:t>“) na straně druhé</w:t>
      </w:r>
    </w:p>
    <w:p w:rsidR="00512107" w:rsidRDefault="00411A30">
      <w:pPr>
        <w:spacing w:after="24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(Zhotovitel a Objednatel dále společně jen „</w:t>
      </w:r>
      <w:r>
        <w:rPr>
          <w:rFonts w:ascii="Calibri" w:eastAsia="Calibri" w:hAnsi="Calibri" w:cs="Calibri"/>
          <w:b/>
          <w:sz w:val="22"/>
          <w:szCs w:val="22"/>
        </w:rPr>
        <w:t>smluvní strany</w:t>
      </w:r>
      <w:r>
        <w:rPr>
          <w:rFonts w:ascii="Calibri" w:eastAsia="Calibri" w:hAnsi="Calibri" w:cs="Calibri"/>
          <w:sz w:val="22"/>
          <w:szCs w:val="22"/>
        </w:rPr>
        <w:t>“)</w:t>
      </w:r>
    </w:p>
    <w:p w:rsidR="00512107" w:rsidRDefault="00411A30">
      <w:pPr>
        <w:spacing w:after="120"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uzavírají níže uv</w:t>
      </w:r>
      <w:r>
        <w:rPr>
          <w:rFonts w:ascii="Calibri" w:eastAsia="Calibri" w:hAnsi="Calibri" w:cs="Calibri"/>
          <w:sz w:val="22"/>
          <w:szCs w:val="22"/>
        </w:rPr>
        <w:t xml:space="preserve">edeného dne, měsíce a roku podle </w:t>
      </w:r>
      <w:proofErr w:type="spellStart"/>
      <w:r>
        <w:rPr>
          <w:rFonts w:ascii="Calibri" w:eastAsia="Calibri" w:hAnsi="Calibri" w:cs="Calibri"/>
          <w:sz w:val="22"/>
          <w:szCs w:val="22"/>
        </w:rPr>
        <w:t>ust</w:t>
      </w:r>
      <w:proofErr w:type="spellEnd"/>
      <w:r>
        <w:rPr>
          <w:rFonts w:ascii="Calibri" w:eastAsia="Calibri" w:hAnsi="Calibri" w:cs="Calibri"/>
          <w:sz w:val="22"/>
          <w:szCs w:val="22"/>
        </w:rPr>
        <w:t>. § 2586 a násl. zákona č. 89/2012 Sb., občanského zákoníku (dále jen „</w:t>
      </w:r>
      <w:r>
        <w:rPr>
          <w:rFonts w:ascii="Calibri" w:eastAsia="Calibri" w:hAnsi="Calibri" w:cs="Calibri"/>
          <w:b/>
          <w:sz w:val="22"/>
          <w:szCs w:val="22"/>
        </w:rPr>
        <w:t>občanský zákoník</w:t>
      </w:r>
      <w:r>
        <w:rPr>
          <w:rFonts w:ascii="Calibri" w:eastAsia="Calibri" w:hAnsi="Calibri" w:cs="Calibri"/>
          <w:sz w:val="22"/>
          <w:szCs w:val="22"/>
        </w:rPr>
        <w:t>“)</w:t>
      </w:r>
    </w:p>
    <w:p w:rsidR="00512107" w:rsidRDefault="00411A30">
      <w:pPr>
        <w:spacing w:after="120"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tuto Smlouvu o dílo</w:t>
      </w:r>
    </w:p>
    <w:p w:rsidR="00512107" w:rsidRDefault="00411A30">
      <w:pPr>
        <w:spacing w:after="240"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(dále jen „</w:t>
      </w:r>
      <w:r>
        <w:rPr>
          <w:rFonts w:ascii="Calibri" w:eastAsia="Calibri" w:hAnsi="Calibri" w:cs="Calibri"/>
          <w:b/>
          <w:sz w:val="22"/>
          <w:szCs w:val="22"/>
        </w:rPr>
        <w:t>Smlouva</w:t>
      </w:r>
      <w:r>
        <w:rPr>
          <w:rFonts w:ascii="Calibri" w:eastAsia="Calibri" w:hAnsi="Calibri" w:cs="Calibri"/>
          <w:sz w:val="22"/>
          <w:szCs w:val="22"/>
        </w:rPr>
        <w:t>“):</w:t>
      </w:r>
    </w:p>
    <w:p w:rsidR="00512107" w:rsidRDefault="00411A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Úvodní ustanovení </w:t>
      </w:r>
    </w:p>
    <w:p w:rsidR="00512107" w:rsidRDefault="00411A3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prohlašují, že identifikační údaje specifikující smluv</w:t>
      </w:r>
      <w:r>
        <w:rPr>
          <w:rFonts w:ascii="Calibri" w:eastAsia="Calibri" w:hAnsi="Calibri" w:cs="Calibri"/>
          <w:color w:val="000000"/>
          <w:sz w:val="22"/>
          <w:szCs w:val="22"/>
        </w:rPr>
        <w:t>ní strany jsou v souladu s právní skutečností v době uzavření Smlouvy. Smluvní strany se zavazují, že změny dotčených údajů písemně oznámí druhé smluvní straně bez zbytečného odkladu. Při změně identifikačních údajů smluvních stran včetně změny účtu není n</w:t>
      </w:r>
      <w:r>
        <w:rPr>
          <w:rFonts w:ascii="Calibri" w:eastAsia="Calibri" w:hAnsi="Calibri" w:cs="Calibri"/>
          <w:color w:val="000000"/>
          <w:sz w:val="22"/>
          <w:szCs w:val="22"/>
        </w:rPr>
        <w:t>utné uzavírat ke Smlouvě dodatek, jedině že o to požádá jedna ze smluvních stran.</w:t>
      </w:r>
    </w:p>
    <w:p w:rsidR="00512107" w:rsidRDefault="0051210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512107" w:rsidRDefault="005121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12107" w:rsidRDefault="00411A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644" w:hanging="284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Předmět Smlouvy</w:t>
      </w:r>
    </w:p>
    <w:p w:rsidR="00512107" w:rsidRDefault="00411A3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Zhotovitel se na základě této Smlouvy zavazuje pro objednatele provést na svůj náklad a nebezpečí následující dílo: </w:t>
      </w:r>
      <w:r>
        <w:rPr>
          <w:rFonts w:ascii="Calibri" w:eastAsia="Calibri" w:hAnsi="Calibri" w:cs="Calibri"/>
          <w:sz w:val="22"/>
          <w:szCs w:val="22"/>
        </w:rPr>
        <w:t xml:space="preserve">UX analýza &amp; Design webu fel.cvut.cz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(dále jen „Dílo“). Dílo je </w:t>
      </w:r>
      <w:r>
        <w:rPr>
          <w:rFonts w:ascii="Calibri" w:eastAsia="Calibri" w:hAnsi="Calibri" w:cs="Calibri"/>
          <w:sz w:val="22"/>
          <w:szCs w:val="22"/>
        </w:rPr>
        <w:t>specifikováno “Nabídkou” v příloze této smlouvy.</w:t>
      </w:r>
    </w:p>
    <w:p w:rsidR="00512107" w:rsidRDefault="00411A3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Objednatel se na základě této Smlouvy zavazuje poskytnout Zhotoviteli potřebnou součinnost spočívající v dodání všech potřebných podkladů (a sice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logomanuálu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) a zajištění místa pro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konzultace a prezentaci výstupů a zaplatit mu po </w:t>
      </w:r>
      <w:r>
        <w:rPr>
          <w:rFonts w:ascii="Calibri" w:eastAsia="Calibri" w:hAnsi="Calibri" w:cs="Calibri"/>
          <w:sz w:val="22"/>
          <w:szCs w:val="22"/>
        </w:rPr>
        <w:t>akceptaci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Díla za jeho řádné provedení podle této Smlouvy cenu, která je sjednána dále v této Smlouvě.</w:t>
      </w:r>
    </w:p>
    <w:p w:rsidR="00512107" w:rsidRDefault="00411A3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Zhotovitel současně s vytvořením a předáním Díla uděluje Objednateli výhradní licenci k užití Díla jaký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mkoli způsobem k účelu dle vůle Objednatele. Cena za licenci je obsažena v kupní ceně dle čl. V. této smlouvy. </w:t>
      </w:r>
    </w:p>
    <w:p w:rsidR="00512107" w:rsidRDefault="00411A3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Objednatel je oprávněn poskytnout zcela či zčásti třetím osobám oprávnění tvořící součást licence. Zhotovitel podpisem této smlouvy dává souhlas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 postoupením licence.</w:t>
      </w:r>
    </w:p>
    <w:p w:rsidR="00512107" w:rsidRDefault="00411A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Dodací lhůta, místo a způsob plnění</w:t>
      </w:r>
    </w:p>
    <w:p w:rsidR="00512107" w:rsidRDefault="00411A3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Zhotovitel se zavazuje Dílo řádně dokončit a předmět Díla (tj. hmotně zachytitelný výsledek – </w:t>
      </w:r>
      <w:proofErr w:type="spellStart"/>
      <w:r>
        <w:rPr>
          <w:rFonts w:ascii="Calibri" w:eastAsia="Calibri" w:hAnsi="Calibri" w:cs="Calibri"/>
          <w:sz w:val="22"/>
          <w:szCs w:val="22"/>
        </w:rPr>
        <w:t>zaarchivovat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na vhodném médiu</w:t>
      </w:r>
      <w:r>
        <w:rPr>
          <w:rFonts w:ascii="Calibri" w:eastAsia="Calibri" w:hAnsi="Calibri" w:cs="Calibri"/>
          <w:color w:val="000000"/>
          <w:sz w:val="22"/>
          <w:szCs w:val="22"/>
        </w:rPr>
        <w:t>) předat a prezentovat Objednateli nejpozději do 31. 1. 20</w:t>
      </w:r>
      <w:r>
        <w:rPr>
          <w:rFonts w:ascii="Calibri" w:eastAsia="Calibri" w:hAnsi="Calibri" w:cs="Calibri"/>
          <w:sz w:val="22"/>
          <w:szCs w:val="22"/>
        </w:rPr>
        <w:t>22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512107" w:rsidRDefault="00411A3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Zhotovitel se zavazuje řádně provedené Dílo předat Objednateli ve lhůtě stanovené v čl. IV. odst. 1. této smlouvy a to tak, že celý předmět Díla v uvedené lhůtě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odprezentuje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sídle Objednatele a zašle výstup v podobě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Wireframu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grafických návrhů. </w:t>
      </w:r>
    </w:p>
    <w:p w:rsidR="00512107" w:rsidRDefault="00411A3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 přes</w:t>
      </w:r>
      <w:r>
        <w:rPr>
          <w:rFonts w:ascii="Calibri" w:eastAsia="Calibri" w:hAnsi="Calibri" w:cs="Calibri"/>
          <w:color w:val="000000"/>
          <w:sz w:val="22"/>
          <w:szCs w:val="22"/>
        </w:rPr>
        <w:t>ném čase předání předmětu Díla je Zhotovitel povinen vyrozumět Objednatele nejméně 3 pracovní dny před tímto předáním a převzetím Díla, jinak objednatel není povinen Dílo převzít.</w:t>
      </w:r>
    </w:p>
    <w:p w:rsidR="00512107" w:rsidRDefault="00411A3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 splnění předmětu této Smlouvy Zhotovitelem a předání předmětu Díla Objedna</w:t>
      </w:r>
      <w:r>
        <w:rPr>
          <w:rFonts w:ascii="Calibri" w:eastAsia="Calibri" w:hAnsi="Calibri" w:cs="Calibri"/>
          <w:color w:val="000000"/>
          <w:sz w:val="22"/>
          <w:szCs w:val="22"/>
        </w:rPr>
        <w:t>teli sepíší obě strany písemný akceptační protokol, v němž Objednatel uvede všechny výhrady ke kvalitě a rozsahu prováděného Díla. Vytčené vady a případné nedodělky se Zhotovitel zavazuje odstranit bez zbytečného odkladu, nejpozději však do 10 kalendářních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dnů od jejich vytčení Objednatelem. Nedojde-li k odstranění vad a případných nedodělků v souladu s tímto článkem smlouvy, Objednatel je oprávněn zajistit odstranění vad a případných nedodělků prostřednictvím třetí osoby, a to na účet Zhotovitele. Dokud ne</w:t>
      </w:r>
      <w:r>
        <w:rPr>
          <w:rFonts w:ascii="Calibri" w:eastAsia="Calibri" w:hAnsi="Calibri" w:cs="Calibri"/>
          <w:color w:val="000000"/>
          <w:sz w:val="22"/>
          <w:szCs w:val="22"/>
        </w:rPr>
        <w:t>budou všechny vytčené vady a nedodělky odstraněny, není Objednatel povinen zaplatit Zhotoviteli dosud neuhrazené faktury za provedení Díla.</w:t>
      </w:r>
    </w:p>
    <w:p w:rsidR="00512107" w:rsidRDefault="00411A3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Místem plnění je České vysoké učení technické v Praze, Fakulta </w:t>
      </w:r>
      <w:r>
        <w:rPr>
          <w:rFonts w:ascii="Calibri" w:eastAsia="Calibri" w:hAnsi="Calibri" w:cs="Calibri"/>
          <w:sz w:val="22"/>
          <w:szCs w:val="22"/>
        </w:rPr>
        <w:t>elektrotechnická, Technická 2</w:t>
      </w:r>
      <w:r>
        <w:rPr>
          <w:rFonts w:ascii="Calibri" w:eastAsia="Calibri" w:hAnsi="Calibri" w:cs="Calibri"/>
          <w:color w:val="000000"/>
          <w:sz w:val="22"/>
          <w:szCs w:val="22"/>
        </w:rPr>
        <w:t>,166 27 Praha 6.</w:t>
      </w:r>
    </w:p>
    <w:p w:rsidR="00512107" w:rsidRDefault="00411A3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Osobou </w:t>
      </w:r>
      <w:r>
        <w:rPr>
          <w:rFonts w:ascii="Calibri" w:eastAsia="Calibri" w:hAnsi="Calibri" w:cs="Calibri"/>
          <w:color w:val="000000"/>
          <w:sz w:val="22"/>
          <w:szCs w:val="22"/>
        </w:rPr>
        <w:t>oprávněnou k převzetí Díla za Objednatele je osoba oprávněná konat ve věcech technických za Objednatele, nebo jí pověřená osoba.</w:t>
      </w:r>
    </w:p>
    <w:p w:rsidR="00512107" w:rsidRDefault="00512107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12107" w:rsidRDefault="00411A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Kupní cena a platební podmínky</w:t>
      </w:r>
    </w:p>
    <w:p w:rsidR="00512107" w:rsidRDefault="00411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Objednatel a Zhotovitel se dohodli, že cena za Dílo dle čl. III. této smlouvy či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ní </w:t>
      </w:r>
      <w:r>
        <w:rPr>
          <w:rFonts w:ascii="Calibri" w:eastAsia="Calibri" w:hAnsi="Calibri" w:cs="Calibri"/>
          <w:sz w:val="22"/>
          <w:szCs w:val="22"/>
        </w:rPr>
        <w:t>422 400</w:t>
      </w:r>
      <w:r>
        <w:rPr>
          <w:rFonts w:ascii="Calibri" w:eastAsia="Calibri" w:hAnsi="Calibri" w:cs="Calibri"/>
          <w:color w:val="000000"/>
          <w:sz w:val="22"/>
          <w:szCs w:val="22"/>
        </w:rPr>
        <w:t>,- Kč bez DPH. DPH bude účtována ve výši určené podle právních předpisů platných ke dni uskutečnění zdanitelného plnění. Výše uvedená kupní cena je cena konečná a maximální a zahrnuje rovněž veškeré náklady zhotovitele na provedení Díla.</w:t>
      </w:r>
    </w:p>
    <w:p w:rsidR="00512107" w:rsidRDefault="00411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strany se </w:t>
      </w:r>
      <w:r>
        <w:rPr>
          <w:rFonts w:ascii="Calibri" w:eastAsia="Calibri" w:hAnsi="Calibri" w:cs="Calibri"/>
          <w:color w:val="000000"/>
          <w:sz w:val="22"/>
          <w:szCs w:val="22"/>
        </w:rPr>
        <w:t>dohodly na úhradě ceny Díla formou bankovního převodu na účet Zhotovitele na základě doručené zálohové a konečné faktury s dodržením tohoto splátkového kalendáře:</w:t>
      </w:r>
    </w:p>
    <w:p w:rsidR="00512107" w:rsidRDefault="00411A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zálohová faktura ve výši 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0 % z celkové ceny Díla dle čl. V odst. 1 této Smlouvy tj. </w:t>
      </w:r>
      <w:r>
        <w:rPr>
          <w:rFonts w:ascii="Calibri" w:eastAsia="Calibri" w:hAnsi="Calibri" w:cs="Calibri"/>
          <w:sz w:val="22"/>
          <w:szCs w:val="22"/>
        </w:rPr>
        <w:t>168 960</w:t>
      </w:r>
      <w:r>
        <w:rPr>
          <w:rFonts w:ascii="Calibri" w:eastAsia="Calibri" w:hAnsi="Calibri" w:cs="Calibri"/>
          <w:color w:val="000000"/>
          <w:sz w:val="22"/>
          <w:szCs w:val="22"/>
        </w:rPr>
        <w:t>,- Kč bez DPH bude vystavena do 15 dnů po podpisu této smlouvy.</w:t>
      </w:r>
    </w:p>
    <w:p w:rsidR="00512107" w:rsidRDefault="00411A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konečná faktura ve výši 100% z celkové ceny díla s odečtením skutečně zaplacené zálohy bude vystavena po </w:t>
      </w:r>
      <w:r>
        <w:rPr>
          <w:rFonts w:ascii="Calibri" w:eastAsia="Calibri" w:hAnsi="Calibri" w:cs="Calibri"/>
          <w:sz w:val="22"/>
          <w:szCs w:val="22"/>
        </w:rPr>
        <w:t xml:space="preserve">akceptaci </w:t>
      </w:r>
      <w:r>
        <w:rPr>
          <w:rFonts w:ascii="Calibri" w:eastAsia="Calibri" w:hAnsi="Calibri" w:cs="Calibri"/>
          <w:color w:val="000000"/>
          <w:sz w:val="22"/>
          <w:szCs w:val="22"/>
        </w:rPr>
        <w:t>Díla Objednatelem.</w:t>
      </w:r>
    </w:p>
    <w:p w:rsidR="00512107" w:rsidRDefault="00411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Objednatel je oprávněn odečíst si od ceny díla veškeré ško</w:t>
      </w:r>
      <w:r>
        <w:rPr>
          <w:rFonts w:ascii="Calibri" w:eastAsia="Calibri" w:hAnsi="Calibri" w:cs="Calibri"/>
          <w:color w:val="000000"/>
          <w:sz w:val="22"/>
          <w:szCs w:val="22"/>
        </w:rPr>
        <w:t>dy způsobené Zhotovitelem na jeho movitém i nemovitém majetku a případné úroky z prodlení a smluvní pokutu až do výše celkové ceny díla.</w:t>
      </w:r>
    </w:p>
    <w:p w:rsidR="00512107" w:rsidRDefault="00411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Splatnost daňového dokladu je 30 dnů ode dne jeho prokazatelného doručení </w:t>
      </w:r>
      <w:r>
        <w:rPr>
          <w:rFonts w:ascii="Calibri" w:eastAsia="Calibri" w:hAnsi="Calibri" w:cs="Calibri"/>
          <w:sz w:val="22"/>
          <w:szCs w:val="22"/>
        </w:rPr>
        <w:t>Objednateli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na adresu Objednatele uvedenou v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čl. I této Smlouvy. </w:t>
      </w:r>
    </w:p>
    <w:p w:rsidR="00512107" w:rsidRDefault="00411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Každý daňový doklad musí splňovat náležitosti daňového a účetního dokladu podle zákona č. 563/1991 Sb., o účetnictví, zákona č. 235/2004 Sb., o dani z přidané hodnoty a musí mít náležitosti obchodní listiny dle § 435 občanského zákoník</w:t>
      </w:r>
      <w:r>
        <w:rPr>
          <w:rFonts w:ascii="Calibri" w:eastAsia="Calibri" w:hAnsi="Calibri" w:cs="Calibri"/>
          <w:color w:val="000000"/>
          <w:sz w:val="22"/>
          <w:szCs w:val="22"/>
        </w:rPr>
        <w:t>u. Vystavený daňový doklad musí být označen názvem smlouvy a jejím číslem, pokud je uvedeno. V případě, že daňový doklad výše uvedené náležitosti nebude splňovat nebo bude obsahovat nesprávné údaje, vrátí objednatel daňový doklad do dne splatnosti daňového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dokladu k opravení bez jeho proplacení. Lhůta splatnosti se v takovém případě dnem zpětného odeslání staví a poté počíná běžet znovu ode dne doručení opraveného či nově vyhotoveného daňového dokladu na adresu objednatele uvedenou v záhlaví této smlouvy. C</w:t>
      </w:r>
      <w:r>
        <w:rPr>
          <w:rFonts w:ascii="Calibri" w:eastAsia="Calibri" w:hAnsi="Calibri" w:cs="Calibri"/>
          <w:color w:val="000000"/>
          <w:sz w:val="22"/>
          <w:szCs w:val="22"/>
        </w:rPr>
        <w:t>ena podle tohoto článku smlouvy je objednatelem zhotoviteli zaplacena dnem odepsání příslušné částky z účtu objednatele.</w:t>
      </w:r>
    </w:p>
    <w:p w:rsidR="00512107" w:rsidRDefault="00411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Veškeré platby dle této Smlouvy budou probíhat výhradně v českých korunách (Kč) a rovněž veškeré cenové údaje budou v českých korunách </w:t>
      </w:r>
      <w:r>
        <w:rPr>
          <w:rFonts w:ascii="Calibri" w:eastAsia="Calibri" w:hAnsi="Calibri" w:cs="Calibri"/>
          <w:color w:val="000000"/>
          <w:sz w:val="22"/>
          <w:szCs w:val="22"/>
        </w:rPr>
        <w:t>(Kč).</w:t>
      </w:r>
    </w:p>
    <w:p w:rsidR="00411A30" w:rsidRDefault="00411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Zhotovitel prohlašuje, že na sebe přebírá nebezpečí změny okolností podle 1765 odst. 2 občanského zákoníku. Ustanovení § 1765 odst. 1 a § 1766 občanského zákoníku se tedy ve vztahu k Prodávajícímu nepoužije.</w:t>
      </w:r>
    </w:p>
    <w:p w:rsidR="00512107" w:rsidRPr="00411A30" w:rsidRDefault="00411A30" w:rsidP="00411A30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 w:type="page"/>
      </w:r>
    </w:p>
    <w:p w:rsidR="00512107" w:rsidRDefault="00411A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Odpovědnost za vady</w:t>
      </w:r>
    </w:p>
    <w:p w:rsidR="00512107" w:rsidRDefault="00411A3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Odpovědnost za vady se řídí ustanoveními § 2615 a násl. občanského zákoníku s tím, že o právech Objednatele z vadného plnění platí obdobně ustanovení o kupní smlouvě, tj. § 2099 a násl. občanského zákoníku.</w:t>
      </w:r>
    </w:p>
    <w:p w:rsidR="00512107" w:rsidRDefault="00411A3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Objednatel je povinen oznámit Zhotoviteli zjevné </w:t>
      </w:r>
      <w:r>
        <w:rPr>
          <w:rFonts w:ascii="Calibri" w:eastAsia="Calibri" w:hAnsi="Calibri" w:cs="Calibri"/>
          <w:color w:val="000000"/>
          <w:sz w:val="22"/>
          <w:szCs w:val="22"/>
        </w:rPr>
        <w:t>vady okamžitě při jejich zjištění, nejpozději však do 30 dnů ode dne, kdy vady Díla zjistí.</w:t>
      </w:r>
    </w:p>
    <w:p w:rsidR="00512107" w:rsidRDefault="00411A3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Oznámení o vadách musí mít písemnou formu, a je doručováno na adresu sídla Zhotovitele uvedenou v čl. I. této smlouvy. </w:t>
      </w:r>
    </w:p>
    <w:p w:rsidR="00512107" w:rsidRDefault="00411A3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 případě neopravitelných vad na předmětu Dí</w:t>
      </w:r>
      <w:r>
        <w:rPr>
          <w:rFonts w:ascii="Calibri" w:eastAsia="Calibri" w:hAnsi="Calibri" w:cs="Calibri"/>
          <w:color w:val="000000"/>
          <w:sz w:val="22"/>
          <w:szCs w:val="22"/>
        </w:rPr>
        <w:t>la je objednatel oprávněn po Zhotoviteli vedle jiných práv z vadného plnění požadovat odstranění vad dodáním náhradního předmětu Díla za tu část předmětu Díla, která je vadná. Pokud Zhotovitel tento náhradní předmět díla nedodá nejpozději do 15 dnů ode dne</w:t>
      </w:r>
      <w:r>
        <w:rPr>
          <w:rFonts w:ascii="Calibri" w:eastAsia="Calibri" w:hAnsi="Calibri" w:cs="Calibri"/>
          <w:color w:val="000000"/>
          <w:sz w:val="22"/>
          <w:szCs w:val="22"/>
        </w:rPr>
        <w:t>, kdy k tomu byl Objednatelem písemně vyzván, je Objednatel oprávněn odstoupit od smlouvy.</w:t>
      </w:r>
    </w:p>
    <w:p w:rsidR="00512107" w:rsidRDefault="00411A3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 doby dodání náhradního předmětu Díla není objednatel povinen platit část ceny, která odpovídá hodnotě požadovaného náhradního předmětu Díla.</w:t>
      </w:r>
    </w:p>
    <w:p w:rsidR="00512107" w:rsidRDefault="00411A3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Při dodání náhradního předmětu Díla není Zhotovitel oprávněn požadovat po Objednateli navrácení vadné části předmětu Díla.</w:t>
      </w:r>
    </w:p>
    <w:p w:rsidR="00512107" w:rsidRDefault="00411A3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Nároky z vad předmětu Díla se nedotýkají nároku Objednatele na náhradu škody nebo na smluvní pokutu.</w:t>
      </w:r>
    </w:p>
    <w:p w:rsidR="00512107" w:rsidRDefault="00411A3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Pokud má podle tohoto článku dor</w:t>
      </w:r>
      <w:r>
        <w:rPr>
          <w:rFonts w:ascii="Calibri" w:eastAsia="Calibri" w:hAnsi="Calibri" w:cs="Calibri"/>
          <w:color w:val="000000"/>
          <w:sz w:val="22"/>
          <w:szCs w:val="22"/>
        </w:rPr>
        <w:t>učit Objednatel Zhotoviteli jakýkoliv přípis, má se takový přípis za doručený nejpozději ve lhůtě 5 pracovních dnů od jeho předání doporučené poštovní přepravě k doručení na adresu sídla zhotovitele uvedenou v čl. I. této Smlouvy, pokud nebyl doručen proka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zatelně dříve. </w:t>
      </w:r>
    </w:p>
    <w:p w:rsidR="00512107" w:rsidRDefault="00411A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Záruka za jakost</w:t>
      </w:r>
    </w:p>
    <w:p w:rsidR="00512107" w:rsidRDefault="00411A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Předmět Díla nesmí vykazovat nedostatky jakosti, jež mají vliv na funkci či trvanlivost Díla. Zhotovitel prohlašuje a zavazuje se, že Dílo bude způsobilé k použití pro obvyklý účel a/nebo si zachová obvyklé vlastnosti po záruční dobu 12 měsíců od protokolá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rního předání a převzetí díla. </w:t>
      </w:r>
    </w:p>
    <w:p w:rsidR="00512107" w:rsidRDefault="00411A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Zjistí-li Objednatel v průběhu záruční doby takové závady v kvalitě Díla, na něž se vztahuje poskytnutá záruka, neprodleně o této skutečnosti uvědomí Zhotovitele a zjištěné závady u něj reklamuje písemnou formou soupisem záv</w:t>
      </w:r>
      <w:r>
        <w:rPr>
          <w:rFonts w:ascii="Calibri" w:eastAsia="Calibri" w:hAnsi="Calibri" w:cs="Calibri"/>
          <w:color w:val="000000"/>
          <w:sz w:val="22"/>
          <w:szCs w:val="22"/>
        </w:rPr>
        <w:t>ad.</w:t>
      </w:r>
    </w:p>
    <w:p w:rsidR="00512107" w:rsidRDefault="00411A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 obdržení reklamačního zápisu se Zhotovitel ve lhůtě dohodnuté s Objednatelem zúčastní posouzení reklamovaných závad a v zápise vyjádří své stanovisko k oprávněnosti reklamace. V případě oprávněné reklamace se v tomto zápise stanoví přiměřená lhůta k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odstranění závad. V případě neoprávněné reklamace bude vyhotoven zápis s uvedením, že reklamace je neoprávněná. Pokud Zhotovitel neposkytne potřebnou součinnost při odstraňování případných vad, které se na díle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vyskytnou v záruční době, je Objednatel oprá</w:t>
      </w:r>
      <w:r>
        <w:rPr>
          <w:rFonts w:ascii="Calibri" w:eastAsia="Calibri" w:hAnsi="Calibri" w:cs="Calibri"/>
          <w:color w:val="000000"/>
          <w:sz w:val="22"/>
          <w:szCs w:val="22"/>
        </w:rPr>
        <w:t>vněn zajistit odstranění těchto vad prostřednictvím třetí osoby, a to na účet Zhotovitele.</w:t>
      </w:r>
    </w:p>
    <w:p w:rsidR="00512107" w:rsidRDefault="00411A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Práva a povinnosti smluvních stran, prohlášení Zhotovitele</w:t>
      </w:r>
    </w:p>
    <w:p w:rsidR="00512107" w:rsidRDefault="00411A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Zhotovitel prohlašuje, že je oprávněn k provedení Díla dle této Smlouvy ve smyslu příslušných zákonných us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tanovení. </w:t>
      </w:r>
    </w:p>
    <w:p w:rsidR="00512107" w:rsidRDefault="00411A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Zhotovitel se zavazuje postupovat při provádění Díla dle technologických postupů nutných pro provádění Díla.</w:t>
      </w:r>
    </w:p>
    <w:p w:rsidR="00512107" w:rsidRDefault="00411A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Zhotovitel se zavazuje provést Dílo osobně, případně je nechá provést pod svým osobním vedením. </w:t>
      </w:r>
    </w:p>
    <w:p w:rsidR="00512107" w:rsidRDefault="00411A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Zhotovitel je povinen při plnění této 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mlouvy postupovat s odbornou péčí, dodržovat obecně závazné předpisy, normy a další předpisy vztahující se k předmětu této Smlouvy, podmínky této Smlouvy a pokyny Objednatele. Zhotovitel je povinen provést Dílo ve lhůtě stanovené touto smlouvou a obstarat </w:t>
      </w:r>
      <w:r>
        <w:rPr>
          <w:rFonts w:ascii="Calibri" w:eastAsia="Calibri" w:hAnsi="Calibri" w:cs="Calibri"/>
          <w:color w:val="000000"/>
          <w:sz w:val="22"/>
          <w:szCs w:val="22"/>
        </w:rPr>
        <w:t>vše, co je k provedení Díla potřeba.</w:t>
      </w:r>
    </w:p>
    <w:p w:rsidR="00512107" w:rsidRDefault="00411A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Zhotovitel postupuje při provádění Díla samostatně, avšak je vázán příkazy Objednatele ohledně způsobu provádění Díla. Zhotovitel upozorní Objednatele bez zbytečného odkladu, nejpozději však do 5 pracovních dnů ode dne </w:t>
      </w:r>
      <w:r>
        <w:rPr>
          <w:rFonts w:ascii="Calibri" w:eastAsia="Calibri" w:hAnsi="Calibri" w:cs="Calibri"/>
          <w:color w:val="000000"/>
          <w:sz w:val="22"/>
          <w:szCs w:val="22"/>
        </w:rPr>
        <w:t>obdržení příkazu, na nevhodnou povahu příkazu, který mu Objednatel dal. Překáží-li nevhodný příkaz řádnému provedení Díla, zhotovitel je oprávněn přerušit v nezbytném rozsahu provádění Díla až do doby změny příkazu; trvá-li Objednatel na provádění Díla pod</w:t>
      </w:r>
      <w:r>
        <w:rPr>
          <w:rFonts w:ascii="Calibri" w:eastAsia="Calibri" w:hAnsi="Calibri" w:cs="Calibri"/>
          <w:color w:val="000000"/>
          <w:sz w:val="22"/>
          <w:szCs w:val="22"/>
        </w:rPr>
        <w:t>le uděleného příkazu, je povinen Objednateli tuto skutečnost sdělit písemnou formou.</w:t>
      </w:r>
    </w:p>
    <w:p w:rsidR="00512107" w:rsidRDefault="00411A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Objednatel se zavazuje poskytnout Zhotoviteli při plnění předmětu této Smlouvy nezbytnou součinnost</w:t>
      </w:r>
    </w:p>
    <w:p w:rsidR="00512107" w:rsidRDefault="00411A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Zhotovitel odpovídá za škody na majetku Objednatele, vzniklé protiprávním jednáním zhotovitele či osoby, která provádí Dílo pod osobním vedením Zhotovitele, a porušením platných předpisů a norem pro poskytování služeb, používání přístrojů a prostředků neod</w:t>
      </w:r>
      <w:r>
        <w:rPr>
          <w:rFonts w:ascii="Calibri" w:eastAsia="Calibri" w:hAnsi="Calibri" w:cs="Calibri"/>
          <w:color w:val="000000"/>
          <w:sz w:val="22"/>
          <w:szCs w:val="22"/>
        </w:rPr>
        <w:t>povídajících technickým normám, jakož i porušením této Smlouvy.</w:t>
      </w:r>
    </w:p>
    <w:p w:rsidR="00512107" w:rsidRDefault="00411A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Objednatel je oprávněn kontrolovat provádění Díla. Zjistí-li Objednatel, že Zhotovitel provádí dílo v rozporu se svými povinnostmi, je objednatel oprávněn dožadovat se toho, aby Zhotovitel ods</w:t>
      </w:r>
      <w:r>
        <w:rPr>
          <w:rFonts w:ascii="Calibri" w:eastAsia="Calibri" w:hAnsi="Calibri" w:cs="Calibri"/>
          <w:color w:val="000000"/>
          <w:sz w:val="22"/>
          <w:szCs w:val="22"/>
        </w:rPr>
        <w:t>tranil nedostatky vzniklé vadným plněním a Dílo prováděl řádným způsobem. Jestliže Zhotovitel Díla tak neučiní ani v přiměřené lhůtě k tomu účelu Zhotoviteli poskytnuté a je-li zřejmé, že Dílo nebude provedeno včas nebo nebude provedeno řádně, je Objednate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l oprávněn od této Smlouvy odstoupit. Odstoupení od smlouvy musí být provedeno písemně a doručeno Zhotoviteli. Pro tento případ se smluvní strany dohodly, že plnění poskytnuté Objednatelem Zhotoviteli, které Zhotovitel účelně nevynaložil k provedení Díla, </w:t>
      </w:r>
      <w:r>
        <w:rPr>
          <w:rFonts w:ascii="Calibri" w:eastAsia="Calibri" w:hAnsi="Calibri" w:cs="Calibri"/>
          <w:color w:val="000000"/>
          <w:sz w:val="22"/>
          <w:szCs w:val="22"/>
        </w:rPr>
        <w:t>byť i jen částečnému, je Zhotovitel povinen Objednateli vrátit nejpozději do 5 dnů od doručení písemného odstoupení od Smlouvy Zhotoviteli. Zhotovitel je v tomto případě povinen doložit příslušnými doklady a fakturami výši nákladů, které účelně vynaložil b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yť i jen k částečnému provedení Díla podle této Smlouvy. Za účelně vynaložené náklady však nebudou smluvními stranami považovány náklady vynaložené Zhotovitelem v té části Díla, která byla provedena vadně. </w:t>
      </w:r>
    </w:p>
    <w:p w:rsidR="00512107" w:rsidRDefault="00512107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12107" w:rsidRDefault="00411A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Sankce</w:t>
      </w:r>
    </w:p>
    <w:p w:rsidR="00512107" w:rsidRDefault="00411A3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Zhotovitel je povinen uhradit Objednateli smluvní pokutu za prodlení s dokončením Díla ve výši 0,5 % z kupní ceny Díla uvedené v čl. V. odst. 1. této smlouvy za každý započatý den prodlení s odevzdáním Díla oproti lhůtě sjednané v čl. IV odst. 1 této Smlou</w:t>
      </w:r>
      <w:r>
        <w:rPr>
          <w:rFonts w:ascii="Calibri" w:eastAsia="Calibri" w:hAnsi="Calibri" w:cs="Calibri"/>
          <w:color w:val="000000"/>
          <w:sz w:val="22"/>
          <w:szCs w:val="22"/>
        </w:rPr>
        <w:t>vy.</w:t>
      </w:r>
    </w:p>
    <w:p w:rsidR="00512107" w:rsidRDefault="00411A3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Zhotovitel je dále povinen uhradit Objednateli smluvní pokutu za porušení kterékoli z dalších povinností Zhotovitele stanovených v této Smlouvě, a to ve výši 0,5 % z kupní ceny Díla za každý jednotlivý případ porušení smluvní povinnosti.</w:t>
      </w:r>
    </w:p>
    <w:p w:rsidR="00512107" w:rsidRDefault="00411A3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Objednatel je </w:t>
      </w:r>
      <w:r>
        <w:rPr>
          <w:rFonts w:ascii="Calibri" w:eastAsia="Calibri" w:hAnsi="Calibri" w:cs="Calibri"/>
          <w:color w:val="000000"/>
          <w:sz w:val="22"/>
          <w:szCs w:val="22"/>
        </w:rPr>
        <w:t>povinen zaplatit Zhotoviteli v případě prodlení s placením ceny dle této Smlouvy smluvní pokutu ve výši 0,5 % z dlužné částky za každý den prodlení.</w:t>
      </w:r>
    </w:p>
    <w:p w:rsidR="00512107" w:rsidRDefault="00411A3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Sjednáním smluvní pokuty podle tohoto článku není dotčeno právo Objednatele na náhradu škody vzniklé z poru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šení utvrzovaných povinností. </w:t>
      </w:r>
    </w:p>
    <w:p w:rsidR="00512107" w:rsidRDefault="00411A3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Splatnost vyúčtovaných smluvních pokut je 30 kalendářních dnů od doručení vyúčtování smluvní pokuty druhé smluvní straně.</w:t>
      </w:r>
    </w:p>
    <w:p w:rsidR="00512107" w:rsidRDefault="00411A3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 výpočet smluvní pokuty určené procentem a úroku z prodlení je rozhodná kupní cena včetně DPH.</w:t>
      </w:r>
    </w:p>
    <w:p w:rsidR="00512107" w:rsidRDefault="00411A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Odsto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upení od Smlouvy</w:t>
      </w:r>
    </w:p>
    <w:p w:rsidR="00512107" w:rsidRDefault="00411A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Od této Smlouvy je možno odstoupit pro podstatné nesplnění smluvních povinností jednou ze smluvních stran, nebo z důvodů ve Smlouvě uvedených. </w:t>
      </w:r>
    </w:p>
    <w:p w:rsidR="00512107" w:rsidRDefault="00411A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Podstatným porušením smluvních povinností ze strany Zhotovitele je zejména opakované předání předmětu Díla, nebo jeho části, s vadami, na které byl Zhotovitel Objednatelem písemně upozorněn. Podstatným porušením smluvních povinností ze strany Zhotovitele j</w:t>
      </w:r>
      <w:r>
        <w:rPr>
          <w:rFonts w:ascii="Calibri" w:eastAsia="Calibri" w:hAnsi="Calibri" w:cs="Calibri"/>
          <w:color w:val="000000"/>
          <w:sz w:val="22"/>
          <w:szCs w:val="22"/>
        </w:rPr>
        <w:t>e dále také prodlení s předáním předmětu Díla delší než 15 kalendářních dní.</w:t>
      </w:r>
    </w:p>
    <w:p w:rsidR="00512107" w:rsidRDefault="00411A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Právo odstoupit od této Smlouvy má Objednatel i tehdy, jestliže jej Zhotovitel ujistil, že Dílo má určité vlastnosti, zejména vlastnosti Objednatelem vymíněné, nebo že nemá žádné </w:t>
      </w:r>
      <w:r>
        <w:rPr>
          <w:rFonts w:ascii="Calibri" w:eastAsia="Calibri" w:hAnsi="Calibri" w:cs="Calibri"/>
          <w:color w:val="000000"/>
          <w:sz w:val="22"/>
          <w:szCs w:val="22"/>
        </w:rPr>
        <w:t>vady, a toto ujištění se ukáže nepravdivým.</w:t>
      </w:r>
    </w:p>
    <w:p w:rsidR="00512107" w:rsidRDefault="00411A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 podstatné porušení smluvních povinností ze strany Objednatele se považuje zejména prodlení s placením ceny za Dílo nebo jeho části a to prodlení delší než 30 kalendářních dnů.</w:t>
      </w:r>
    </w:p>
    <w:p w:rsidR="00512107" w:rsidRDefault="00411A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Odstoupení od smlouvy nabývá účin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nosti dnem doručení písemného oznámení o odstoupení druhé smluvní straně na adresu Objednatele uvedenou v čl. I. této smlouvy, nebo na adresu Zhotovitele uvedenou v čl. I. této smlouvy. V písemném oznámení o </w:t>
      </w:r>
      <w:r>
        <w:rPr>
          <w:rFonts w:ascii="Calibri" w:eastAsia="Calibri" w:hAnsi="Calibri" w:cs="Calibri"/>
          <w:sz w:val="22"/>
          <w:szCs w:val="22"/>
        </w:rPr>
        <w:t>odstoupení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musí být přesně a jednoznačně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uveden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důvod odstoupení, jinak je odstoupení neplatné. </w:t>
      </w:r>
    </w:p>
    <w:p w:rsidR="00512107" w:rsidRDefault="00411A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 případě odstoupení od Smlouvy se Smlouva od počátku ruší. Smluvní strany jsou si povinny vrátit vše, co si navzájem plnily, a to ve lhůtě 15 kalendářních dnů ode dne účinnosti odstoupení od Smlouvy.</w:t>
      </w:r>
    </w:p>
    <w:p w:rsidR="00512107" w:rsidRDefault="00411A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 příp</w:t>
      </w:r>
      <w:r>
        <w:rPr>
          <w:rFonts w:ascii="Calibri" w:eastAsia="Calibri" w:hAnsi="Calibri" w:cs="Calibri"/>
          <w:color w:val="000000"/>
          <w:sz w:val="22"/>
          <w:szCs w:val="22"/>
        </w:rPr>
        <w:t>adě odstoupení od této Smlouvy Objednatelem z důvodu výše uvedených podstatných porušení Smlouvy Zhotovitelem, nemá Zhotovitel nárok na náhradu jakýchkoliv do té doby vzniklých nákladů.</w:t>
      </w:r>
    </w:p>
    <w:p w:rsidR="00512107" w:rsidRDefault="00411A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Závěrečná ujednání</w:t>
      </w:r>
    </w:p>
    <w:p w:rsidR="00512107" w:rsidRDefault="00411A3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strany souhlasí s uveřejněním této Smlouvy </w:t>
      </w:r>
      <w:r>
        <w:rPr>
          <w:rFonts w:ascii="Calibri" w:eastAsia="Calibri" w:hAnsi="Calibri" w:cs="Calibri"/>
          <w:color w:val="000000"/>
          <w:sz w:val="22"/>
          <w:szCs w:val="22"/>
        </w:rPr>
        <w:t>v registru smluv podle zákona č. 340/2015 Sb., o registru smluv, přičemž uveřejnění zajistí Objednatel. Informace, které jsou vyloučené z uveřejnění (osobní údaje či obchodní tajemství, či jiné údaje, které je možné neuveřejnit podle zákona, smluvní strany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výslovně takto označily v průběhu kontraktačního procesu a Smlouva obsahuje přílohu tvořenou textem Smlouvy s těmito údaji anonymizovanými pro účely uveřejnění v registru smluv.</w:t>
      </w:r>
    </w:p>
    <w:p w:rsidR="00512107" w:rsidRDefault="00411A3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>Ve smyslu Nařízení Evropského parlamentu a Rady (EU) 2016/679 ze dne 27. dubna 2016 o ochraně fyzických osob v souvislosti se zpracováním osobních údajů a o volném pohybu těchto údajů a o zrušení směrnice 95/46/ES (obecné nařízení o ochraně osobních údajů,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tzv.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GDPR). a zák.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č. 101/2000 Sb., o ochraně osobních údajů, Objednatel a zhotov</w:t>
      </w:r>
      <w:r w:rsidR="00DE1898">
        <w:rPr>
          <w:rFonts w:ascii="Calibri" w:eastAsia="Calibri" w:hAnsi="Calibri" w:cs="Calibri"/>
          <w:color w:val="000000"/>
          <w:sz w:val="22"/>
          <w:szCs w:val="22"/>
        </w:rPr>
        <w:t>it</w:t>
      </w:r>
      <w:r>
        <w:rPr>
          <w:rFonts w:ascii="Calibri" w:eastAsia="Calibri" w:hAnsi="Calibri" w:cs="Calibri"/>
          <w:color w:val="000000"/>
          <w:sz w:val="22"/>
          <w:szCs w:val="22"/>
        </w:rPr>
        <w:t>el berou na vědomí a zavazují se informovat své zaměstnance a další dotčené osoby, že při provádění této smlouvy budou zpracovávány identifikační a kontaktní osobní údaje f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yzických osob, zejména zaměstnanců smluvních stran, a to za účelem plnění této smlouvy a ochrany oprávněných zájmů smluvních stran. Smluvní strany se </w:t>
      </w:r>
      <w:r>
        <w:rPr>
          <w:rFonts w:ascii="Calibri" w:eastAsia="Calibri" w:hAnsi="Calibri" w:cs="Calibri"/>
          <w:sz w:val="22"/>
          <w:szCs w:val="22"/>
        </w:rPr>
        <w:t>zavazují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informovat subjekty údajů, jejichž údaje zpracovávají jako správci, o jejich právech, a postupova</w:t>
      </w:r>
      <w:r>
        <w:rPr>
          <w:rFonts w:ascii="Calibri" w:eastAsia="Calibri" w:hAnsi="Calibri" w:cs="Calibri"/>
          <w:color w:val="000000"/>
          <w:sz w:val="22"/>
          <w:szCs w:val="22"/>
        </w:rPr>
        <w:t>t v souladu s nařízením EU č. 2016/679.</w:t>
      </w:r>
    </w:p>
    <w:p w:rsidR="00512107" w:rsidRDefault="00411A3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Tato Smlouva se v otázkách v ní výslovně neupravených řídí zákonem č. 89/2012 Sb., občanský zákoník.</w:t>
      </w:r>
    </w:p>
    <w:p w:rsidR="00512107" w:rsidRDefault="00411A3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 případě, kdy tato Smlouva odkazuje na konkrétní právní předpis, rozumí se jím i právní předpis, jež tento předpis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 budoucnu nahradí, a to konkrétně ta jeho ustanovení, jež jsou obsahem a účelem nejbližší.</w:t>
      </w:r>
    </w:p>
    <w:p w:rsidR="00512107" w:rsidRDefault="00411A3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Ujednání této Smlouvy jsou vzájemně oddělitelná. Pokud jakákoli část závazku podle této Smlouvy je nebo se stane neplatnou či nevymahatelnou, nebude to mít vliv na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platnost a vymahatelnost ostatních závazků podle této Smlouvy a smluvní strany se zavazují nahradit takovouto neplatnou nebo nevymahatelnou část závazku novou, platnou a vymahatelnou částí závazku, jejíž předmět bude nejlépe odpovídat předmětu původního z</w:t>
      </w:r>
      <w:r>
        <w:rPr>
          <w:rFonts w:ascii="Calibri" w:eastAsia="Calibri" w:hAnsi="Calibri" w:cs="Calibri"/>
          <w:color w:val="000000"/>
          <w:sz w:val="22"/>
          <w:szCs w:val="22"/>
        </w:rPr>
        <w:t>ávazku. Pokud by Smlouva neobsahovala nějaké ujednání, jehož stanovení by bylo jinak pro vymezení práv a povinností odůvodněné, smluvní strany učiní vše pro to, aby takové ujednání bylo do Smlouvy doplněno.</w:t>
      </w:r>
    </w:p>
    <w:p w:rsidR="00512107" w:rsidRDefault="00411A3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Změnit nebo doplnit tuto Smlouvu mohou smluvní st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rany pouze formou písemných dodatků, které budou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podepsány oprávněnými osobami obou smluvních stran.</w:t>
      </w:r>
    </w:p>
    <w:p w:rsidR="00512107" w:rsidRDefault="00411A3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Zhotovitel není oprávněn bez souhlasu Objednatele postoupit svá práva a povinnosti plynoucí z této Smlouvy třetí osobě.</w:t>
      </w:r>
    </w:p>
    <w:p w:rsidR="00512107" w:rsidRDefault="00411A3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Tato Smlouva nabývá platnosti dnem </w:t>
      </w:r>
      <w:r>
        <w:rPr>
          <w:rFonts w:ascii="Calibri" w:eastAsia="Calibri" w:hAnsi="Calibri" w:cs="Calibri"/>
          <w:color w:val="000000"/>
          <w:sz w:val="22"/>
          <w:szCs w:val="22"/>
        </w:rPr>
        <w:t>jejího podpisu oběma smluvními stranami a účinnosti dnem uveřejnění v informačním systému veřejné správy – Registru smluv.</w:t>
      </w:r>
    </w:p>
    <w:p w:rsidR="00512107" w:rsidRDefault="00411A3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Tato kupní Smlouva je vyhotovena ve 3 vyhotoveních s povahou originálu podepsaných oprávněnými osobami obou smluvních stran, přičemž </w:t>
      </w:r>
      <w:r>
        <w:rPr>
          <w:rFonts w:ascii="Calibri" w:eastAsia="Calibri" w:hAnsi="Calibri" w:cs="Calibri"/>
          <w:color w:val="000000"/>
          <w:sz w:val="22"/>
          <w:szCs w:val="22"/>
        </w:rPr>
        <w:t>Objednatel obdrží dvě vyhotovení a Zhotovitel jedno vyhotovení.</w:t>
      </w:r>
    </w:p>
    <w:p w:rsidR="00512107" w:rsidRDefault="00411A3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Veškerá textová dokumentace, kterou při plnění Smlouvy předává či předkládá Zhotovitel Kupujícímu, musí být předána či předložena v českém jazyce, popř. v anglickém jazyce.</w:t>
      </w:r>
    </w:p>
    <w:p w:rsidR="00512107" w:rsidRDefault="00411A3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Zhotovitel bere na </w:t>
      </w:r>
      <w:r>
        <w:rPr>
          <w:rFonts w:ascii="Calibri" w:eastAsia="Calibri" w:hAnsi="Calibri" w:cs="Calibri"/>
          <w:color w:val="000000"/>
          <w:sz w:val="22"/>
          <w:szCs w:val="22"/>
        </w:rPr>
        <w:t>vědomí, že jako dodavatel dodávek hrazených z veřejných finančních prostředků je osobou povinnou spolupůsobit při výkonu finanční kontroly ve smyslu § 2, písm. e) zákona č. 320/2001 Sb. o finanční kontrole ve veřejné správě a o změně některých zákonů, ve z</w:t>
      </w:r>
      <w:r>
        <w:rPr>
          <w:rFonts w:ascii="Calibri" w:eastAsia="Calibri" w:hAnsi="Calibri" w:cs="Calibri"/>
          <w:color w:val="000000"/>
          <w:sz w:val="22"/>
          <w:szCs w:val="22"/>
        </w:rPr>
        <w:t>nění pozdějších předpisů.</w:t>
      </w:r>
    </w:p>
    <w:p w:rsidR="00512107" w:rsidRDefault="00512107">
      <w:pPr>
        <w:spacing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512107" w:rsidRDefault="00512107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color w:val="000000"/>
          <w:sz w:val="21"/>
          <w:szCs w:val="21"/>
        </w:rPr>
      </w:pPr>
    </w:p>
    <w:p w:rsidR="00512107" w:rsidRDefault="00411A30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 Praze, dne: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V Praze, dne:</w:t>
      </w:r>
    </w:p>
    <w:p w:rsidR="00512107" w:rsidRDefault="00411A30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 Objednatele: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  Za Zhotovitele:</w:t>
      </w:r>
    </w:p>
    <w:p w:rsidR="00512107" w:rsidRDefault="0051210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512107" w:rsidRDefault="0051210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512107" w:rsidRDefault="0051210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512107" w:rsidRDefault="0051210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512107" w:rsidRDefault="00411A3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prof. Mgr. Petr </w:t>
      </w:r>
      <w:proofErr w:type="spellStart"/>
      <w:r>
        <w:rPr>
          <w:rFonts w:ascii="Calibri" w:eastAsia="Calibri" w:hAnsi="Calibri" w:cs="Calibri"/>
          <w:sz w:val="22"/>
          <w:szCs w:val="22"/>
        </w:rPr>
        <w:t>Páta</w:t>
      </w:r>
      <w:proofErr w:type="spellEnd"/>
      <w:r>
        <w:rPr>
          <w:rFonts w:ascii="Calibri" w:eastAsia="Calibri" w:hAnsi="Calibri" w:cs="Calibri"/>
          <w:sz w:val="22"/>
          <w:szCs w:val="22"/>
        </w:rPr>
        <w:t>, Ph.D.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Ing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Ondřej Janus</w:t>
      </w:r>
    </w:p>
    <w:p w:rsidR="00512107" w:rsidRDefault="00411A3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děkan fakulty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jednatel</w:t>
      </w:r>
    </w:p>
    <w:p w:rsidR="00512107" w:rsidRDefault="0051210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5121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82" w:right="1134" w:bottom="1134" w:left="1134" w:header="113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11A30">
      <w:r>
        <w:separator/>
      </w:r>
    </w:p>
  </w:endnote>
  <w:endnote w:type="continuationSeparator" w:id="0">
    <w:p w:rsidR="00000000" w:rsidRDefault="0041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tarell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107" w:rsidRDefault="005121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ntarell" w:eastAsia="Cantarell" w:hAnsi="Cantarell" w:cs="Cantarell"/>
        <w:color w:val="000000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7631218"/>
      <w:docPartObj>
        <w:docPartGallery w:val="Page Numbers (Bottom of Page)"/>
        <w:docPartUnique/>
      </w:docPartObj>
    </w:sdtPr>
    <w:sdtContent>
      <w:p w:rsidR="00411A30" w:rsidRDefault="00411A3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12107" w:rsidRDefault="005121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ntarell" w:eastAsia="Cantarell" w:hAnsi="Cantarell" w:cs="Cantarell"/>
        <w:color w:val="000000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107" w:rsidRDefault="005121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ntarell" w:eastAsia="Cantarell" w:hAnsi="Cantarell" w:cs="Cantarell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11A30">
      <w:r>
        <w:separator/>
      </w:r>
    </w:p>
  </w:footnote>
  <w:footnote w:type="continuationSeparator" w:id="0">
    <w:p w:rsidR="00000000" w:rsidRDefault="00411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107" w:rsidRDefault="005121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ntarell" w:eastAsia="Cantarell" w:hAnsi="Cantarell" w:cs="Cantarell"/>
        <w:color w:val="000000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107" w:rsidRDefault="00411A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ntarell" w:eastAsia="Cantarell" w:hAnsi="Cantarell" w:cs="Cantarell"/>
        <w:b/>
        <w:color w:val="000000"/>
        <w:sz w:val="21"/>
        <w:szCs w:val="21"/>
      </w:rPr>
    </w:pPr>
    <w:r>
      <w:rPr>
        <w:rFonts w:ascii="Cantarell" w:eastAsia="Cantarell" w:hAnsi="Cantarell" w:cs="Cantarell"/>
        <w:b/>
        <w:color w:val="000000"/>
        <w:sz w:val="21"/>
        <w:szCs w:val="21"/>
      </w:rPr>
      <w:t xml:space="preserve">FAKULTA </w:t>
    </w:r>
    <w:r>
      <w:rPr>
        <w:rFonts w:ascii="Cantarell" w:eastAsia="Cantarell" w:hAnsi="Cantarell" w:cs="Cantarell"/>
        <w:b/>
        <w:sz w:val="21"/>
        <w:szCs w:val="21"/>
      </w:rPr>
      <w:t>ELEKTROTECHNICKÁ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4053992</wp:posOffset>
          </wp:positionH>
          <wp:positionV relativeFrom="paragraph">
            <wp:posOffset>12252</wp:posOffset>
          </wp:positionV>
          <wp:extent cx="2066361" cy="1007303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6361" cy="10073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107" w:rsidRDefault="005121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ntarell" w:eastAsia="Cantarell" w:hAnsi="Cantarell" w:cs="Cantarell"/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3B4C"/>
    <w:multiLevelType w:val="multilevel"/>
    <w:tmpl w:val="4B44CE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F23754"/>
    <w:multiLevelType w:val="multilevel"/>
    <w:tmpl w:val="C1C05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31A37"/>
    <w:multiLevelType w:val="multilevel"/>
    <w:tmpl w:val="D33C2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F0CF6"/>
    <w:multiLevelType w:val="multilevel"/>
    <w:tmpl w:val="F7D09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67C43"/>
    <w:multiLevelType w:val="multilevel"/>
    <w:tmpl w:val="E626F9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41EE8"/>
    <w:multiLevelType w:val="multilevel"/>
    <w:tmpl w:val="BF90AD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DC17F1"/>
    <w:multiLevelType w:val="multilevel"/>
    <w:tmpl w:val="48CC1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5383E"/>
    <w:multiLevelType w:val="multilevel"/>
    <w:tmpl w:val="E7401F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266A0"/>
    <w:multiLevelType w:val="multilevel"/>
    <w:tmpl w:val="C096DB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6F0F2D"/>
    <w:multiLevelType w:val="multilevel"/>
    <w:tmpl w:val="CDBE7C6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43E4D01"/>
    <w:multiLevelType w:val="multilevel"/>
    <w:tmpl w:val="C7A6D3F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95FA2"/>
    <w:multiLevelType w:val="multilevel"/>
    <w:tmpl w:val="1B9690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07"/>
    <w:rsid w:val="00411A30"/>
    <w:rsid w:val="00512107"/>
    <w:rsid w:val="00D56D8F"/>
    <w:rsid w:val="00DE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1F16"/>
  <w15:docId w15:val="{7F3BBDAF-34B3-4AED-A6D1-BB04491F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pBdr>
        <w:top w:val="nil"/>
        <w:left w:val="nil"/>
        <w:bottom w:val="nil"/>
        <w:right w:val="nil"/>
        <w:between w:val="nil"/>
      </w:pBdr>
      <w:spacing w:before="240" w:after="120"/>
      <w:outlineLvl w:val="0"/>
    </w:pPr>
    <w:rPr>
      <w:rFonts w:ascii="Liberation Sans" w:eastAsia="Liberation Sans" w:hAnsi="Liberation Sans" w:cs="Liberation Sans"/>
      <w:b/>
      <w:color w:val="000000"/>
      <w:sz w:val="28"/>
      <w:szCs w:val="28"/>
    </w:rPr>
  </w:style>
  <w:style w:type="paragraph" w:styleId="Nadpis2">
    <w:name w:val="heading 2"/>
    <w:basedOn w:val="Normln"/>
    <w:next w:val="Normln"/>
    <w:pPr>
      <w:keepNext/>
      <w:pBdr>
        <w:top w:val="nil"/>
        <w:left w:val="nil"/>
        <w:bottom w:val="nil"/>
        <w:right w:val="nil"/>
        <w:between w:val="nil"/>
      </w:pBdr>
      <w:spacing w:before="200" w:after="120"/>
      <w:outlineLvl w:val="1"/>
    </w:pPr>
    <w:rPr>
      <w:rFonts w:ascii="Liberation Sans" w:eastAsia="Liberation Sans" w:hAnsi="Liberation Sans" w:cs="Liberation Sans"/>
      <w:b/>
      <w:color w:val="000000"/>
      <w:sz w:val="28"/>
      <w:szCs w:val="28"/>
    </w:rPr>
  </w:style>
  <w:style w:type="paragraph" w:styleId="Nadpis3">
    <w:name w:val="heading 3"/>
    <w:basedOn w:val="Normln"/>
    <w:next w:val="Normln"/>
    <w:pPr>
      <w:keepNext/>
      <w:pBdr>
        <w:top w:val="nil"/>
        <w:left w:val="nil"/>
        <w:bottom w:val="nil"/>
        <w:right w:val="nil"/>
        <w:between w:val="nil"/>
      </w:pBdr>
      <w:spacing w:before="140" w:after="120"/>
      <w:outlineLvl w:val="2"/>
    </w:pPr>
    <w:rPr>
      <w:rFonts w:ascii="Liberation Sans" w:eastAsia="Liberation Sans" w:hAnsi="Liberation Sans" w:cs="Liberation Sans"/>
      <w:b/>
      <w:color w:val="000000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Liberation Sans" w:eastAsia="Liberation Sans" w:hAnsi="Liberation Sans" w:cs="Liberation Sans"/>
      <w:b/>
      <w:color w:val="000000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11A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A30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411A30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411A30"/>
    <w:rPr>
      <w:rFonts w:asciiTheme="minorHAnsi" w:eastAsiaTheme="minorEastAsia" w:hAnsiTheme="minorHAns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9+5xzvoJ1NWgpgogk/DcbjVGfA==">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2612</Words>
  <Characters>15414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Koci</cp:lastModifiedBy>
  <cp:revision>4</cp:revision>
  <cp:lastPrinted>2021-09-29T07:04:00Z</cp:lastPrinted>
  <dcterms:created xsi:type="dcterms:W3CDTF">2021-09-29T07:02:00Z</dcterms:created>
  <dcterms:modified xsi:type="dcterms:W3CDTF">2021-09-29T07:14:00Z</dcterms:modified>
</cp:coreProperties>
</file>