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400"/>
        <w:gridCol w:w="500"/>
        <w:gridCol w:w="760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ČDT: 21/382/360</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smlouvy:</w:t>
            </w:r>
          </w:p>
        </w:tc>
        <w:tc>
          <w:tcPr>
     </w:tcPr>
          <w:p>
            <w:pPr>
              <w:pStyle w:val="EMPTY_CELL_STYLE"/>
            </w:pPr>
          </w:p>
        </w:tc>
      </w:tr>
      <w:tr>
        <w:trPr>
          <w:trHeight w:hRule="atLeast" w:val="1200"/>
        </w:trPr>
        <w:tc>
          <w:tcPr>
     </w:tcPr>
          <w:p>
            <w:pPr>
              <w:pStyle w:val="EMPTY_CELL_STYLE"/>
            </w:pPr>
          </w:p>
        </w:tc>
        <w:tc>
          <w:tcPr>
            <w:gridSpan w:val="4"/>
            <w:tcMar>
              <w:top w:w="0" w:type="dxa"/>
              <w:left w:w="0" w:type="dxa"/>
              <w:bottom w:w="0" w:type="dxa"/>
              <w:right w:w="0" w:type="dxa"/>
            </w:tcMar>
            <w:vAlign w:val="top"/>
          </w:tcPr>
          <w:p>
            <w:pPr>
              <w:pStyle w:val="Text_standard_kapitola"/>
              <w:ind/>
              <w:jc w:val="center"/>
            </w:pPr>
            <w:r>
              <w:rPr>
                <w:rFonts w:ascii="Times New Roman" w:hAnsi="Times New Roman" w:eastAsia="Times New Roman" w:cs="Times New Roman"/>
              </w:rPr>
              <w:t xml:space="preserve">Smlouva o zřízení věcného břemene (služebnosti inženýrské sítě)</w:t>
              <w:br/>
              <w:t xml:space="preserve">dle § 1267 a násl. občanského zákoníku.</w:t>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Správa železnic, státní organizace</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1, Nové Město, Dlážděná 1003/7, PSČ 110 00, </w:t>
              <w:br/>
              <w:t xml:space="preserve">zapsaná v OR vedeném Městským soudem v Praze, odd. A, vložka 48384, </w:t>
              <w:br/>
              <w:t xml:space="preserve">IČO: 709 94 234, DIČ: CZ 70994234</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Jakub Červenka, ředitel odboru prodeje a pronájmu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„SŽ“)</w:t>
            </w:r>
            <w:r>
              <w:rPr>
                <w:rFonts w:ascii="Times New Roman" w:hAnsi="Times New Roman" w:eastAsia="Times New Roman" w:cs="Times New Roman"/>
              </w:rPr>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ČD – Telematika a.s.</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3, Pernerova 2819/2a, PSČ 130 00</w:t>
              <w:br/>
              <w:t xml:space="preserve">zapsaná v OR vedeném Městským soudem v Praze, odd. B, vložka 8938</w:t>
              <w:br/>
              <w:t xml:space="preserve">IČO: 614 59 445, DIČ: CZ 61459445</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Mikuláš Labský, ředitel úseku Telekomunikační služby, na základě plné moci ze dne 13.4.2021, evid. č. 009/21/N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„ČDT“)</w:t>
            </w:r>
            <w:r>
              <w:rPr>
                <w:rFonts w:ascii="Times New Roman" w:hAnsi="Times New Roman" w:eastAsia="Times New Roman" w:cs="Times New Roman"/>
              </w:rPr>
              <w:br/>
            </w: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společně jen </w:t>
            </w:r>
            <w:r>
              <w:rPr>
                <w:rFonts w:ascii="Times New Roman" w:hAnsi="Times New Roman" w:eastAsia="Times New Roman" w:cs="Times New Roman"/>
                <w:b w:val="true"/>
                <w:i w:val="true"/>
              </w:rPr>
              <w:t xml:space="preserve">„Smluvní strany“</w:t>
            </w:r>
            <w:r>
              <w:rPr>
                <w:rFonts w:ascii="Times New Roman" w:hAnsi="Times New Roman" w:eastAsia="Times New Roman" w:cs="Times New Roman"/>
              </w:rPr>
              <w:t xml:space="preserve"> nebo samostatně jen </w:t>
            </w:r>
            <w:r>
              <w:rPr>
                <w:rFonts w:ascii="Times New Roman" w:hAnsi="Times New Roman" w:eastAsia="Times New Roman" w:cs="Times New Roman"/>
                <w:b w:val="true"/>
                <w:i w:val="true"/>
              </w:rPr>
              <w:t xml:space="preserve">„Smluvní strana“</w:t>
            </w:r>
            <w:r>
              <w:rPr>
                <w:rFonts w:ascii="Times New Roman" w:hAnsi="Times New Roman" w:eastAsia="Times New Roman" w:cs="Times New Roman"/>
              </w:rPr>
              <w:t xml:space="preserve">)</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_bold"/>
              <w:ind/>
              <w:jc w:val="left"/>
            </w:pPr>
            <w:r>
              <w:rPr>
                <w:rFonts w:ascii="Times New Roman" w:hAnsi="Times New Roman" w:eastAsia="Times New Roman" w:cs="Times New Roman"/>
              </w:rPr>
              <w:br/>
              <w:t xml:space="preserve">Preambule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jc w:val="both"/>
              <w:spacing w:lineRule="auto" w:line="240" w:after="0" w:before="0"/>
            </w:pPr>
            <w:r>
              <w:rPr>
                <w:rFonts w:ascii="Times New Roman" w:hAnsi="Times New Roman" w:eastAsia="Times New Roman" w:cs="Times New Roman"/>
              </w:rPr>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rFonts w:ascii="Times New Roman" w:hAnsi="Times New Roman" w:eastAsia="Times New Roman" w:cs="Times New Roman"/>
                <w:b w:val="true"/>
              </w:rPr>
              <w:t xml:space="preserve">ČD</w:t>
            </w:r>
            <w:r>
              <w:rPr>
                <w:rFonts w:ascii="Times New Roman" w:hAnsi="Times New Roman" w:eastAsia="Times New Roman" w:cs="Times New Roman"/>
              </w:rPr>
              <w:t xml:space="preserve">“) je akciovou společností založenou podle práva České republiky. Předmětem podnikání ČD je zejména provozování železniční dopravy.</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je akciovou společností založenou podle práva České republiky. Předmětem podnikání ČDT je především poskytování telekomunikačních služeb a ICT řešení. ČDT je právním nástupcem společnosti ČD - Telekomunikace, s. r. o.</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(C)</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jsou právními nástupci státní organizace České dráhy, přičemž k transformaci státní organizace České dráhy na ČD a SŽ došlo s účinností k 1. 1. 2003 na základě Zákona o ČD.</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Dne 30. 3. 1995 byly mezi Českými drahami, státní organizací, IČO: 481 18 664, se sídlem nábř. L. Svobody 1222, 110 15 Praha 1 a ČD – Telekomunikace, s.r.o., IČO: 614 59 445, se sídlem Praha 4, Jeremenkova 9, uzavřeny následující smlouvy:</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vybudování,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Pr>
          <w:p>
            <w:pPr>
              <w:pStyle w:val="EMPTY_CELL_STYLE"/>
            </w:pPr>
          </w:p>
        </w:tc>
      </w:tr>
      <w:tr>
        <w:trPr>
          <w:trHeight w:hRule="atLeas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provozování,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a Dodatkem č. 2, uzavřeným dne 30. 3. 1999.</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E)</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na straně jedné a ČDT na straně druhé jsou ke dni uzavření této Smlouvy nositeli práv a povinností z titulu Smlouvy o vybudování a z titulu Smlouvy o provozování.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F)</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a ČDT jsou ke dni uzavření této Smlouvy podílovými spoluvlastníky ŽVPS, když ČDT je podílovým spoluvlastníkem s podílem o velikosti 99/100 ŽVPS a stát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1</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je podílovým spoluvlastníkem s podílem o velikosti 1/100 ŽVPS. ŽVPS je vedeno mj. na pozemcích ve vlastnictví České republiky s právem hospodařit pro SŽ a pozemcích ve vlastnictví ČD.</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G)</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Pr>
          <w:p>
            <w:pPr>
              <w:pStyle w:val="EMPTY_CELL_STYLE"/>
            </w:pPr>
          </w:p>
        </w:tc>
      </w:tr>
      <w:tr>
        <w:trPr>
          <w:trHeight w:hRule="atLeast" w:val="1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I)</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gridSpan w:val="3"/>
            <w:tcMar>
              <w:top w:w="0" w:type="dxa"/>
              <w:left w:w="0" w:type="dxa"/>
              <w:bottom w:w="0" w:type="dxa"/>
              <w:right w:w="0" w:type="dxa"/>
            </w:tcMar>
            <w:vAlign w:val="top"/>
          </w:tcPr>
          <w:p>
            <w:pPr>
              <w:pStyle w:val="Text_standard_bold"/>
              <w:ind/>
              <w:jc w:val="both"/>
            </w:pPr>
            <w:r>
              <w:rPr>
                <w:rFonts w:ascii="Times New Roman" w:hAnsi="Times New Roman" w:eastAsia="Times New Roman" w:cs="Times New Roman"/>
              </w:rPr>
              <w:br/>
              <w:t xml:space="preserve">Smluvní strany v souladu s ustanovením § 1267 a násl. občanského zákoníku, uzavírají níže uvedeného dne, měsíce a roku tuto Smlouvu o zřízení služebnosti (dále jen „Smlouva“):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1</w:t>
              <w:br/>
              <w:t xml:space="preserve">Definice pojmů a výklad</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1.1</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této Smlouvě:</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má význam uvedený v článku 2.2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„Občanský zákoník“</w:t>
            </w:r>
            <w:r>
              <w:rPr>
                <w:rFonts w:ascii="Times New Roman" w:hAnsi="Times New Roman" w:eastAsia="Times New Roman" w:cs="Times New Roman"/>
              </w:rPr>
              <w:t xml:space="preserve"> znamená zákon č. 89/2012 Sb., občanský zákoník,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znamená spoluvlastníky ŽVPS, tj. Česká republika -SŽ a ČDT a každého dalšího vlastníka ŽVPS na Služebném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„Provozovatel dráhy“</w:t>
            </w:r>
            <w:r>
              <w:rPr>
                <w:rFonts w:ascii="Times New Roman" w:hAnsi="Times New Roman" w:eastAsia="Times New Roman" w:cs="Times New Roman"/>
              </w:rPr>
              <w:t xml:space="preserve"> znamená provozovatele dráhy, jejíž obvod nebo ochranné pásmo se nachází na Služebném pozemku (</w:t>
            </w:r>
            <w:r>
              <w:rPr>
                <w:rFonts w:ascii="Times New Roman" w:hAnsi="Times New Roman" w:eastAsia="Times New Roman" w:cs="Times New Roman"/>
                <w:i w:val="true"/>
              </w:rPr>
              <w:t xml:space="preserve">v konkrétní smlouvě může být doplněn konkrétní oblastní orgán SŽ, který má v pravomoci konkrétní trať</w:t>
            </w:r>
            <w:r>
              <w:rPr>
                <w:rFonts w:ascii="Times New Roman" w:hAnsi="Times New Roman" w:eastAsia="Times New Roman" w:cs="Times New Roman"/>
              </w:rPr>
              <w:t xml:space="preserv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 má význam uvedený v článku 2.1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 znamená služebnost inženýrské sítě, která je zřízena touto Smlouvou ke Služebnému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provozování“</w:t>
            </w:r>
            <w:r>
              <w:rPr>
                <w:rFonts w:ascii="Times New Roman" w:hAnsi="Times New Roman" w:eastAsia="Times New Roman" w:cs="Times New Roman"/>
              </w:rPr>
              <w:t xml:space="preserve"> má význam uvedený v Preambuli (D) písm. b);</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vybudování“</w:t>
            </w:r>
            <w:r>
              <w:rPr>
                <w:rFonts w:ascii="Times New Roman" w:hAnsi="Times New Roman" w:eastAsia="Times New Roman" w:cs="Times New Roman"/>
              </w:rPr>
              <w:t xml:space="preserve"> má význam uvedený v Preambuli (D) písm. 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„Vlastník služebného pozemku“</w:t>
            </w:r>
            <w:r>
              <w:rPr>
                <w:rFonts w:ascii="Times New Roman" w:hAnsi="Times New Roman" w:eastAsia="Times New Roman" w:cs="Times New Roman"/>
              </w:rPr>
              <w:t xml:space="preserve"> znamená stát Česká republika – SŽ a všechny další vlastníky Služebného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ČD“</w:t>
            </w:r>
            <w:r>
              <w:rPr>
                <w:rFonts w:ascii="Times New Roman" w:hAnsi="Times New Roman" w:eastAsia="Times New Roman" w:cs="Times New Roman"/>
              </w:rP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drahách“</w:t>
            </w:r>
            <w:r>
              <w:rPr>
                <w:rFonts w:ascii="Times New Roman" w:hAnsi="Times New Roman" w:eastAsia="Times New Roman" w:cs="Times New Roman"/>
              </w:rPr>
              <w:t xml:space="preserve"> znamená zákon č. 266/1994 Sb., o drahách, ve znění pozdějších předpisů; </w:t>
            </w: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2</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elektronických komunikacích“</w:t>
            </w:r>
            <w:r>
              <w:rPr>
                <w:rFonts w:ascii="Times New Roman" w:hAnsi="Times New Roman" w:eastAsia="Times New Roman" w:cs="Times New Roman"/>
              </w:rPr>
              <w:t xml:space="preserve"> znamená zákon č. 127/2005 Sb., o elektronických komunikacích a o změně některých souvisejících zákonů,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„ŽVPS“</w:t>
            </w:r>
            <w:r>
              <w:rPr>
                <w:rFonts w:ascii="Times New Roman" w:hAnsi="Times New Roman" w:eastAsia="Times New Roman" w:cs="Times New Roman"/>
              </w:rPr>
              <w:t xml:space="preserve"> se rozumí železniční vysokokapacitní přenosová telekomunikační síť specifikovaná zejména ve Smlouvě o vybudování a Smlouvě o provozování, která je inženýrskou sítí.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1.2</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Odkazuje-li Smlouva na určitý právní předpis, zahrnuje takový odkaz i právní předpis, který ho nahradí.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2</w:t>
              <w:br/>
              <w:t xml:space="preserve">Úvodní ustanovení a předmět Smlouvy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má na základě Zákona o ČD právo hospodařit s majetkem státu Česká republika – služebnými pozemky uvedených v příloze č. 1 této Smlouvy zapsaných v katastru nemovitostí vedeném Katastrálním úřadem pro Ústecký kraj, Katastrální pracoviště Ústí nad Labem (dále společně jen „</w:t>
            </w: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 vyznačení Služebnosti na části Služebného pozemku byl vypracován: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1851-210504/2021 potvrzený Katastrálním úřadem, kdy tento souhlas vydal dne 30.03.2021 pod čj. PGP 274/2021-510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538-504/2021 potvrzený Katastrálním úřadem, kdy tento souhlas vydal dne 12.04.2021 pod čj. PGP 300/2021-510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948-210504/2021 potvrzený Katastrálním úřadem, kdy tento souhlas vydal dne 01.04.2021 pod čj. PGP 279/2021-510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946-210504/2021 potvrzený Katastrálním úřadem, kdy tento souhlas vydal dne 01.04.2021 pod čj. PGP 290/2021-510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2736-210504/2021 potvrzený Katastrálním úřadem, kdy tento souhlas vydal dne 09.04.2021 pod čj. PGP 310/2021-510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909-504/2021 potvrzený Katastrálním úřadem, kdy tento souhlas vydal dne 07.04.2021 pod čj. PGP 294/2021-510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5497-210504/2021 potvrzený Katastrálním úřadem, kdy tento souhlas vydal dne 01.04.2021 pod čj. PGP 288/2021-510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5498-210504/2021 potvrzený Katastrálním úřadem, kdy tento souhlas vydal dne 09.04.2021 pod čj. PGP 309/2021-510</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Geometrické plány tvoří přílohu č. 2 až 9 této Smlouvy a její nedílnou součást.</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Služebném pozemku je umístěna a provozována inženýrská síť ŽVPS, která je ve spoluvlastnictví ČDT z 99/100 a státu Česká republika s právem hospodařit s majetkem státu pro SŽ z 1/100.</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2.5</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w:t>
            </w:r>
          </w:p>
        </w:tc>
        <w:tc>
          <w:tcPr>
     </w:tcPr>
          <w:p>
            <w:pPr>
              <w:pStyle w:val="EMPTY_CELL_STYLE"/>
            </w:pPr>
          </w:p>
        </w:tc>
      </w:tr>
      <w:tr>
        <w:trPr>
          <w:trHeight w:hRule="atLeast" w:val="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3</w:t>
            </w:r>
          </w:p>
        </w:tc>
        <w:tc>
          <w:tcPr>
     </w:tcPr>
          <w:p>
            <w:pPr>
              <w:pStyle w:val="EMPTY_CELL_STYLE"/>
            </w:pPr>
          </w:p>
        </w:tc>
      </w:tr>
    </w:tbl>
    <w:tbl>
      <w:tblPr>
        <w:tblLayout w:type="fixed"/>
      </w:tblPr>
      <w:tblGrid>
        <w:gridCol w:w="1"/>
        <w:gridCol w:w="600"/>
        <w:gridCol w:w="380"/>
        <w:gridCol w:w="20"/>
        <w:gridCol w:w="400"/>
        <w:gridCol w:w="768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ustanovení zákona o elektronických komunikacích, a to s ohledem na specifika případu, zejména na skutečnost, že ŽVPS je vedeno v obvodu železniční dráhy a částečně slouží k provozování drah a drážní dopravě na dráhách.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3</w:t>
              <w:br/>
              <w:t xml:space="preserve">Zřízení Služebnosti </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3.1</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zřizuje touto Smlouvou ve prospěch ČDT a státu Česká republika - SŽ a každého dalšího vlastníka ŽVPS (dále jen „</w:t>
            </w: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na Služebném pozemku služebnost inženýrské sítě pro zřízení, provozování a udržování ŽVPS, a to v rozsahu stanoveném Geometrickým plánem (dále jen „</w:t>
            </w: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3.2</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se zřizuje na dobu neurčitou. Služebnost nelze jednostranně vypovědět.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a stát Česká republika - SŽ práva zahrnující Služebnost přijímají a SŽ na sebe bere povinnost tato práva strpět.</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4</w:t>
              <w:br/>
              <w:t xml:space="preserve">Obsah Služebnosti a práva a povinnosti spojená se Služebností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Obsahem Služebnosti je právo:</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zřídit, provozovat a udržovat na Služebném pozemku podzemní komunikační vedení ŽVPS, jakož i právo provádět na ŽVPS úpravy za účelem její modernizace nebo zlepšení její výkonnosti,</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základě prokazatelného oznámení Vlastníkovi služebného pozemku v nezbytném rozsahu:</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vstupovat a vjíždět na Služebný pozemek v souvislosti s přípravou projektové dokumentace, umístěním, provozováním, opravami a údržbou ŽVPS a </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provádět nezbytné úpravy půdy a jejího porostu, zvláště odstraňovat a oklešťovat stromoví překážející ŽVPS.</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4.2</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4.4</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Pr>
          <w:p>
            <w:pPr>
              <w:pStyle w:val="EMPTY_CELL_STYLE"/>
            </w:pPr>
          </w:p>
        </w:tc>
      </w:tr>
      <w:tr>
        <w:trPr>
          <w:trHeight w:hRule="atLeast" w:val="1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4.5</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se zavazují udržovat ŽVPS v řádném technickém stavu, aby nedošlo k ohrožení života, zdraví nebo majetku osob, ani k ohrožení bezpečnosti a plynulosti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4</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drážního provozu.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Pr>
          <w:p>
            <w:pPr>
              <w:pStyle w:val="EMPTY_CELL_STYLE"/>
            </w:pPr>
          </w:p>
        </w:tc>
      </w:tr>
      <w:tr>
        <w:trPr>
          <w:trHeight w:hRule="atLeast" w:val="17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4.7</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Pr>
          <w:p>
            <w:pPr>
              <w:pStyle w:val="EMPTY_CELL_STYLE"/>
            </w:pPr>
          </w:p>
        </w:tc>
      </w:tr>
      <w:tr>
        <w:trPr>
          <w:trHeight w:hRule="atLeast" w:val="1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Pr>
          <w:p>
            <w:pPr>
              <w:pStyle w:val="EMPTY_CELL_STYLE"/>
            </w:pPr>
          </w:p>
        </w:tc>
      </w:tr>
      <w:tr>
        <w:trPr>
          <w:trHeight w:hRule="atLeast" w:val="22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co nejvíce šetřit práva Osob oprávněných ze služebnosti.</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5</w:t>
              <w:br/>
              <w:t xml:space="preserve">Vztah Služebnosti a provozování železniční infrastruktury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berou na vědomí skutečnost, že ŽVPS je vedeno v obvodu dráhy případně ochranném pásmu dráhy a zavazují se dodržovat omezení z toho vyplývající ve smyslu zákona o dráhách.</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w:t>
            </w:r>
          </w:p>
        </w:tc>
        <w:tc>
          <w:tcPr>
     </w:tcPr>
          <w:p>
            <w:pPr>
              <w:pStyle w:val="EMPTY_CELL_STYLE"/>
            </w:pPr>
          </w:p>
        </w:tc>
      </w:tr>
      <w:tr>
        <w:trPr>
          <w:trHeight w:hRule="atLeast" w:val="15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5</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stavbu, rekonstrukci či opravu a Služebný pozemek možné a se zřízením vedení také zřídit na vlastní náklad novou služebnost na nové technické řešení.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Pr>
          <w:p>
            <w:pPr>
              <w:pStyle w:val="EMPTY_CELL_STYLE"/>
            </w:pPr>
          </w:p>
        </w:tc>
      </w:tr>
      <w:tr>
        <w:trPr>
          <w:trHeight w:hRule="atLeast" w:val="17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rFonts w:ascii="Times New Roman" w:hAnsi="Times New Roman" w:eastAsia="Times New Roman" w:cs="Times New Roman"/>
                <w:b w:val="true"/>
              </w:rPr>
              <w:t xml:space="preserve">Porucha ŽVPS</w:t>
            </w:r>
            <w:r>
              <w:rPr>
                <w:rFonts w:ascii="Times New Roman" w:hAnsi="Times New Roman" w:eastAsia="Times New Roman" w:cs="Times New Roman"/>
              </w:rP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Pr>
          <w:p>
            <w:pPr>
              <w:pStyle w:val="EMPTY_CELL_STYLE"/>
            </w:pPr>
          </w:p>
        </w:tc>
      </w:tr>
      <w:tr>
        <w:trPr>
          <w:trHeight w:hRule="atLeast" w:val="52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6</w:t>
              <w:br/>
              <w:t xml:space="preserve">Úplata za zřízení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se zavazuje zaplatit SŽ za zřízení Služebnosti (v souvislosti s 99/100 podílem na ŽVPS) dle této Smlouvy jednorázovou úplatu ve výši 1 326 760,33 Kč + DPH v zákonem stanovené sazbě, která je splatná do 15 dnů ode dne uzavření této Smlouvy.</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Úplata za zřízení Služebnosti dle článku 6.1 a 6.2 Smlouvy ve prospěch Osob oprávněných ze služebnosti (tj. současných i budoucích (spolu)vlastníků ŽVPS) je sjednána jako jednorázová a konečná.</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88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6</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7</w:t>
              <w:br/>
              <w:t xml:space="preserve">Přechod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Oprávnění ze Služebnosti dle této Smlouvy přecházejí na právní nástupce spoluvlastníků ŽVPS a rovněž na další vlastníky či nabyvatele ŽVPS, nebo příslušné části ŽVPS umístěné na Služebném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8</w:t>
              <w:br/>
              <w:t xml:space="preserve">Oznamování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Není-li výslovně stanoveno jinak, jakékoli oznámení, žádost či jiné sdělení podle této Smlouvy nebo v souvislosti s ním (dále jen „</w:t>
            </w:r>
            <w:r>
              <w:rPr>
                <w:rFonts w:ascii="Times New Roman" w:hAnsi="Times New Roman" w:eastAsia="Times New Roman" w:cs="Times New Roman"/>
                <w:b w:val="true"/>
              </w:rPr>
              <w:t xml:space="preserve">Oznámení</w:t>
            </w:r>
            <w:r>
              <w:rPr>
                <w:rFonts w:ascii="Times New Roman" w:hAnsi="Times New Roman" w:eastAsia="Times New Roman" w:cs="Times New Roman"/>
              </w:rPr>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Pr>
          <w:p>
            <w:pPr>
              <w:pStyle w:val="EMPTY_CELL_STYLE"/>
            </w:pPr>
          </w:p>
        </w:tc>
      </w:tr>
      <w:tr>
        <w:trPr>
          <w:trHeight w:hRule="atLeast" w:val="2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2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9</w:t>
              <w:br/>
              <w:t xml:space="preserve">Závěrečné ustanovení</w:t>
              <w:br/>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Všechny právní vztahy vyplývající z této Smlouvy se řídí právním řádem České republiky. Veškeré spory z této Smlouvy budou řešeny před věcně a místně příslušným soudem České </w:t>
            </w:r>
          </w:p>
        </w:tc>
        <w:tc>
          <w:tcPr>
     </w:tcPr>
          <w:p>
            <w:pPr>
              <w:pStyle w:val="EMPTY_CELL_STYLE"/>
            </w:pPr>
          </w:p>
        </w:tc>
      </w:tr>
      <w:tr>
        <w:trPr>
          <w:trHeight w:hRule="atLeast" w:val="2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7</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republiky.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rFonts w:ascii="Times New Roman" w:hAnsi="Times New Roman" w:eastAsia="Times New Roman" w:cs="Times New Roman"/>
                <w:b w:val="true"/>
              </w:rPr>
              <w:t xml:space="preserve">ZRS</w:t>
            </w:r>
            <w:r>
              <w:rPr>
                <w:rFonts w:ascii="Times New Roman" w:hAnsi="Times New Roman" w:eastAsia="Times New Roman" w:cs="Times New Roman"/>
              </w:rPr>
              <w:t xml:space="preserve">“), a současně souhlasí se zveřejněním údajů o identifikaci smluvních stran a datu uzavření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rFonts w:ascii="Times New Roman" w:hAnsi="Times New Roman" w:eastAsia="Times New Roman" w:cs="Times New Roman"/>
                <w:b w:val="true"/>
              </w:rPr>
              <w:t xml:space="preserve">obchodní tajemství</w:t>
            </w:r>
            <w:r>
              <w:rPr>
                <w:rFonts w:ascii="Times New Roman" w:hAnsi="Times New Roman" w:eastAsia="Times New Roman" w:cs="Times New Roman"/>
              </w:rPr>
              <w:t xml:space="preserve">“), a že se nejedná ani o informace, které nemohou být v registru smluv uveřejněny na základě ustanovení § 3 odst. 1 ZRS.</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9.7</w:t>
            </w:r>
          </w:p>
        </w:tc>
        <w:tc>
          <w:tcPr>
            <w:vMerge w:val="restart"/>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Pr>
          <w:p>
            <w:pPr>
              <w:pStyle w:val="EMPTY_CELL_STYLE"/>
            </w:pPr>
          </w:p>
        </w:tc>
      </w:tr>
      <w:tr>
        <w:trPr>
          <w:trHeight w:hRule="atLeast" w:val="3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nabývá platnosti okamžikem podpisu poslední ze Smluvních stran. Je-li Smlouva uveřejňována v registru smluv, nabývá účinnosti dnem uveřejnění v registru smluv, jinak je účinná od okamžiku uzavření.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tímto prohlašují, že Smlouva je výrazem jejich pravé a svobodné vůle, na důkaz čehož ji níže potvrzují svými podpisy.</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 Seznam dotčených pozemků v jednotlivých katastrálních územích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2 Geometrický plán č. 1851-210504/2021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3 Geometrický plán č. 538-504/2021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4 Geometrický plán č. 948-210504/2021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5 Geometrický plán č. 946-210504/2021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6 Geometrický plán č. 2736-210504/2021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7 Geometrický plán č. 909-504/2021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8 Geometrický plán č. 5497-210504/2021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9 Geometrický plán č. 5498-210504/2021</w:t>
            </w: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8</w:t>
            </w:r>
          </w:p>
        </w:tc>
        <w:tc>
          <w:tcPr>
     </w:tcPr>
          <w:p>
            <w:pPr>
              <w:pStyle w:val="EMPTY_CELL_STYLE"/>
            </w:pPr>
          </w:p>
        </w:tc>
      </w:tr>
    </w:tbl>
    <w:tbl>
      <w:tblPr>
        <w:tblLayout w:type="fixed"/>
      </w:tblPr>
      <w:tblGrid>
        <w:gridCol w:w="1"/>
        <w:gridCol w:w="4540"/>
        <w:gridCol w:w="45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10 Plná moc Ing. Mikuláš Labský evid. číslo 009/21/N</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Správa železnic, státní organizace</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Jakub Červenka</w:t>
              <w:br/>
              <w:t xml:space="preserve">ředitel odboru prodeje a pronájmu</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ČD – Telematika a.s.</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na základě plné moci</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Mikuláš Labský</w:t>
              <w:br/>
              <w:t xml:space="preserve">ředitel úseku Telekomunikační služby</w:t>
            </w:r>
          </w:p>
        </w:tc>
        <w:tc>
          <w:tcPr>
     </w:tcPr>
          <w:p>
            <w:pPr>
              <w:pStyle w:val="EMPTY_CELL_STYLE"/>
            </w:pPr>
          </w:p>
        </w:tc>
        <w:tc>
          <w:tcPr>
     </w:tcPr>
          <w:p>
            <w:pPr>
              <w:pStyle w:val="EMPTY_CELL_STYLE"/>
            </w:pPr>
          </w:p>
        </w:tc>
      </w:tr>
      <w:tr>
        <w:trPr>
          <w:trHeight w:hRule="exact" w:val="8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9</w:t>
            </w:r>
          </w:p>
        </w:tc>
        <w:tc>
          <w:tcPr>
     </w:tcPr>
          <w:p>
            <w:pPr>
              <w:pStyle w:val="EMPTY_CELL_STYLE"/>
            </w:pPr>
          </w:p>
        </w:tc>
      </w:tr>
    </w:tbl>
    <w:sectPr>
      <w:pgSz w:w="11900" w:h="16840" w:orient="portrait"/>
      <w:pgMar w:top="1000" w:right="1400" w:bottom="640" w:left="1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ext_basic">
    <w:name w:val="Text_basic"/>
    <w:qFormat/>
    <w:pPr>
      <w:ind/>
      <w:spacing w:lineRule="auto" w:line="240" w:after="0" w:before="0"/>
    </w:pPr>
    <w:rPr>
      <w:rFonts w:ascii="Times New Roman" w:hAnsi="Times New Roman" w:eastAsia="Times New Roman" w:cs="Times New Roman"/>
      <w:color w:val="000000"/>
      <w:sz w:val="22"/>
    </w:rPr>
  </w:style>
  <w:style w:type="paragraph" w:styleId="Text_standard">
    <w:name w:val="Text_standard"/>
    <w:qFormat/>
    <w:basedOn w:val="Text_basic"/>
    <w:pPr>
      <w:ind/>
      <w:jc w:val="left"/>
    </w:pPr>
    <w:rPr>
      <w:rFonts w:ascii="Times New Roman" w:hAnsi="Times New Roman" w:eastAsia="Times New Roman" w:cs="Times New Roman"/>
    </w:rPr>
  </w:style>
  <w:style w:type="paragraph" w:styleId="Text_standard_bold">
    <w:name w:val="Text_standard_bold"/>
    <w:qFormat/>
    <w:basedOn w:val="Text_standard"/>
    <w:pPr>
      <w:ind/>
      <w:jc w:val="left"/>
    </w:pPr>
    <w:rPr>
      <w:rFonts w:ascii="Times New Roman" w:hAnsi="Times New Roman" w:eastAsia="Times New Roman" w:cs="Times New Roman"/>
      <w:b w:val="true"/>
    </w:rPr>
  </w:style>
  <w:style w:type="paragraph" w:styleId="Text_standard_kapitola">
    <w:name w:val="Text_standard_kapitola"/>
    <w:qFormat/>
    <w:basedOn w:val="Text_basic"/>
    <w:pPr>
      <w:ind/>
      <w:jc w:val="center"/>
      <w:spacing w:lineRule="auto" w:line="240" w:after="0" w:before="280"/>
    </w:pPr>
    <w:rPr>
      <w:rFonts w:ascii="Times New Roman" w:hAnsi="Times New Roman" w:eastAsia="Times New Roman" w:cs="Times New Roman"/>
      <w:b w:val="true"/>
    </w:rPr>
  </w:style>
  <w:style w:type="paragraph" w:styleId="Text_strankovani">
    <w:name w:val="Text_strankovani"/>
    <w:qFormat/>
    <w:basedOn w:val="Text_basic"/>
    <w:pPr>
      <w:ind/>
      <w:jc w:val="center"/>
    </w:pPr>
    <w:rPr>
      <w:rFonts w:ascii="Times New Roman" w:hAnsi="Times New Roman" w:eastAsia="Times New Roman" w:cs="Times New Roman"/>
    </w:rPr>
  </w:style>
  <w:style w:type="paragraph" w:styleId="Text_zahlavi">
    <w:name w:val="Text_zahlavi"/>
    <w:qFormat/>
    <w:basedOn w:val="Text_basic"/>
    <w:pPr>
      <w:ind/>
      <w:jc w:val="left"/>
    </w:pPr>
    <w:rPr>
      <w:rFonts w:ascii="Times New Roman" w:hAnsi="Times New Roman" w:eastAsia="Times New Roman" w:cs="Times New Roman"/>
    </w:rPr>
  </w:style>
  <w:style w:type="paragraph" w:styleId="Text_standard_odstavec0">
    <w:name w:val="Text_standard_odstavec0"/>
    <w:qFormat/>
    <w:basedOn w:val="Text_basic"/>
    <w:pPr>
      <w:ind/>
      <w:jc w:val="both"/>
    </w:pPr>
    <w:rPr>
      <w:rFonts w:ascii="Times New Roman" w:hAnsi="Times New Roman" w:eastAsia="Times New Roman" w:cs="Times New Roman"/>
    </w:rPr>
  </w:style>
  <w:style w:type="paragraph" w:styleId="Crosstab_CH">
    <w:name w:val="Crosstab_CH"/>
    <w:qFormat/>
    <w:pPr>
      <w:ind/>
    </w:pPr>
    <w:rPr>
      <w:rFonts w:ascii="SansSerif" w:hAnsi="SansSerif" w:eastAsia="SansSerif" w:cs="SansSerif"/>
      <w:color w:val="000000"/>
      <w:sz w:val="20"/>
    </w:rPr>
  </w:style>
  <w:style w:type="paragraph" w:styleId="Crosstab_CG">
    <w:name w:val="Crosstab_CG"/>
    <w:qFormat/>
    <w:pPr>
      <w:ind/>
    </w:pPr>
    <w:rPr>
      <w:rFonts w:ascii="SansSerif" w:hAnsi="SansSerif" w:eastAsia="SansSerif" w:cs="SansSerif"/>
      <w:color w:val="000000"/>
      <w:sz w:val="20"/>
    </w:rPr>
  </w:style>
  <w:style w:type="paragraph" w:styleId="Crosstab_CT">
    <w:name w:val="Crosstab_CT"/>
    <w:qFormat/>
    <w:pPr>
      <w:ind/>
    </w:pPr>
    <w:rPr>
      <w:rFonts w:ascii="SansSerif" w:hAnsi="SansSerif" w:eastAsia="SansSerif" w:cs="SansSerif"/>
      <w:color w:val="000000"/>
      <w:sz w:val="20"/>
    </w:rPr>
  </w:style>
  <w:style w:type="paragraph" w:styleId="Crosstab_CD">
    <w:name w:val="Crosstab_C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6.14.0-2ab0d8625be255bf609c78e1181801213e51db8f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