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Illllllllllllllllllllllll</w:t>
      </w:r>
      <w:bookmarkEnd w:id="0"/>
    </w:p>
    <w:p>
      <w:pPr>
        <w:pStyle w:val="Style7"/>
        <w:keepNext w:val="0"/>
        <w:keepLines w:val="0"/>
        <w:widowControl w:val="0"/>
        <w:shd w:val="clear" w:color="auto" w:fill="auto"/>
        <w:bidi w:val="0"/>
        <w:spacing w:before="0" w:after="520" w:line="240" w:lineRule="auto"/>
        <w:ind w:left="0" w:right="0" w:firstLine="0"/>
        <w:jc w:val="center"/>
      </w:pPr>
      <w:r>
        <w:rPr>
          <w:rStyle w:val="CharStyle8"/>
          <w:b/>
          <w:bCs/>
        </w:rPr>
        <w:t>2021006223</w:t>
      </w:r>
    </w:p>
    <w:p>
      <w:pPr>
        <w:pStyle w:val="Style10"/>
        <w:keepNext w:val="0"/>
        <w:keepLines w:val="0"/>
        <w:widowControl w:val="0"/>
        <w:shd w:val="clear" w:color="auto" w:fill="auto"/>
        <w:bidi w:val="0"/>
        <w:spacing w:before="0" w:line="240" w:lineRule="auto"/>
        <w:ind w:left="0" w:right="0" w:firstLine="0"/>
        <w:jc w:val="center"/>
      </w:pPr>
      <w:r>
        <w:rPr>
          <w:rStyle w:val="CharStyle11"/>
          <w:b/>
          <w:bCs/>
        </w:rPr>
        <w:t>KUPNÍ SMLOUVA</w:t>
      </w:r>
    </w:p>
    <w:p>
      <w:pPr>
        <w:pStyle w:val="Style12"/>
        <w:keepNext/>
        <w:keepLines/>
        <w:widowControl w:val="0"/>
        <w:shd w:val="clear" w:color="auto" w:fill="auto"/>
        <w:bidi w:val="0"/>
        <w:spacing w:before="0" w:line="240" w:lineRule="auto"/>
        <w:ind w:left="0" w:right="0" w:firstLine="0"/>
        <w:jc w:val="center"/>
      </w:pPr>
      <w:bookmarkStart w:id="2" w:name="bookmark2"/>
      <w:r>
        <w:rPr>
          <w:rStyle w:val="CharStyle13"/>
        </w:rPr>
        <w:t>uzavřená v souladu s ustanovením § 2079 a násl. zákona č. 89/2012 Sb., občanský zákoník,</w:t>
        <w:br/>
        <w:t>mezi níže uvedenými smluvními stranami</w:t>
      </w:r>
      <w:bookmarkEnd w:id="2"/>
    </w:p>
    <w:tbl>
      <w:tblPr>
        <w:tblOverlap w:val="never"/>
        <w:jc w:val="center"/>
        <w:tblLayout w:type="fixed"/>
      </w:tblPr>
      <w:tblGrid>
        <w:gridCol w:w="3110"/>
        <w:gridCol w:w="5702"/>
      </w:tblGrid>
      <w:tr>
        <w:trPr>
          <w:trHeight w:val="53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Jméno:</w:t>
            </w:r>
          </w:p>
        </w:tc>
        <w:tc>
          <w:tcPr>
            <w:tcBorders/>
            <w:shd w:val="clear" w:color="auto" w:fill="auto"/>
            <w:vAlign w:val="top"/>
          </w:tcPr>
          <w:p>
            <w:pPr>
              <w:pStyle w:val="Style14"/>
              <w:keepNext w:val="0"/>
              <w:keepLines w:val="0"/>
              <w:widowControl w:val="0"/>
              <w:shd w:val="clear" w:color="auto" w:fill="auto"/>
              <w:bidi w:val="0"/>
              <w:spacing w:before="0" w:after="0" w:line="271" w:lineRule="auto"/>
              <w:ind w:left="440" w:right="0" w:firstLine="20"/>
              <w:jc w:val="left"/>
            </w:pPr>
            <w:r>
              <w:rPr>
                <w:rStyle w:val="CharStyle15"/>
                <w:b/>
                <w:bCs/>
              </w:rPr>
              <w:t>Zdravotnická záchranná služba Jihomoravského kraje, příspěvková organizace</w:t>
            </w:r>
          </w:p>
        </w:tc>
      </w:tr>
      <w:tr>
        <w:trPr>
          <w:trHeight w:val="24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rPr>
              <w:t>Kamenice 798/1 d, 625 00 Brno</w:t>
            </w:r>
          </w:p>
        </w:tc>
      </w:tr>
      <w:tr>
        <w:trPr>
          <w:trHeight w:val="26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MUDr. Hana Albrechtová, ředitelka</w:t>
            </w:r>
          </w:p>
        </w:tc>
      </w:tr>
      <w:tr>
        <w:trPr>
          <w:trHeight w:val="528"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Kontaktní osoba:</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spacing w:val="9"/>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
                <w:shd w:val="clear" w:color="auto" w:fill="000000"/>
              </w:rPr>
              <w:t>......</w:t>
            </w:r>
          </w:p>
          <w:p>
            <w:pPr>
              <w:pStyle w:val="Style14"/>
              <w:keepNext w:val="0"/>
              <w:keepLines w:val="0"/>
              <w:widowControl w:val="0"/>
              <w:shd w:val="clear" w:color="auto" w:fill="auto"/>
              <w:bidi w:val="0"/>
              <w:spacing w:before="0" w:after="0" w:line="240" w:lineRule="auto"/>
              <w:ind w:left="0" w:right="0" w:firstLine="440"/>
              <w:jc w:val="left"/>
            </w:pP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u w:val="single"/>
                <w:shd w:val="clear" w:color="auto" w:fill="000000"/>
                <w:lang w:val="en-US" w:eastAsia="en-US" w:bidi="en-US"/>
              </w:rPr>
              <w:t>​.......</w:t>
            </w:r>
            <w:r>
              <w:rPr>
                <w:rStyle w:val="CharStyle15"/>
                <w:spacing w:val="1"/>
                <w:u w:val="single"/>
                <w:shd w:val="clear" w:color="auto" w:fill="000000"/>
                <w:lang w:val="en-US" w:eastAsia="en-US" w:bidi="en-US"/>
              </w:rPr>
              <w:t>.......................</w:t>
            </w:r>
            <w:r>
              <w:rPr>
                <w:rStyle w:val="CharStyle15"/>
                <w:shd w:val="clear" w:color="auto" w:fill="000000"/>
                <w:lang w:val="en-US" w:eastAsia="en-US" w:bidi="en-US"/>
              </w:rPr>
              <w:t>..</w:t>
            </w:r>
            <w:r>
              <w:rPr>
                <w:rStyle w:val="CharStyle15"/>
                <w:shd w:val="clear" w:color="auto" w:fill="000000"/>
              </w:rPr>
              <w:t>​</w:t>
            </w:r>
            <w:r>
              <w:rPr>
                <w:rStyle w:val="CharStyle15"/>
                <w:spacing w:val="7"/>
                <w:shd w:val="clear" w:color="auto" w:fill="000000"/>
              </w:rPr>
              <w:t>.....</w:t>
            </w:r>
            <w:r>
              <w:rPr>
                <w:rStyle w:val="CharStyle15"/>
                <w:spacing w:val="8"/>
                <w:shd w:val="clear" w:color="auto" w:fill="000000"/>
              </w:rPr>
              <w:t>.</w:t>
            </w:r>
            <w:r>
              <w:rPr>
                <w:rStyle w:val="CharStyle15"/>
                <w:shd w:val="clear" w:color="auto" w:fill="000000"/>
              </w:rPr>
              <w:t>​</w:t>
            </w:r>
            <w:r>
              <w:rPr>
                <w:rStyle w:val="CharStyle15"/>
                <w:spacing w:val="8"/>
                <w:shd w:val="clear" w:color="auto" w:fill="000000"/>
              </w:rPr>
              <w:t>.</w:t>
            </w:r>
            <w:r>
              <w:rPr>
                <w:rStyle w:val="CharStyle15"/>
                <w:spacing w:val="9"/>
                <w:shd w:val="clear" w:color="auto" w:fill="000000"/>
              </w:rPr>
              <w:t>.....</w:t>
            </w:r>
            <w:r>
              <w:rPr>
                <w:rStyle w:val="CharStyle15"/>
                <w:shd w:val="clear" w:color="auto" w:fill="000000"/>
              </w:rPr>
              <w:t>​</w:t>
            </w:r>
            <w:r>
              <w:rPr>
                <w:rStyle w:val="CharStyle15"/>
                <w:spacing w:val="6"/>
                <w:shd w:val="clear" w:color="auto" w:fill="000000"/>
              </w:rPr>
              <w:t>....</w:t>
            </w:r>
            <w:r>
              <w:rPr>
                <w:rStyle w:val="CharStyle15"/>
                <w:spacing w:val="7"/>
                <w:shd w:val="clear" w:color="auto" w:fill="000000"/>
              </w:rPr>
              <w:t>..</w:t>
            </w:r>
            <w:r>
              <w:rPr>
                <w:rStyle w:val="CharStyle15"/>
                <w:shd w:val="clear" w:color="auto" w:fill="000000"/>
              </w:rPr>
              <w:t>​</w:t>
            </w:r>
            <w:r>
              <w:rPr>
                <w:rStyle w:val="CharStyle15"/>
                <w:spacing w:val="10"/>
                <w:shd w:val="clear" w:color="auto" w:fill="000000"/>
              </w:rPr>
              <w:t>..</w:t>
            </w:r>
            <w:r>
              <w:rPr>
                <w:rStyle w:val="CharStyle15"/>
                <w:spacing w:val="11"/>
                <w:shd w:val="clear" w:color="auto" w:fill="000000"/>
              </w:rPr>
              <w:t>...</w:t>
            </w:r>
          </w:p>
        </w:tc>
      </w:tr>
      <w:tr>
        <w:trPr>
          <w:trHeight w:val="25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IČO:</w:t>
            </w:r>
          </w:p>
        </w:tc>
        <w:tc>
          <w:tcPr>
            <w:tcBorders>
              <w:top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rPr>
              <w:t>00346292</w:t>
            </w:r>
          </w:p>
        </w:tc>
      </w:tr>
      <w:tr>
        <w:trPr>
          <w:trHeight w:val="26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rPr>
              <w:t>CZ00346292</w:t>
            </w:r>
          </w:p>
        </w:tc>
      </w:tr>
      <w:tr>
        <w:trPr>
          <w:trHeight w:val="278"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Zápis v OR:</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Krajský soud v Brně sp. zn. Pr 1245</w:t>
            </w:r>
          </w:p>
        </w:tc>
      </w:tr>
      <w:tr>
        <w:trPr>
          <w:trHeight w:val="418"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rPr>
              <w:t xml:space="preserve">MONETA Money Bank, a.s., č. ú. </w:t>
            </w:r>
            <w:r>
              <w:rPr>
                <w:rStyle w:val="CharStyle15"/>
                <w:spacing w:val="1"/>
                <w:shd w:val="clear" w:color="auto" w:fill="000000"/>
              </w:rPr>
              <w:t>........................</w:t>
            </w:r>
            <w:r>
              <w:rPr>
                <w:rStyle w:val="CharStyle15"/>
                <w:spacing w:val="2"/>
                <w:shd w:val="clear" w:color="auto" w:fill="000000"/>
              </w:rPr>
              <w:t>..</w:t>
            </w:r>
          </w:p>
        </w:tc>
      </w:tr>
    </w:tbl>
    <w:p>
      <w:pPr>
        <w:widowControl w:val="0"/>
        <w:spacing w:after="79" w:line="1" w:lineRule="exact"/>
      </w:pPr>
    </w:p>
    <w:p>
      <w:pPr>
        <w:pStyle w:val="Style30"/>
        <w:keepNext w:val="0"/>
        <w:keepLines w:val="0"/>
        <w:widowControl w:val="0"/>
        <w:shd w:val="clear" w:color="auto" w:fill="auto"/>
        <w:bidi w:val="0"/>
        <w:spacing w:before="0" w:after="0" w:line="552" w:lineRule="auto"/>
        <w:ind w:left="0" w:right="0" w:firstLine="0"/>
        <w:jc w:val="both"/>
      </w:pPr>
      <w:r>
        <w:rPr>
          <w:rStyle w:val="CharStyle31"/>
        </w:rPr>
        <w:t xml:space="preserve">(dále jen </w:t>
      </w:r>
      <w:r>
        <w:rPr>
          <w:rStyle w:val="CharStyle31"/>
          <w:b/>
          <w:bCs/>
          <w:i/>
          <w:iCs/>
          <w:sz w:val="20"/>
          <w:szCs w:val="20"/>
        </w:rPr>
        <w:t xml:space="preserve">„kupující </w:t>
      </w:r>
      <w:r>
        <w:rPr>
          <w:rStyle w:val="CharStyle31"/>
        </w:rPr>
        <w:t>a</w:t>
      </w:r>
    </w:p>
    <w:tbl>
      <w:tblPr>
        <w:tblOverlap w:val="never"/>
        <w:jc w:val="left"/>
        <w:tblLayout w:type="fixed"/>
      </w:tblPr>
      <w:tblGrid>
        <w:gridCol w:w="3091"/>
        <w:gridCol w:w="4142"/>
      </w:tblGrid>
      <w:tr>
        <w:trPr>
          <w:trHeight w:val="2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Jméno: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b/>
                <w:bCs/>
              </w:rPr>
              <w:t>LHL s.r.o.</w:t>
            </w:r>
          </w:p>
        </w:tc>
      </w:tr>
      <w:tr>
        <w:trPr>
          <w:trHeight w:val="26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Sídlo:</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Lipová 17/18, 400 10, Ústí nad Labem</w:t>
            </w:r>
          </w:p>
        </w:tc>
      </w:tr>
      <w:tr>
        <w:trPr>
          <w:trHeight w:val="27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Martin Liška, jednatel</w:t>
            </w:r>
          </w:p>
        </w:tc>
      </w:tr>
      <w:tr>
        <w:trPr>
          <w:trHeight w:val="2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Kontaktní osoba:</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spacing w:val="5"/>
                <w:shd w:val="clear" w:color="auto" w:fill="000000"/>
              </w:rPr>
              <w:t>........</w:t>
            </w:r>
            <w:r>
              <w:rPr>
                <w:rStyle w:val="CharStyle15"/>
                <w:spacing w:val="6"/>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p>
        </w:tc>
      </w:tr>
      <w:tr>
        <w:trPr>
          <w:trHeight w:val="797"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IČO:</w:t>
            </w:r>
          </w:p>
          <w:p>
            <w:pPr>
              <w:pStyle w:val="Style14"/>
              <w:keepNext w:val="0"/>
              <w:keepLines w:val="0"/>
              <w:widowControl w:val="0"/>
              <w:shd w:val="clear" w:color="auto" w:fill="auto"/>
              <w:bidi w:val="0"/>
              <w:spacing w:before="0" w:after="0" w:line="240" w:lineRule="auto"/>
              <w:ind w:left="0" w:right="0" w:firstLine="0"/>
              <w:jc w:val="left"/>
            </w:pPr>
            <w:r>
              <w:rPr>
                <w:rStyle w:val="CharStyle15"/>
              </w:rPr>
              <w:t>DIČ:</w:t>
            </w:r>
          </w:p>
          <w:p>
            <w:pPr>
              <w:pStyle w:val="Style14"/>
              <w:keepNext w:val="0"/>
              <w:keepLines w:val="0"/>
              <w:widowControl w:val="0"/>
              <w:shd w:val="clear" w:color="auto" w:fill="auto"/>
              <w:bidi w:val="0"/>
              <w:spacing w:before="0" w:after="0" w:line="240" w:lineRule="auto"/>
              <w:ind w:left="0" w:right="0" w:firstLine="0"/>
              <w:jc w:val="left"/>
            </w:pPr>
            <w:r>
              <w:rPr>
                <w:rStyle w:val="CharStyle15"/>
              </w:rPr>
              <w:t>Zápis v OR:</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27301800</w:t>
            </w:r>
          </w:p>
          <w:p>
            <w:pPr>
              <w:pStyle w:val="Style14"/>
              <w:keepNext w:val="0"/>
              <w:keepLines w:val="0"/>
              <w:widowControl w:val="0"/>
              <w:shd w:val="clear" w:color="auto" w:fill="auto"/>
              <w:bidi w:val="0"/>
              <w:spacing w:before="0" w:after="0" w:line="240" w:lineRule="auto"/>
              <w:ind w:left="0" w:right="0" w:firstLine="440"/>
              <w:jc w:val="left"/>
            </w:pPr>
            <w:r>
              <w:rPr>
                <w:rStyle w:val="CharStyle15"/>
              </w:rPr>
              <w:t>CZ27301800</w:t>
            </w:r>
          </w:p>
          <w:p>
            <w:pPr>
              <w:pStyle w:val="Style14"/>
              <w:keepNext w:val="0"/>
              <w:keepLines w:val="0"/>
              <w:widowControl w:val="0"/>
              <w:shd w:val="clear" w:color="auto" w:fill="auto"/>
              <w:bidi w:val="0"/>
              <w:spacing w:before="0" w:after="0" w:line="240" w:lineRule="auto"/>
              <w:ind w:left="0" w:right="0" w:firstLine="440"/>
              <w:jc w:val="left"/>
            </w:pPr>
            <w:r>
              <w:rPr>
                <w:rStyle w:val="CharStyle15"/>
              </w:rPr>
              <w:t>KS v Ústí nad Labem, sp.zn. C23355</w:t>
            </w:r>
          </w:p>
        </w:tc>
      </w:tr>
      <w:tr>
        <w:trPr>
          <w:trHeight w:val="269"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Bankovní spojení (číslo účtu):</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 xml:space="preserve">ČSOB Ústí nad Labem, </w:t>
            </w:r>
            <w:r>
              <w:rPr>
                <w:rStyle w:val="CharStyle15"/>
                <w:spacing w:val="1"/>
                <w:shd w:val="clear" w:color="auto" w:fill="000000"/>
              </w:rPr>
              <w:t>.........</w:t>
            </w:r>
            <w:r>
              <w:rPr>
                <w:rStyle w:val="CharStyle15"/>
                <w:spacing w:val="2"/>
                <w:shd w:val="clear" w:color="auto" w:fill="000000"/>
              </w:rPr>
              <w:t>.................</w:t>
            </w:r>
          </w:p>
        </w:tc>
      </w:tr>
    </w:tbl>
    <w:p>
      <w:pPr>
        <w:pStyle w:val="Style33"/>
        <w:keepNext w:val="0"/>
        <w:keepLines w:val="0"/>
        <w:widowControl w:val="0"/>
        <w:shd w:val="clear" w:color="auto" w:fill="auto"/>
        <w:bidi w:val="0"/>
        <w:spacing w:before="0" w:after="0" w:line="240" w:lineRule="auto"/>
        <w:ind w:left="0" w:right="0" w:firstLine="0"/>
        <w:jc w:val="left"/>
      </w:pPr>
      <w:r>
        <w:rPr>
          <w:rStyle w:val="CharStyle34"/>
          <w:sz w:val="20"/>
          <w:szCs w:val="20"/>
        </w:rPr>
        <w:t xml:space="preserve">(dále jen </w:t>
      </w:r>
      <w:r>
        <w:rPr>
          <w:rStyle w:val="CharStyle34"/>
          <w:b/>
          <w:bCs/>
          <w:i/>
          <w:iCs/>
        </w:rPr>
        <w:t>„prodávající )</w:t>
      </w:r>
    </w:p>
    <w:p>
      <w:pPr>
        <w:widowControl w:val="0"/>
        <w:spacing w:after="259" w:line="1" w:lineRule="exact"/>
      </w:pPr>
    </w:p>
    <w:p>
      <w:pPr>
        <w:pStyle w:val="Style30"/>
        <w:keepNext w:val="0"/>
        <w:keepLines w:val="0"/>
        <w:widowControl w:val="0"/>
        <w:shd w:val="clear" w:color="auto" w:fill="auto"/>
        <w:bidi w:val="0"/>
        <w:spacing w:before="0" w:after="80" w:line="240" w:lineRule="auto"/>
        <w:ind w:left="0" w:right="0" w:firstLine="0"/>
        <w:jc w:val="both"/>
      </w:pPr>
      <w:r>
        <w:rPr>
          <w:rStyle w:val="CharStyle31"/>
        </w:rPr>
        <w:t xml:space="preserve">Tato smlouvaje uzavřena na základě výsledu výběrového řízení na veřejnou zakázku malého rozsahu na dodávky s názvem </w:t>
      </w:r>
      <w:r>
        <w:rPr>
          <w:rStyle w:val="CharStyle31"/>
          <w:b/>
          <w:bCs/>
        </w:rPr>
        <w:t xml:space="preserve">„ZZS Jihomoravského kraje - pulsní oxymetry - 2021“, </w:t>
      </w:r>
      <w:r>
        <w:rPr>
          <w:rStyle w:val="CharStyle31"/>
        </w:rPr>
        <w:t>která byla zadávána mimo režim zákona č. 134/2016 Sb., o zadávání veřejných zakázek, ve znění pozdějších předpisů (dále jen „ZZVZ“).</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 xml:space="preserve">Prodávající je oprávněn na základě svého živnostenského oprávnění obchodovat se zbožím v podobě </w:t>
      </w:r>
      <w:r>
        <w:rPr>
          <w:rStyle w:val="CharStyle31"/>
          <w:b/>
          <w:bCs/>
        </w:rPr>
        <w:t xml:space="preserve">10 ks pulsnich oxymetrů </w:t>
      </w:r>
      <w:r>
        <w:rPr>
          <w:rStyle w:val="CharStyle31"/>
        </w:rPr>
        <w:t xml:space="preserve">(též také „předmět plnění“ této smlouvy), jejichž bližší specifikace je uvedena v příloze č. 1, která je nedílnou součástí této smlouvy (dále jen </w:t>
      </w:r>
      <w:r>
        <w:rPr>
          <w:rStyle w:val="CharStyle31"/>
          <w:i/>
          <w:iCs/>
        </w:rPr>
        <w:t>„zboží').</w:t>
      </w:r>
    </w:p>
    <w:p>
      <w:pPr>
        <w:pStyle w:val="Style30"/>
        <w:keepNext w:val="0"/>
        <w:keepLines w:val="0"/>
        <w:widowControl w:val="0"/>
        <w:numPr>
          <w:ilvl w:val="0"/>
          <w:numId w:val="1"/>
        </w:numPr>
        <w:shd w:val="clear" w:color="auto" w:fill="auto"/>
        <w:bidi w:val="0"/>
        <w:spacing w:before="0" w:after="0" w:line="240" w:lineRule="auto"/>
        <w:ind w:left="0" w:right="0" w:firstLine="0"/>
        <w:jc w:val="center"/>
      </w:pPr>
    </w:p>
    <w:p>
      <w:pPr>
        <w:pStyle w:val="Style30"/>
        <w:keepNext w:val="0"/>
        <w:keepLines w:val="0"/>
        <w:widowControl w:val="0"/>
        <w:shd w:val="clear" w:color="auto" w:fill="auto"/>
        <w:bidi w:val="0"/>
        <w:spacing w:before="0" w:after="0" w:line="240" w:lineRule="auto"/>
        <w:ind w:left="0" w:right="0" w:firstLine="0"/>
        <w:jc w:val="both"/>
      </w:pPr>
      <w:r>
        <w:rPr>
          <w:rStyle w:val="CharStyle31"/>
        </w:rPr>
        <w:t>Prodávající prodává zboží podle čl. 1 této smlouvy se všemi jeho součástmi a příslušenstvím kupujícímu, a kupující kupuje toto zboží do vlastnictví Jihomoravského kraje jako svého zřizovatele za kupní cenu podle čl. 6 této smlouvy. Součástí dodávky zboží podle tohoto článku této smlouvy je také:</w:t>
      </w:r>
    </w:p>
    <w:p>
      <w:pPr>
        <w:pStyle w:val="Style30"/>
        <w:keepNext w:val="0"/>
        <w:keepLines w:val="0"/>
        <w:widowControl w:val="0"/>
        <w:numPr>
          <w:ilvl w:val="0"/>
          <w:numId w:val="3"/>
        </w:numPr>
        <w:shd w:val="clear" w:color="auto" w:fill="auto"/>
        <w:tabs>
          <w:tab w:pos="1145" w:val="left"/>
        </w:tabs>
        <w:bidi w:val="0"/>
        <w:spacing w:before="0" w:after="180" w:line="240" w:lineRule="auto"/>
        <w:ind w:left="1140" w:right="0" w:hanging="360"/>
        <w:jc w:val="both"/>
      </w:pPr>
      <w:r>
        <w:rPr>
          <w:rStyle w:val="CharStyle31"/>
        </w:rPr>
        <w:t>předání veškerých písemných dokladů, které jsou potřebné k používání zboží, zejména návodu k obsluze v českém jazyce, odpovídající technické dokumentace v tištěné a datové podobě v českém jazyce, dodání dokladů prokazujících kvalitu a schválení pro užívání v České republice, zejm. dodání příslušných atestů, certifikátů a prohlášení o shodě.</w:t>
      </w:r>
    </w:p>
    <w:p>
      <w:pPr>
        <w:pStyle w:val="Style30"/>
        <w:keepNext w:val="0"/>
        <w:keepLines w:val="0"/>
        <w:widowControl w:val="0"/>
        <w:numPr>
          <w:ilvl w:val="0"/>
          <w:numId w:val="3"/>
        </w:numPr>
        <w:shd w:val="clear" w:color="auto" w:fill="auto"/>
        <w:tabs>
          <w:tab w:pos="1165" w:val="left"/>
        </w:tabs>
        <w:bidi w:val="0"/>
        <w:spacing w:before="0" w:after="520" w:line="240" w:lineRule="auto"/>
        <w:ind w:left="1160" w:right="0" w:hanging="360"/>
        <w:jc w:val="both"/>
      </w:pPr>
      <w:r>
        <w:rPr>
          <w:rStyle w:val="CharStyle31"/>
        </w:rPr>
        <w:t>1 krát ročně provádění povinných bezpečnostné-technických kontrol dle zákona č. 268/2014 Sb., o diagnostických zdravotnických prostředních in vitro, ve znění pozdějších předpisů, po dobu trvání záruky za jakost dle čl. 8 této smlouvy.</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 xml:space="preserve">Prodávající se zavazuje splnit svůj závazek k dodání zboží podle čl. 1 této smlouvy nejpozději do </w:t>
      </w:r>
      <w:r>
        <w:rPr>
          <w:rStyle w:val="CharStyle31"/>
          <w:b/>
          <w:bCs/>
        </w:rPr>
        <w:t xml:space="preserve">30 dnů </w:t>
      </w:r>
      <w:r>
        <w:rPr>
          <w:rStyle w:val="CharStyle31"/>
        </w:rPr>
        <w:t>od nabytí účinnosti této smlouvy. Tento závazek se přitom bude považovat za splněný po faktickém předání příslušného zboží, formou písemného předávacího protokolu, podepsaného oběma stranami. Místem plnění se přitom rozumí sídlo kupujícího. Místem plnění závazku dle čl. 8, tj. odstraňování vad v záruční době je přitom sídlo kupujícího.</w:t>
      </w:r>
    </w:p>
    <w:p>
      <w:pPr>
        <w:pStyle w:val="Style30"/>
        <w:keepNext w:val="0"/>
        <w:keepLines w:val="0"/>
        <w:widowControl w:val="0"/>
        <w:numPr>
          <w:ilvl w:val="0"/>
          <w:numId w:val="1"/>
        </w:numPr>
        <w:shd w:val="clear" w:color="auto" w:fill="auto"/>
        <w:bidi w:val="0"/>
        <w:spacing w:before="0" w:after="0" w:line="271" w:lineRule="auto"/>
        <w:ind w:left="0" w:right="0" w:firstLine="0"/>
        <w:jc w:val="center"/>
      </w:pPr>
    </w:p>
    <w:p>
      <w:pPr>
        <w:pStyle w:val="Style30"/>
        <w:keepNext w:val="0"/>
        <w:keepLines w:val="0"/>
        <w:widowControl w:val="0"/>
        <w:shd w:val="clear" w:color="auto" w:fill="auto"/>
        <w:bidi w:val="0"/>
        <w:spacing w:before="0" w:line="271" w:lineRule="auto"/>
        <w:ind w:left="0" w:right="0" w:firstLine="0"/>
        <w:jc w:val="both"/>
      </w:pPr>
      <w:r>
        <w:rPr>
          <w:rStyle w:val="CharStyle31"/>
        </w:rPr>
        <w:t>Kupující se zavazuje převzít objednané zboží podle čl. 1 této smlouvy, prosté všech zjevných vad, ve lhůtě a místě podle této smlouvy. Kupující je oprávněn odmítnout převzetí zboží, bude-li se na něm vyskytovat jakákoliv vada bránící jeho užívání.</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Nebezpečí škody na převáděném zboží podle čl. 1 této smlouvy a vlastnické právo k tomuto zboží přechází z prodávajícího na kupujícího dnem faktického převzetí tohoto zboží.</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Kupující se zavazuje zaplatit prodávajícímu za předmět koupě a prodeje podle čl. 1 a podle čl. 2 této smlouvy kupní cenu ve výši:</w:t>
      </w:r>
    </w:p>
    <w:p>
      <w:pPr>
        <w:pStyle w:val="Style30"/>
        <w:keepNext w:val="0"/>
        <w:keepLines w:val="0"/>
        <w:widowControl w:val="0"/>
        <w:shd w:val="clear" w:color="auto" w:fill="auto"/>
        <w:bidi w:val="0"/>
        <w:spacing w:before="0"/>
        <w:ind w:left="0" w:right="0" w:firstLine="0"/>
        <w:jc w:val="center"/>
      </w:pPr>
      <w:r>
        <w:rPr>
          <w:rStyle w:val="CharStyle31"/>
          <w:b/>
          <w:bCs/>
        </w:rPr>
        <w:t xml:space="preserve">1 024 500.00,- </w:t>
      </w:r>
      <w:r>
        <w:rPr>
          <w:rStyle w:val="CharStyle31"/>
        </w:rPr>
        <w:t xml:space="preserve">Kč bez DPH, tj. </w:t>
      </w:r>
      <w:r>
        <w:rPr>
          <w:rStyle w:val="CharStyle31"/>
          <w:b/>
          <w:bCs/>
        </w:rPr>
        <w:t xml:space="preserve">1 239 645.00 </w:t>
      </w:r>
      <w:r>
        <w:rPr>
          <w:rStyle w:val="CharStyle31"/>
        </w:rPr>
        <w:t>včetně DPH.</w:t>
      </w:r>
    </w:p>
    <w:p>
      <w:pPr>
        <w:pStyle w:val="Style30"/>
        <w:keepNext w:val="0"/>
        <w:keepLines w:val="0"/>
        <w:widowControl w:val="0"/>
        <w:shd w:val="clear" w:color="auto" w:fill="auto"/>
        <w:bidi w:val="0"/>
        <w:spacing w:before="0" w:line="271" w:lineRule="auto"/>
        <w:ind w:left="0" w:right="0" w:firstLine="0"/>
        <w:jc w:val="both"/>
      </w:pPr>
      <w:r>
        <w:rPr>
          <w:rStyle w:val="CharStyle31"/>
        </w:rPr>
        <w:t>Součástí této ceny jsou veškeré náklady, vynaložené prodávajícím na splnění jeho závazku k dodání zboží podle této smlouvy.</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 xml:space="preserve">Kupní cena podle čl. 6 této smlouvy je splatná na účet prodávajícího po splnění závazku prodávajícího k dodání zboží podle čl. 1 této smlouvy způsobem podle čl. 3 této smlouvy ve lhůtě do 30 dnů ode dne doručení jejího písemného vyúčtování (faktury/daňového dokladu). Faktura bude doručena elektronicky na email: </w:t>
      </w:r>
      <w:r>
        <w:rPr>
          <w:rStyle w:val="CharStyle31"/>
          <w:u w:val="single"/>
          <w:shd w:val="clear" w:color="auto" w:fill="000000"/>
          <w:lang w:val="en-US" w:eastAsia="en-US" w:bidi="en-US"/>
        </w:rPr>
        <w:t>.......</w:t>
      </w:r>
      <w:r>
        <w:rPr>
          <w:rStyle w:val="CharStyle31"/>
          <w:spacing w:val="1"/>
          <w:u w:val="single"/>
          <w:shd w:val="clear" w:color="auto" w:fill="000000"/>
          <w:lang w:val="en-US" w:eastAsia="en-US" w:bidi="en-US"/>
        </w:rPr>
        <w:t>.......................</w:t>
      </w:r>
      <w:r>
        <w:rPr>
          <w:rStyle w:val="CharStyle31"/>
          <w:shd w:val="clear" w:color="auto" w:fill="000000"/>
          <w:lang w:val="en-US" w:eastAsia="en-US" w:bidi="en-US"/>
        </w:rPr>
        <w:t>.</w:t>
      </w:r>
      <w:r>
        <w:rPr>
          <w:rStyle w:val="CharStyle31"/>
          <w:shd w:val="clear" w:color="auto" w:fill="000000"/>
        </w:rPr>
        <w:t>​</w:t>
      </w:r>
      <w:r>
        <w:rPr>
          <w:rStyle w:val="CharStyle31"/>
          <w:spacing w:val="27"/>
          <w:shd w:val="clear" w:color="auto" w:fill="000000"/>
        </w:rPr>
        <w:t>.</w:t>
      </w:r>
      <w:r>
        <w:rPr>
          <w:rStyle w:val="CharStyle31"/>
          <w:spacing w:val="28"/>
          <w:shd w:val="clear" w:color="auto" w:fill="000000"/>
        </w:rPr>
        <w:t>.</w:t>
      </w:r>
      <w:r>
        <w:rPr>
          <w:rStyle w:val="CharStyle31"/>
          <w:u w:val="single"/>
          <w:shd w:val="clear" w:color="auto" w:fill="000000"/>
          <w:lang w:val="en-US" w:eastAsia="en-US" w:bidi="en-US"/>
        </w:rPr>
        <w:t>​</w:t>
      </w:r>
      <w:r>
        <w:rPr>
          <w:rStyle w:val="CharStyle31"/>
          <w:spacing w:val="1"/>
          <w:u w:val="single"/>
          <w:shd w:val="clear" w:color="auto" w:fill="000000"/>
          <w:lang w:val="en-US" w:eastAsia="en-US" w:bidi="en-US"/>
        </w:rPr>
        <w:t>.........................</w:t>
      </w:r>
      <w:r>
        <w:rPr>
          <w:rStyle w:val="CharStyle31"/>
          <w:spacing w:val="2"/>
          <w:u w:val="single"/>
          <w:shd w:val="clear" w:color="auto" w:fill="000000"/>
          <w:lang w:val="en-US" w:eastAsia="en-US" w:bidi="en-US"/>
        </w:rPr>
        <w:t>.........</w:t>
      </w:r>
      <w:r>
        <w:rPr>
          <w:rStyle w:val="CharStyle31"/>
          <w:lang w:val="en-US" w:eastAsia="en-US" w:bidi="en-US"/>
        </w:rPr>
        <w:t xml:space="preserve">. </w:t>
      </w:r>
      <w:r>
        <w:rPr>
          <w:rStyle w:val="CharStyle31"/>
        </w:rPr>
        <w:t xml:space="preserve">Na faktuře musí být mimo jiné vždy uvedeno toto číslo veřejné zakázky, ke které se faktura vztahuje: </w:t>
      </w:r>
      <w:r>
        <w:rPr>
          <w:rStyle w:val="CharStyle31"/>
          <w:b/>
          <w:bCs/>
        </w:rPr>
        <w:t xml:space="preserve">P21V00001912. </w:t>
      </w:r>
      <w:r>
        <w:rPr>
          <w:rStyle w:val="CharStyle31"/>
        </w:rPr>
        <w:t>Nebude-li faktura splňovat veškeré náležitosti daňového dokladu podle zákona č. 235/2004 Sb., o dani z přidané hodnoty, ve znění pozdějších předpisů, a další náležitosti podle této smlouvy, je kupující oprávněn vrátit takovou fakturu prodávajícímu k opravě, přičemž doba její splatnosti začne znovu běžet ode dne doručení opravené faktury kupujícímu.</w:t>
      </w:r>
    </w:p>
    <w:p>
      <w:pPr>
        <w:pStyle w:val="Style30"/>
        <w:keepNext w:val="0"/>
        <w:keepLines w:val="0"/>
        <w:widowControl w:val="0"/>
        <w:numPr>
          <w:ilvl w:val="0"/>
          <w:numId w:val="1"/>
        </w:numPr>
        <w:shd w:val="clear" w:color="auto" w:fill="auto"/>
        <w:bidi w:val="0"/>
        <w:spacing w:before="0" w:after="0" w:line="271" w:lineRule="auto"/>
        <w:ind w:left="0" w:right="0" w:firstLine="0"/>
        <w:jc w:val="center"/>
      </w:pPr>
    </w:p>
    <w:p>
      <w:pPr>
        <w:pStyle w:val="Style30"/>
        <w:keepNext w:val="0"/>
        <w:keepLines w:val="0"/>
        <w:widowControl w:val="0"/>
        <w:shd w:val="clear" w:color="auto" w:fill="auto"/>
        <w:bidi w:val="0"/>
        <w:spacing w:before="0" w:after="520" w:line="271" w:lineRule="auto"/>
        <w:ind w:left="0" w:right="0" w:firstLine="0"/>
        <w:jc w:val="both"/>
      </w:pPr>
      <w:r>
        <w:rPr>
          <w:rStyle w:val="CharStyle31"/>
        </w:rPr>
        <w:t xml:space="preserve">S dodáním zboží je podle čl. 1 této smlouvy spojena záruka za jeho jakost v trvání </w:t>
      </w:r>
      <w:r>
        <w:rPr>
          <w:rStyle w:val="CharStyle31"/>
          <w:b/>
          <w:bCs/>
        </w:rPr>
        <w:t xml:space="preserve">24 měsíců. </w:t>
      </w:r>
      <w:r>
        <w:rPr>
          <w:rStyle w:val="CharStyle31"/>
        </w:rPr>
        <w:t>V rámci záruky se prodávající zavazuje, že zboží podle čl. 1 této smlouvy bude mít po dobu záruční lhůty vlastnosti, které jsou stanoveny právními předpisy nebo technickými normami nebo jsou u zboží tohoto druhu obvyklé, a že bude po dobu záruční lhůty bezplatně odstraňovat vady, které se na zboží podle čl. 1 této smlouvy vyskytnou, a to ve lhůtě do 3 týdnů od doručení příslušné písemné nebo e- mailové reklamace kupujícího, nebude-li mezi oběma stranami v jednotlivém případě dohodnuto jinak. Za odstranění vady v uvedené lhůtě se považuje i zapůjčení náhradního srovnatelného zboží v této lhůtě, a to na dobu nezbytnou k odstranění reklamované vady.</w:t>
      </w:r>
    </w:p>
    <w:p>
      <w:pPr>
        <w:pStyle w:val="Style30"/>
        <w:keepNext w:val="0"/>
        <w:keepLines w:val="0"/>
        <w:widowControl w:val="0"/>
        <w:numPr>
          <w:ilvl w:val="0"/>
          <w:numId w:val="1"/>
        </w:numPr>
        <w:shd w:val="clear" w:color="auto" w:fill="auto"/>
        <w:bidi w:val="0"/>
        <w:spacing w:before="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Neodstraní-li prodávající reklamovanou vadu ve lhůtě podle čl. 8 této smlouvy, ani v dodatečné lhůtě poskytnuté v písemné výzvě kupujícího, je kupující oprávněn nechat provést toto odstranění třetí osobou na náklad prodávajícího.</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Pro případ sporu o oprávněnost reklamace se kupujícímu vyhrazuje právo nechat vyhotovit k prověření jakosti zboží soudné znalecký posudek, jehož výroku se obě strany zavazují podřizovat s tím, že náklady na vyhotovení tohoto posudku se zavazuje nést ten účastník tohoto sporu, kterému tento posudek nedal zapravdu.</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Pro případ prodlení se splněním závazku prodávajícího k dodání zboží ve lhůtě podle čl. 3 této smlouvy se prodávající zavazuje platit kupujícímu smluvní pokutu ve výši 0,1 % z kupní ceny podle čl. 6 této smlouvy za každý započatý den prodlení. Pro případ prodlení s odstraněním vady ve lhůtě podle čl. 8 této smlouvy se prodávající zavazuje platit kupujícímu smluvní pokutu ve výši 500,- Kč za každý den prodlení s odstraněním vady. Obé strany se dohodly, že zaplacením smluvní pokuty podle této smlouvy není nijak dotčeno právo kupujícího na náhradu škody v plné výši. Tímto ujednáním se přitom vylučuje aplikace § 2050 na vztah mezi oběma stranami podle této smlouvy.</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Pro případ prodlení se splněním jeho závazku k dodání zboží ve lhůtě podle čl. 3 této smlouvy o více, než 2 týdny nebo pro případ výskytu neodstranitelné vady resp. výskytu 3 a více vad na zboží, a to i postupně, je kupující oprávněn odstoupit od této smlouvy s účinky ex tunc.</w:t>
      </w:r>
    </w:p>
    <w:p>
      <w:pPr>
        <w:pStyle w:val="Style30"/>
        <w:keepNext w:val="0"/>
        <w:keepLines w:val="0"/>
        <w:widowControl w:val="0"/>
        <w:numPr>
          <w:ilvl w:val="0"/>
          <w:numId w:val="1"/>
        </w:numPr>
        <w:shd w:val="clear" w:color="auto" w:fill="auto"/>
        <w:bidi w:val="0"/>
        <w:spacing w:before="0" w:after="0" w:line="271" w:lineRule="auto"/>
        <w:ind w:left="0" w:right="0" w:firstLine="0"/>
        <w:jc w:val="center"/>
      </w:pPr>
    </w:p>
    <w:p>
      <w:pPr>
        <w:pStyle w:val="Style30"/>
        <w:keepNext w:val="0"/>
        <w:keepLines w:val="0"/>
        <w:widowControl w:val="0"/>
        <w:shd w:val="clear" w:color="auto" w:fill="auto"/>
        <w:bidi w:val="0"/>
        <w:spacing w:before="0" w:line="271" w:lineRule="auto"/>
        <w:ind w:left="0" w:right="0" w:firstLine="0"/>
        <w:jc w:val="both"/>
      </w:pPr>
      <w:r>
        <w:rPr>
          <w:rStyle w:val="CharStyle31"/>
        </w:rPr>
        <w:t>Pro případ prodlení kupujícího se zaplacením kupní ceny ve lhůtě podle čl. 7 této smlouvy o víc, než 2 týdny, je prodávající oprávněn od této smlouvy odstoupit s účinky ex tunc.</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Pohledávku prodávajícího za kupujícím vzniklou na základě této smlouvy nebo v souvislosti s ní nelze postoupit třetí straně bez předchozího písemného souhlasu kupujícího, a to pod smluvní pokutou ve výši takto neoprávněně postoupené pohledávky.</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Není-li touto smlouvou ujednáno jinak, řídí se vzájemný právní vztah mezi kupujícím a prodávajícím při realizaci této smlouvy § 2079 až 2131 násl. občanského zákoníku, přičemž tato právní úprava má přednost před nepsanými obchodními zvyklostmi. Tímto ujednáním se přitom vylučuje aplikace § 558 občanského zákoníku na vztah mezi oběma stranami podle této smlouvy.</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Tato smlouva se uzavírá na základě návrhu na její uzavření ze strany prodávajícího. Předpokladem uzavření této smlouvy je její písemná forma a dohoda o celém jejím obsahu jak je obsažen v jejích článcích 1 až 20. Kupující přitom předem vylučuje přijetí tohoto návrhu s dodatkem nebo odchylkou ve smyslu § 1740 odst. 3 občanského zákoníku.</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pPr>
      <w:r>
        <w:rPr>
          <w:rStyle w:val="CharStyle31"/>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kupující.</w:t>
      </w:r>
    </w:p>
    <w:p>
      <w:pPr>
        <w:pStyle w:val="Style30"/>
        <w:keepNext w:val="0"/>
        <w:keepLines w:val="0"/>
        <w:widowControl w:val="0"/>
        <w:numPr>
          <w:ilvl w:val="0"/>
          <w:numId w:val="1"/>
        </w:numPr>
        <w:shd w:val="clear" w:color="auto" w:fill="auto"/>
        <w:bidi w:val="0"/>
        <w:spacing w:before="0" w:after="0"/>
        <w:ind w:left="0" w:right="0" w:firstLine="0"/>
        <w:jc w:val="center"/>
      </w:pPr>
    </w:p>
    <w:p>
      <w:pPr>
        <w:pStyle w:val="Style30"/>
        <w:keepNext w:val="0"/>
        <w:keepLines w:val="0"/>
        <w:widowControl w:val="0"/>
        <w:shd w:val="clear" w:color="auto" w:fill="auto"/>
        <w:bidi w:val="0"/>
        <w:spacing w:before="0"/>
        <w:ind w:left="0" w:right="0" w:firstLine="0"/>
        <w:jc w:val="both"/>
        <w:sectPr>
          <w:footerReference w:type="default" r:id="rId5"/>
          <w:footerReference w:type="first" r:id="rId6"/>
          <w:footnotePr>
            <w:pos w:val="pageBottom"/>
            <w:numFmt w:val="decimal"/>
            <w:numRestart w:val="continuous"/>
          </w:footnotePr>
          <w:pgSz w:w="11900" w:h="16840"/>
          <w:pgMar w:top="571" w:right="1360" w:bottom="1683" w:left="1372" w:header="0" w:footer="3" w:gutter="0"/>
          <w:pgNumType w:start="1"/>
          <w:cols w:space="720"/>
          <w:noEndnote/>
          <w:titlePg/>
          <w:rtlGutter w:val="0"/>
          <w:docGrid w:linePitch="360"/>
        </w:sectPr>
      </w:pPr>
      <w:r>
        <w:rPr>
          <w:rStyle w:val="CharStyle31"/>
        </w:rPr>
        <w:t>Tuto smlouvu lze změnit nebo zrušit pouze jinou písemnou dohodou obou smluvních stran.</w:t>
      </w:r>
    </w:p>
    <w:p>
      <w:pPr>
        <w:pStyle w:val="Style30"/>
        <w:keepNext w:val="0"/>
        <w:keepLines w:val="0"/>
        <w:framePr w:w="9125" w:h="3163" w:wrap="none" w:hAnchor="page" w:x="1429" w:y="1"/>
        <w:widowControl w:val="0"/>
        <w:numPr>
          <w:ilvl w:val="0"/>
          <w:numId w:val="5"/>
        </w:numPr>
        <w:shd w:val="clear" w:color="auto" w:fill="auto"/>
        <w:bidi w:val="0"/>
        <w:spacing w:before="0" w:after="0"/>
        <w:ind w:left="0" w:right="0" w:firstLine="0"/>
        <w:jc w:val="center"/>
      </w:pPr>
    </w:p>
    <w:p>
      <w:pPr>
        <w:pStyle w:val="Style30"/>
        <w:keepNext w:val="0"/>
        <w:keepLines w:val="0"/>
        <w:framePr w:w="9125" w:h="3163" w:wrap="none" w:hAnchor="page" w:x="1429" w:y="1"/>
        <w:widowControl w:val="0"/>
        <w:shd w:val="clear" w:color="auto" w:fill="auto"/>
        <w:bidi w:val="0"/>
        <w:spacing w:before="0" w:after="240"/>
        <w:ind w:left="0" w:right="0" w:firstLine="0"/>
        <w:jc w:val="both"/>
      </w:pPr>
      <w:r>
        <w:rPr>
          <w:rStyle w:val="CharStyle31"/>
        </w:rPr>
        <w:t>Tato smlouva nabývá účinnosti po jejím podpisu oběma smluvními stranami dnem jejího uveřejnění v Registru smluv.</w:t>
      </w:r>
    </w:p>
    <w:p>
      <w:pPr>
        <w:pStyle w:val="Style30"/>
        <w:keepNext w:val="0"/>
        <w:keepLines w:val="0"/>
        <w:framePr w:w="9125" w:h="3163" w:wrap="none" w:hAnchor="page" w:x="1429" w:y="1"/>
        <w:widowControl w:val="0"/>
        <w:numPr>
          <w:ilvl w:val="0"/>
          <w:numId w:val="5"/>
        </w:numPr>
        <w:shd w:val="clear" w:color="auto" w:fill="auto"/>
        <w:bidi w:val="0"/>
        <w:spacing w:before="0" w:after="0"/>
        <w:ind w:left="0" w:right="0" w:firstLine="0"/>
        <w:jc w:val="center"/>
      </w:pPr>
    </w:p>
    <w:p>
      <w:pPr>
        <w:pStyle w:val="Style30"/>
        <w:keepNext w:val="0"/>
        <w:keepLines w:val="0"/>
        <w:framePr w:w="9125" w:h="3163" w:wrap="none" w:hAnchor="page" w:x="1429" w:y="1"/>
        <w:widowControl w:val="0"/>
        <w:shd w:val="clear" w:color="auto" w:fill="auto"/>
        <w:bidi w:val="0"/>
        <w:spacing w:before="0" w:after="240"/>
        <w:ind w:left="0" w:right="0" w:firstLine="0"/>
        <w:jc w:val="both"/>
      </w:pPr>
      <w:r>
        <w:rPr>
          <w:rStyle w:val="CharStyle31"/>
        </w:rPr>
        <w:t>Dáno ve dvou originálních písemných vyhotoveních, z nichž každá ze smluvních stran obdrží po jednom.</w:t>
      </w:r>
    </w:p>
    <w:p>
      <w:pPr>
        <w:pStyle w:val="Style30"/>
        <w:keepNext w:val="0"/>
        <w:keepLines w:val="0"/>
        <w:framePr w:w="9125" w:h="3163" w:wrap="none" w:hAnchor="page" w:x="1429" w:y="1"/>
        <w:widowControl w:val="0"/>
        <w:numPr>
          <w:ilvl w:val="0"/>
          <w:numId w:val="5"/>
        </w:numPr>
        <w:shd w:val="clear" w:color="auto" w:fill="auto"/>
        <w:bidi w:val="0"/>
        <w:spacing w:before="0" w:after="0"/>
        <w:ind w:left="0" w:right="0" w:firstLine="0"/>
        <w:jc w:val="center"/>
      </w:pPr>
    </w:p>
    <w:p>
      <w:pPr>
        <w:pStyle w:val="Style30"/>
        <w:keepNext w:val="0"/>
        <w:keepLines w:val="0"/>
        <w:framePr w:w="9125" w:h="3163" w:wrap="none" w:hAnchor="page" w:x="1429" w:y="1"/>
        <w:widowControl w:val="0"/>
        <w:shd w:val="clear" w:color="auto" w:fill="auto"/>
        <w:bidi w:val="0"/>
        <w:spacing w:before="0" w:after="240"/>
        <w:ind w:left="0" w:right="0" w:firstLine="0"/>
        <w:jc w:val="both"/>
      </w:pPr>
      <w:r>
        <w:rPr>
          <w:rStyle w:val="CharStyle31"/>
        </w:rPr>
        <w:t>Prodávající uděluje kupujícímu svůj výslovný souhlas se zveřejněním podmínek této smlouvy v rozsahu a za podmínek vyplývajících z příslušných právních předpisu (zejména dle zákona č. 106/1999 Sb., o svobodném přístupu k informacím, v platném znění).</w:t>
      </w:r>
    </w:p>
    <w:p>
      <w:pPr>
        <w:pStyle w:val="Style30"/>
        <w:keepNext w:val="0"/>
        <w:keepLines w:val="0"/>
        <w:framePr w:w="1085" w:h="288" w:wrap="none" w:hAnchor="page" w:x="1429" w:y="4417"/>
        <w:widowControl w:val="0"/>
        <w:shd w:val="clear" w:color="auto" w:fill="auto"/>
        <w:bidi w:val="0"/>
        <w:spacing w:before="0" w:after="0" w:line="240" w:lineRule="auto"/>
        <w:ind w:left="0" w:right="0" w:firstLine="0"/>
        <w:jc w:val="left"/>
      </w:pPr>
      <w:r>
        <w:rPr>
          <w:rStyle w:val="CharStyle31"/>
        </w:rPr>
        <w:t>V Brně dne</w:t>
      </w:r>
    </w:p>
    <w:p>
      <w:pPr>
        <w:pStyle w:val="Style30"/>
        <w:keepNext w:val="0"/>
        <w:keepLines w:val="0"/>
        <w:framePr w:w="2842" w:h="264" w:wrap="none" w:hAnchor="page" w:x="6771" w:y="4436"/>
        <w:widowControl w:val="0"/>
        <w:shd w:val="clear" w:color="auto" w:fill="auto"/>
        <w:bidi w:val="0"/>
        <w:spacing w:before="0" w:after="0" w:line="240" w:lineRule="auto"/>
        <w:ind w:left="0" w:right="0" w:firstLine="0"/>
        <w:jc w:val="left"/>
      </w:pPr>
      <w:r>
        <w:rPr>
          <w:rStyle w:val="CharStyle31"/>
        </w:rPr>
        <w:t>V Ústí nad Labem dne 3.8.2021</w:t>
      </w:r>
    </w:p>
    <w:p>
      <w:pPr>
        <w:pStyle w:val="Style45"/>
        <w:keepNext w:val="0"/>
        <w:keepLines w:val="0"/>
        <w:framePr w:w="2246" w:h="250" w:wrap="none" w:hAnchor="page" w:x="1429" w:y="6116"/>
        <w:widowControl w:val="0"/>
        <w:shd w:val="clear" w:color="auto" w:fill="auto"/>
        <w:bidi w:val="0"/>
        <w:spacing w:before="0" w:after="0" w:line="240" w:lineRule="auto"/>
        <w:ind w:left="0" w:right="0" w:firstLine="0"/>
        <w:jc w:val="left"/>
      </w:pPr>
      <w:r>
        <w:rPr>
          <w:rStyle w:val="CharStyle46"/>
        </w:rPr>
        <w:t>MUDr. Hana Albrechtová</w:t>
      </w:r>
    </w:p>
    <w:p>
      <w:pPr>
        <w:pStyle w:val="Style47"/>
        <w:keepNext/>
        <w:keepLines/>
        <w:framePr w:w="4334" w:h="1229" w:wrap="none" w:hAnchor="page" w:x="6503" w:y="4806"/>
        <w:widowControl w:val="0"/>
        <w:shd w:val="clear" w:color="auto" w:fill="auto"/>
        <w:bidi w:val="0"/>
        <w:spacing w:before="0" w:after="0" w:line="240" w:lineRule="auto"/>
        <w:ind w:left="0" w:right="320" w:firstLine="0"/>
        <w:jc w:val="right"/>
      </w:pPr>
      <w:r>
        <w:rPr>
          <w:rStyle w:val="CharStyle48"/>
          <w:color w:val="000000"/>
          <w:spacing w:val="5"/>
          <w:shd w:val="clear" w:color="auto" w:fill="000000"/>
        </w:rPr>
        <w:t>....</w:t>
      </w:r>
      <w:bookmarkStart w:id="4" w:name="bookmark4"/>
      <w:r>
        <w:rPr>
          <w:rStyle w:val="CharStyle48"/>
          <w:color w:val="000000"/>
          <w:shd w:val="clear" w:color="auto" w:fill="000000"/>
        </w:rPr>
        <w:t>​</w:t>
      </w:r>
      <w:r>
        <w:rPr>
          <w:rStyle w:val="CharStyle48"/>
          <w:color w:val="000000"/>
          <w:spacing w:val="6"/>
          <w:shd w:val="clear" w:color="auto" w:fill="000000"/>
        </w:rPr>
        <w:t>...</w:t>
      </w:r>
      <w:r>
        <w:rPr>
          <w:rStyle w:val="CharStyle48"/>
          <w:color w:val="000000"/>
          <w:spacing w:val="7"/>
          <w:shd w:val="clear" w:color="auto" w:fill="000000"/>
        </w:rPr>
        <w:t>....</w:t>
      </w:r>
      <w:r>
        <w:rPr>
          <w:rStyle w:val="CharStyle48"/>
          <w:color w:val="000000"/>
          <w:shd w:val="clear" w:color="auto" w:fill="000000"/>
        </w:rPr>
        <w:t>​</w:t>
      </w:r>
      <w:r>
        <w:rPr>
          <w:rStyle w:val="CharStyle48"/>
          <w:color w:val="000000"/>
          <w:spacing w:val="10"/>
          <w:shd w:val="clear" w:color="auto" w:fill="000000"/>
        </w:rPr>
        <w:t>......</w:t>
      </w:r>
      <w:r>
        <w:rPr>
          <w:rStyle w:val="CharStyle48"/>
          <w:color w:val="000000"/>
          <w:spacing w:val="11"/>
          <w:shd w:val="clear" w:color="auto" w:fill="000000"/>
        </w:rPr>
        <w:t>..</w:t>
      </w:r>
      <w:bookmarkEnd w:id="4"/>
    </w:p>
    <w:p>
      <w:pPr>
        <w:pStyle w:val="Style7"/>
        <w:keepNext w:val="0"/>
        <w:keepLines w:val="0"/>
        <w:framePr w:w="4334" w:h="1229" w:wrap="none" w:hAnchor="page" w:x="6503" w:y="4806"/>
        <w:widowControl w:val="0"/>
        <w:shd w:val="clear" w:color="auto" w:fill="auto"/>
        <w:tabs>
          <w:tab w:pos="931" w:val="left"/>
        </w:tabs>
        <w:bidi w:val="0"/>
        <w:spacing w:before="0" w:after="0" w:line="211" w:lineRule="auto"/>
        <w:ind w:left="0" w:right="320" w:firstLine="0"/>
        <w:jc w:val="right"/>
        <w:rPr>
          <w:sz w:val="16"/>
          <w:szCs w:val="16"/>
        </w:rPr>
      </w:pPr>
      <w:r>
        <w:rPr>
          <w:rStyle w:val="CharStyle8"/>
          <w:spacing w:val="36"/>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7"/>
          <w:sz w:val="16"/>
          <w:szCs w:val="16"/>
          <w:shd w:val="clear" w:color="auto" w:fill="000000"/>
        </w:rPr>
        <w:t>..</w:t>
      </w:r>
      <w:r>
        <w:rPr>
          <w:rStyle w:val="CharStyle8"/>
          <w:spacing w:val="8"/>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2"/>
          <w:sz w:val="16"/>
          <w:szCs w:val="16"/>
          <w:shd w:val="clear" w:color="auto" w:fill="000000"/>
        </w:rPr>
        <w:t>...........</w:t>
      </w:r>
    </w:p>
    <w:p>
      <w:pPr>
        <w:pStyle w:val="Style7"/>
        <w:keepNext w:val="0"/>
        <w:keepLines w:val="0"/>
        <w:framePr w:w="4334" w:h="1229" w:wrap="none" w:hAnchor="page" w:x="6503" w:y="4806"/>
        <w:widowControl w:val="0"/>
        <w:shd w:val="clear" w:color="auto" w:fill="auto"/>
        <w:bidi w:val="0"/>
        <w:spacing w:before="0" w:after="0" w:line="240" w:lineRule="auto"/>
        <w:ind w:left="0" w:right="0" w:firstLine="0"/>
        <w:jc w:val="right"/>
        <w:rPr>
          <w:sz w:val="16"/>
          <w:szCs w:val="16"/>
        </w:rPr>
      </w:pP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2"/>
          <w:sz w:val="16"/>
          <w:szCs w:val="16"/>
          <w:shd w:val="clear" w:color="auto" w:fill="000000"/>
        </w:rPr>
        <w:t>.</w:t>
      </w:r>
      <w:r>
        <w:rPr>
          <w:rStyle w:val="CharStyle8"/>
          <w:spacing w:val="3"/>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7"/>
        <w:keepNext w:val="0"/>
        <w:keepLines w:val="0"/>
        <w:framePr w:w="4334" w:h="1229" w:wrap="none" w:hAnchor="page" w:x="6503" w:y="4806"/>
        <w:widowControl w:val="0"/>
        <w:shd w:val="clear" w:color="auto" w:fill="auto"/>
        <w:tabs>
          <w:tab w:leader="dot" w:pos="791" w:val="left"/>
        </w:tabs>
        <w:bidi w:val="0"/>
        <w:spacing w:before="0" w:after="0" w:line="240" w:lineRule="auto"/>
        <w:ind w:left="-20" w:right="0" w:firstLine="0"/>
        <w:jc w:val="center"/>
        <w:rPr>
          <w:sz w:val="16"/>
          <w:szCs w:val="16"/>
        </w:rPr>
      </w:pPr>
      <w:r>
        <w:rPr>
          <w:rStyle w:val="CharStyle8"/>
          <w:spacing w:val="1"/>
          <w:sz w:val="16"/>
          <w:szCs w:val="16"/>
          <w:shd w:val="clear" w:color="auto" w:fill="000000"/>
        </w:rPr>
        <w:t>....</w:t>
      </w:r>
      <w:r>
        <w:rPr>
          <w:rStyle w:val="CharStyle8"/>
          <w:spacing w:val="2"/>
          <w:sz w:val="16"/>
          <w:szCs w:val="16"/>
          <w:shd w:val="clear" w:color="auto" w:fill="000000"/>
        </w:rPr>
        <w:t>.</w:t>
      </w:r>
      <w:r>
        <w:rPr>
          <w:rStyle w:val="CharStyle8"/>
          <w:sz w:val="16"/>
          <w:szCs w:val="16"/>
          <w:shd w:val="clear" w:color="auto" w:fill="000000"/>
        </w:rPr>
        <w:t>​</w:t>
      </w:r>
      <w:r>
        <w:rPr>
          <w:rStyle w:val="CharStyle8"/>
          <w:spacing w:val="31"/>
          <w:sz w:val="16"/>
          <w:szCs w:val="16"/>
          <w:shd w:val="clear" w:color="auto" w:fill="000000"/>
        </w:rPr>
        <w:t>.</w:t>
      </w:r>
      <w:r>
        <w:rPr>
          <w:rStyle w:val="CharStyle8"/>
          <w:sz w:val="16"/>
          <w:szCs w:val="16"/>
          <w:shd w:val="clear" w:color="auto" w:fill="000000"/>
        </w:rPr>
        <w:t>​</w:t>
      </w:r>
      <w:r>
        <w:rPr>
          <w:rStyle w:val="CharStyle8"/>
          <w:spacing w:val="35"/>
          <w:sz w:val="16"/>
          <w:szCs w:val="16"/>
          <w:shd w:val="clear" w:color="auto" w:fill="000000"/>
        </w:rPr>
        <w:t>.</w:t>
      </w:r>
      <w:r>
        <w:rPr>
          <w:rStyle w:val="CharStyle8"/>
          <w:spacing w:val="3"/>
          <w:sz w:val="16"/>
          <w:szCs w:val="16"/>
          <w:shd w:val="clear" w:color="auto" w:fill="000000"/>
        </w:rPr>
        <w:t>.</w:t>
      </w:r>
      <w:r>
        <w:rPr>
          <w:rStyle w:val="CharStyle8"/>
          <w:spacing w:val="4"/>
          <w:sz w:val="16"/>
          <w:szCs w:val="16"/>
          <w:shd w:val="clear" w:color="auto" w:fill="000000"/>
        </w:rPr>
        <w:t>........</w:t>
      </w:r>
      <w:r>
        <w:rPr>
          <w:rStyle w:val="CharStyle8"/>
          <w:spacing w:val="6"/>
          <w:sz w:val="16"/>
          <w:szCs w:val="16"/>
          <w:shd w:val="clear" w:color="auto" w:fill="000000"/>
        </w:rPr>
        <w:t>..</w:t>
      </w:r>
      <w:r>
        <w:rPr>
          <w:rStyle w:val="CharStyle8"/>
          <w:spacing w:val="7"/>
          <w:sz w:val="16"/>
          <w:szCs w:val="16"/>
          <w:shd w:val="clear" w:color="auto" w:fill="000000"/>
        </w:rPr>
        <w:t>.</w:t>
      </w:r>
      <w:r>
        <w:rPr>
          <w:rStyle w:val="CharStyle8"/>
          <w:spacing w:val="4"/>
          <w:sz w:val="16"/>
          <w:szCs w:val="16"/>
          <w:shd w:val="clear" w:color="auto" w:fill="000000"/>
        </w:rPr>
        <w:t>.</w:t>
      </w:r>
      <w:r>
        <w:rPr>
          <w:rStyle w:val="CharStyle8"/>
          <w:spacing w:val="5"/>
          <w:sz w:val="16"/>
          <w:szCs w:val="16"/>
          <w:shd w:val="clear" w:color="auto" w:fill="000000"/>
        </w:rPr>
        <w:t>.</w:t>
      </w:r>
      <w:r>
        <w:rPr>
          <w:rStyle w:val="CharStyle8"/>
          <w:sz w:val="16"/>
          <w:szCs w:val="16"/>
          <w:shd w:val="clear" w:color="auto" w:fill="000000"/>
        </w:rPr>
        <w:t>​</w:t>
      </w:r>
      <w:r>
        <w:rPr>
          <w:rStyle w:val="CharStyle8"/>
          <w:spacing w:val="3"/>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7"/>
        <w:keepNext w:val="0"/>
        <w:keepLines w:val="0"/>
        <w:framePr w:w="4334" w:h="1229" w:wrap="none" w:hAnchor="page" w:x="6503" w:y="4806"/>
        <w:widowControl w:val="0"/>
        <w:shd w:val="clear" w:color="auto" w:fill="auto"/>
        <w:tabs>
          <w:tab w:leader="hyphen" w:pos="538" w:val="left"/>
          <w:tab w:leader="hyphen" w:pos="1018" w:val="left"/>
          <w:tab w:leader="hyphen" w:pos="2616" w:val="left"/>
        </w:tabs>
        <w:bidi w:val="0"/>
        <w:spacing w:before="0" w:after="0" w:line="240" w:lineRule="auto"/>
        <w:ind w:left="0" w:right="0" w:firstLine="0"/>
        <w:jc w:val="right"/>
        <w:rPr>
          <w:sz w:val="16"/>
          <w:szCs w:val="16"/>
        </w:rPr>
      </w:pP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4"/>
          <w:sz w:val="16"/>
          <w:szCs w:val="16"/>
          <w:shd w:val="clear" w:color="auto" w:fill="000000"/>
        </w:rPr>
        <w:t>.</w:t>
      </w:r>
      <w:r>
        <w:rPr>
          <w:rStyle w:val="CharStyle8"/>
          <w:spacing w:val="5"/>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9"/>
          <w:sz w:val="16"/>
          <w:szCs w:val="16"/>
          <w:shd w:val="clear" w:color="auto" w:fill="000000"/>
        </w:rPr>
        <w:t>.</w:t>
      </w:r>
      <w:r>
        <w:rPr>
          <w:rStyle w:val="CharStyle8"/>
          <w:spacing w:val="10"/>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7"/>
          <w:sz w:val="16"/>
          <w:szCs w:val="16"/>
          <w:shd w:val="clear" w:color="auto" w:fill="000000"/>
        </w:rPr>
        <w:t>....</w:t>
      </w:r>
      <w:r>
        <w:rPr>
          <w:rStyle w:val="CharStyle8"/>
          <w:sz w:val="16"/>
          <w:szCs w:val="16"/>
          <w:shd w:val="clear" w:color="auto" w:fill="000000"/>
        </w:rPr>
        <w:t>​</w:t>
      </w:r>
      <w:r>
        <w:rPr>
          <w:rStyle w:val="CharStyle8"/>
          <w:spacing w:val="9"/>
          <w:sz w:val="16"/>
          <w:szCs w:val="16"/>
          <w:shd w:val="clear" w:color="auto" w:fill="000000"/>
        </w:rPr>
        <w:t>..</w:t>
      </w:r>
      <w:r>
        <w:rPr>
          <w:rStyle w:val="CharStyle8"/>
          <w:spacing w:val="10"/>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30"/>
        <w:keepNext w:val="0"/>
        <w:keepLines w:val="0"/>
        <w:framePr w:w="821" w:h="518" w:wrap="none" w:hAnchor="page" w:x="1429" w:y="6371"/>
        <w:widowControl w:val="0"/>
        <w:shd w:val="clear" w:color="auto" w:fill="auto"/>
        <w:bidi w:val="0"/>
        <w:spacing w:before="0" w:after="40" w:line="240" w:lineRule="auto"/>
        <w:ind w:left="0" w:right="0" w:firstLine="0"/>
        <w:jc w:val="left"/>
      </w:pPr>
      <w:r>
        <w:rPr>
          <w:rStyle w:val="CharStyle31"/>
        </w:rPr>
        <w:t>ředitelka</w:t>
      </w:r>
    </w:p>
    <w:p>
      <w:pPr>
        <w:pStyle w:val="Style30"/>
        <w:keepNext w:val="0"/>
        <w:keepLines w:val="0"/>
        <w:framePr w:w="821" w:h="518" w:wrap="none" w:hAnchor="page" w:x="1429" w:y="6371"/>
        <w:widowControl w:val="0"/>
        <w:shd w:val="clear" w:color="auto" w:fill="auto"/>
        <w:bidi w:val="0"/>
        <w:spacing w:before="0" w:after="0" w:line="240" w:lineRule="auto"/>
        <w:ind w:left="0" w:right="0" w:firstLine="0"/>
        <w:jc w:val="left"/>
        <w:rPr>
          <w:sz w:val="19"/>
          <w:szCs w:val="19"/>
        </w:rPr>
      </w:pPr>
      <w:r>
        <w:rPr>
          <w:rStyle w:val="CharStyle31"/>
          <w:b/>
          <w:bCs/>
          <w:sz w:val="19"/>
          <w:szCs w:val="19"/>
        </w:rPr>
        <w:t>Kupující</w:t>
      </w:r>
    </w:p>
    <w:p>
      <w:pPr>
        <w:pStyle w:val="Style12"/>
        <w:keepNext/>
        <w:keepLines/>
        <w:framePr w:w="2573" w:h="883" w:wrap="none" w:hAnchor="page" w:x="2595" w:y="6740"/>
        <w:widowControl w:val="0"/>
        <w:shd w:val="clear" w:color="auto" w:fill="auto"/>
        <w:bidi w:val="0"/>
        <w:spacing w:before="0" w:after="0" w:line="240" w:lineRule="auto"/>
        <w:ind w:left="0" w:right="0" w:firstLine="0"/>
        <w:jc w:val="center"/>
      </w:pPr>
      <w:bookmarkStart w:id="6" w:name="bookmark6"/>
      <w:r>
        <w:rPr>
          <w:rStyle w:val="CharStyle13"/>
          <w:color w:val="8EDBEE"/>
          <w:w w:val="80"/>
        </w:rPr>
        <w:t>Zdravotnická záchranná služba</w:t>
      </w:r>
      <w:bookmarkEnd w:id="6"/>
    </w:p>
    <w:p>
      <w:pPr>
        <w:pStyle w:val="Style7"/>
        <w:keepNext w:val="0"/>
        <w:keepLines w:val="0"/>
        <w:framePr w:w="2573" w:h="883" w:wrap="none" w:hAnchor="page" w:x="2595" w:y="6740"/>
        <w:widowControl w:val="0"/>
        <w:shd w:val="clear" w:color="auto" w:fill="auto"/>
        <w:bidi w:val="0"/>
        <w:spacing w:before="0" w:after="0" w:line="240" w:lineRule="auto"/>
        <w:ind w:left="0" w:right="0" w:firstLine="0"/>
        <w:jc w:val="center"/>
      </w:pPr>
      <w:r>
        <w:rPr>
          <w:rStyle w:val="CharStyle8"/>
          <w:color w:val="8EDBEE"/>
        </w:rPr>
        <w:t>Jihomoravského kraje, p.o.</w:t>
        <w:br/>
        <w:t>Kamenice 798/1 d, 625 00 Brno</w:t>
        <w:br/>
        <w:t>21</w:t>
      </w:r>
    </w:p>
    <w:p>
      <w:pPr>
        <w:pStyle w:val="Style30"/>
        <w:keepNext w:val="0"/>
        <w:keepLines w:val="0"/>
        <w:framePr w:w="1709" w:h="787" w:wrap="none" w:hAnchor="page" w:x="6767" w:y="6111"/>
        <w:widowControl w:val="0"/>
        <w:shd w:val="clear" w:color="auto" w:fill="auto"/>
        <w:bidi w:val="0"/>
        <w:spacing w:before="0" w:after="0" w:line="240" w:lineRule="auto"/>
        <w:ind w:left="0" w:right="0" w:firstLine="0"/>
        <w:jc w:val="left"/>
      </w:pPr>
      <w:r>
        <w:rPr>
          <w:rStyle w:val="CharStyle31"/>
        </w:rPr>
        <w:t>Martin Liška</w:t>
      </w:r>
    </w:p>
    <w:p>
      <w:pPr>
        <w:pStyle w:val="Style30"/>
        <w:keepNext w:val="0"/>
        <w:keepLines w:val="0"/>
        <w:framePr w:w="1709" w:h="787" w:wrap="none" w:hAnchor="page" w:x="6767" w:y="6111"/>
        <w:widowControl w:val="0"/>
        <w:shd w:val="clear" w:color="auto" w:fill="auto"/>
        <w:bidi w:val="0"/>
        <w:spacing w:before="0" w:after="0" w:line="240" w:lineRule="auto"/>
        <w:ind w:left="0" w:right="0" w:firstLine="0"/>
        <w:jc w:val="left"/>
      </w:pPr>
      <w:r>
        <w:rPr>
          <w:rStyle w:val="CharStyle31"/>
        </w:rPr>
        <w:t>Jednatel LHL s.r.o.</w:t>
      </w:r>
    </w:p>
    <w:p>
      <w:pPr>
        <w:pStyle w:val="Style30"/>
        <w:keepNext w:val="0"/>
        <w:keepLines w:val="0"/>
        <w:framePr w:w="1709" w:h="787" w:wrap="none" w:hAnchor="page" w:x="6767" w:y="6111"/>
        <w:widowControl w:val="0"/>
        <w:shd w:val="clear" w:color="auto" w:fill="auto"/>
        <w:bidi w:val="0"/>
        <w:spacing w:before="0" w:after="0" w:line="240" w:lineRule="auto"/>
        <w:ind w:left="0" w:right="0" w:firstLine="0"/>
        <w:jc w:val="left"/>
        <w:rPr>
          <w:sz w:val="19"/>
          <w:szCs w:val="19"/>
        </w:rPr>
      </w:pPr>
      <w:r>
        <w:rPr>
          <w:rStyle w:val="CharStyle31"/>
          <w:b/>
          <w:bCs/>
          <w:sz w:val="19"/>
          <w:szCs w:val="19"/>
        </w:rPr>
        <w:t>Prodávající</w:t>
      </w:r>
    </w:p>
    <w:p>
      <w:pPr>
        <w:pStyle w:val="Style30"/>
        <w:keepNext w:val="0"/>
        <w:keepLines w:val="0"/>
        <w:framePr w:w="3552" w:h="245" w:wrap="none" w:hAnchor="page" w:x="1429" w:y="7667"/>
        <w:widowControl w:val="0"/>
        <w:shd w:val="clear" w:color="auto" w:fill="auto"/>
        <w:bidi w:val="0"/>
        <w:spacing w:before="0" w:after="0" w:line="240" w:lineRule="auto"/>
        <w:ind w:left="0" w:right="0" w:firstLine="0"/>
        <w:jc w:val="left"/>
        <w:rPr>
          <w:sz w:val="19"/>
          <w:szCs w:val="19"/>
        </w:rPr>
      </w:pPr>
      <w:r>
        <w:rPr>
          <w:rStyle w:val="CharStyle31"/>
          <w:b/>
          <w:bCs/>
          <w:sz w:val="19"/>
          <w:szCs w:val="19"/>
        </w:rPr>
        <w:t>Příloha č. 1 Technická specifikace</w:t>
      </w:r>
    </w:p>
    <w:p>
      <w:pPr>
        <w:widowControl w:val="0"/>
        <w:spacing w:line="360" w:lineRule="exact"/>
      </w:pPr>
      <w:r>
        <w:drawing>
          <wp:anchor distT="0" distB="161290" distL="21590" distR="0" simplePos="0" relativeHeight="62914694" behindDoc="1" locked="0" layoutInCell="1" allowOverlap="1">
            <wp:simplePos x="0" y="0"/>
            <wp:positionH relativeFrom="page">
              <wp:posOffset>928370</wp:posOffset>
            </wp:positionH>
            <wp:positionV relativeFrom="margin">
              <wp:posOffset>3279775</wp:posOffset>
            </wp:positionV>
            <wp:extent cx="2115185" cy="60325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115185" cy="603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9" w:line="1" w:lineRule="exact"/>
      </w:pPr>
    </w:p>
    <w:p>
      <w:pPr>
        <w:widowControl w:val="0"/>
        <w:spacing w:line="1" w:lineRule="exact"/>
        <w:sectPr>
          <w:footnotePr>
            <w:pos w:val="pageBottom"/>
            <w:numFmt w:val="decimal"/>
            <w:numRestart w:val="continuous"/>
          </w:footnotePr>
          <w:pgSz w:w="11900" w:h="16840"/>
          <w:pgMar w:top="1232" w:right="1064" w:bottom="854" w:left="1423" w:header="0" w:footer="3" w:gutter="0"/>
          <w:cols w:space="720"/>
          <w:noEndnote/>
          <w:rtlGutter w:val="0"/>
          <w:docGrid w:linePitch="360"/>
        </w:sectPr>
      </w:pPr>
    </w:p>
    <w:p>
      <w:pPr>
        <w:pStyle w:val="Style72"/>
        <w:keepNext w:val="0"/>
        <w:keepLines w:val="0"/>
        <w:widowControl w:val="0"/>
        <w:shd w:val="clear" w:color="auto" w:fill="auto"/>
        <w:bidi w:val="0"/>
        <w:spacing w:before="0" w:line="240" w:lineRule="auto"/>
        <w:ind w:right="0" w:firstLine="0"/>
        <w:jc w:val="left"/>
      </w:pPr>
      <w:r>
        <w:rPr>
          <w:rStyle w:val="CharStyle73"/>
          <w:b/>
          <w:bCs/>
        </w:rPr>
        <w:t>Příloha č. 2bl materiálu k bodu č. programu</w:t>
      </w:r>
    </w:p>
    <w:p>
      <w:pPr>
        <w:pStyle w:val="Style30"/>
        <w:keepNext w:val="0"/>
        <w:keepLines w:val="0"/>
        <w:widowControl w:val="0"/>
        <w:shd w:val="clear" w:color="auto" w:fill="auto"/>
        <w:bidi w:val="0"/>
        <w:spacing w:before="0" w:after="340" w:line="240" w:lineRule="auto"/>
        <w:ind w:left="0" w:right="0" w:firstLine="0"/>
        <w:jc w:val="center"/>
      </w:pPr>
      <w:r>
        <w:rPr>
          <w:rStyle w:val="CharStyle31"/>
          <w:b/>
          <w:bCs/>
          <w:u w:val="single"/>
        </w:rPr>
        <w:t>Konfigurovatelný pulsní oxymetr s měřením SpCO (karboxyhemoglobinu)</w:t>
      </w:r>
    </w:p>
    <w:p>
      <w:pPr>
        <w:pStyle w:val="Style7"/>
        <w:keepNext w:val="0"/>
        <w:keepLines w:val="0"/>
        <w:widowControl w:val="0"/>
        <w:shd w:val="clear" w:color="auto" w:fill="auto"/>
        <w:bidi w:val="0"/>
        <w:spacing w:before="0" w:after="200" w:line="271" w:lineRule="auto"/>
        <w:ind w:left="0" w:right="0" w:firstLine="0"/>
        <w:jc w:val="left"/>
      </w:pPr>
      <w:r>
        <w:rPr>
          <w:rStyle w:val="CharStyle8"/>
        </w:rPr>
        <w:t>Konfigurovatelný pulsní oxymetr s měřením SpCO (karboxyhemoglobinu) vhodný pro sanitní vozidla RLP (rychlá lékařská pomoc), RZP (rychlá zdravotnická pomoc) a LZS (letecká záchranná služba) určený pro umístění do sanitních vozidel RLP, RZP a LZS</w:t>
      </w:r>
    </w:p>
    <w:tbl>
      <w:tblPr>
        <w:tblOverlap w:val="never"/>
        <w:jc w:val="center"/>
        <w:tblLayout w:type="fixed"/>
      </w:tblPr>
      <w:tblGrid>
        <w:gridCol w:w="5174"/>
        <w:gridCol w:w="4661"/>
      </w:tblGrid>
      <w:tr>
        <w:trPr>
          <w:trHeight w:val="240"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b/>
                <w:bCs/>
                <w:sz w:val="17"/>
                <w:szCs w:val="17"/>
              </w:rPr>
              <w:t>Model - typové/výrobní označení:</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i/>
                <w:iCs/>
                <w:color w:val="E07767"/>
                <w:sz w:val="17"/>
                <w:szCs w:val="17"/>
              </w:rPr>
              <w:t>Rad-57 s SpCO</w:t>
            </w:r>
          </w:p>
        </w:tc>
      </w:tr>
      <w:tr>
        <w:trPr>
          <w:trHeight w:val="23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b/>
                <w:bCs/>
                <w:sz w:val="17"/>
                <w:szCs w:val="17"/>
              </w:rPr>
              <w:t>Výrobce:</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i/>
                <w:iCs/>
                <w:color w:val="E07767"/>
                <w:sz w:val="17"/>
                <w:szCs w:val="17"/>
              </w:rPr>
              <w:t>Masimo Corporation</w:t>
            </w:r>
          </w:p>
        </w:tc>
      </w:tr>
      <w:tr>
        <w:trPr>
          <w:trHeight w:val="245"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b/>
                <w:bCs/>
                <w:sz w:val="17"/>
                <w:szCs w:val="17"/>
              </w:rPr>
              <w:t>Počet kusů:</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b/>
                <w:bCs/>
                <w:sz w:val="17"/>
                <w:szCs w:val="17"/>
              </w:rPr>
              <w:t>10</w:t>
            </w:r>
          </w:p>
        </w:tc>
      </w:tr>
    </w:tbl>
    <w:p>
      <w:pPr>
        <w:widowControl w:val="0"/>
        <w:spacing w:after="199" w:line="1" w:lineRule="exact"/>
      </w:pPr>
    </w:p>
    <w:p>
      <w:pPr>
        <w:widowControl w:val="0"/>
        <w:spacing w:line="1" w:lineRule="exact"/>
      </w:pPr>
    </w:p>
    <w:tbl>
      <w:tblPr>
        <w:tblOverlap w:val="never"/>
        <w:jc w:val="center"/>
        <w:tblLayout w:type="fixed"/>
      </w:tblPr>
      <w:tblGrid>
        <w:gridCol w:w="446"/>
        <w:gridCol w:w="4733"/>
        <w:gridCol w:w="4680"/>
      </w:tblGrid>
      <w:tr>
        <w:trPr>
          <w:trHeight w:val="322" w:hRule="exact"/>
        </w:trPr>
        <w:tc>
          <w:tcPr>
            <w:tcBorders>
              <w:top w:val="single" w:sz="4"/>
              <w:left w:val="single" w:sz="4"/>
            </w:tcBorders>
            <w:shd w:val="clear" w:color="auto" w:fill="FDFDA7"/>
            <w:vAlign w:val="top"/>
          </w:tcPr>
          <w:p>
            <w:pPr>
              <w:widowControl w:val="0"/>
              <w:rPr>
                <w:sz w:val="10"/>
                <w:szCs w:val="10"/>
              </w:rPr>
            </w:pPr>
          </w:p>
        </w:tc>
        <w:tc>
          <w:tcPr>
            <w:tcBorders>
              <w:top w:val="single" w:sz="4"/>
            </w:tcBorders>
            <w:shd w:val="clear" w:color="auto" w:fill="FDFDA7"/>
            <w:vAlign w:val="bottom"/>
          </w:tcPr>
          <w:p>
            <w:pPr>
              <w:pStyle w:val="Style14"/>
              <w:keepNext w:val="0"/>
              <w:keepLines w:val="0"/>
              <w:widowControl w:val="0"/>
              <w:shd w:val="clear" w:color="auto" w:fill="auto"/>
              <w:bidi w:val="0"/>
              <w:spacing w:before="0" w:after="0" w:line="240" w:lineRule="auto"/>
              <w:ind w:left="1240" w:right="0" w:firstLine="0"/>
              <w:jc w:val="left"/>
              <w:rPr>
                <w:sz w:val="17"/>
                <w:szCs w:val="17"/>
              </w:rPr>
            </w:pPr>
            <w:r>
              <w:rPr>
                <w:rStyle w:val="CharStyle15"/>
                <w:b/>
                <w:bCs/>
                <w:sz w:val="17"/>
                <w:szCs w:val="17"/>
              </w:rPr>
              <w:t>Požadavky zadavatele</w:t>
            </w:r>
          </w:p>
        </w:tc>
        <w:tc>
          <w:tcPr>
            <w:tcBorders>
              <w:top w:val="single" w:sz="4"/>
              <w:right w:val="single" w:sz="4"/>
            </w:tcBorders>
            <w:shd w:val="clear" w:color="auto" w:fill="FDFDA7"/>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b/>
                <w:bCs/>
                <w:sz w:val="17"/>
                <w:szCs w:val="17"/>
              </w:rPr>
              <w:t>Účastníkem nabízená hodnota</w:t>
            </w:r>
          </w:p>
        </w:tc>
      </w:tr>
      <w:tr>
        <w:trPr>
          <w:trHeight w:val="672"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color w:val="141C2D"/>
                <w:sz w:val="17"/>
                <w:szCs w:val="17"/>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9" w:lineRule="auto"/>
              <w:ind w:left="0" w:right="0" w:firstLine="0"/>
              <w:jc w:val="both"/>
              <w:rPr>
                <w:sz w:val="17"/>
                <w:szCs w:val="17"/>
              </w:rPr>
            </w:pPr>
            <w:r>
              <w:rPr>
                <w:rStyle w:val="CharStyle15"/>
                <w:color w:val="141C2D"/>
                <w:sz w:val="17"/>
                <w:szCs w:val="17"/>
              </w:rPr>
              <w:t>Konfigurovatelný pulsní oxymetr včetně kabelu, LED displej. Pacientský kabel odolný, konstruovaný pro náročné používání v podmínkách ZZS.</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446"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6" w:lineRule="auto"/>
              <w:ind w:left="0" w:right="0" w:firstLine="0"/>
              <w:jc w:val="both"/>
              <w:rPr>
                <w:sz w:val="17"/>
                <w:szCs w:val="17"/>
              </w:rPr>
            </w:pPr>
            <w:r>
              <w:rPr>
                <w:rStyle w:val="CharStyle15"/>
                <w:color w:val="141C2D"/>
                <w:sz w:val="17"/>
                <w:szCs w:val="17"/>
              </w:rPr>
              <w:t>Snadná přenositelnost přístroje - hmotnost přístroje s baterií max. 370g. LED display.</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883"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9" w:lineRule="auto"/>
              <w:ind w:left="0" w:right="0" w:firstLine="0"/>
              <w:jc w:val="both"/>
              <w:rPr>
                <w:sz w:val="17"/>
                <w:szCs w:val="17"/>
              </w:rPr>
            </w:pPr>
            <w:r>
              <w:rPr>
                <w:rStyle w:val="CharStyle15"/>
                <w:color w:val="141C2D"/>
                <w:sz w:val="17"/>
                <w:szCs w:val="17"/>
              </w:rPr>
              <w:t>Rozměry složeného přístroje včetně přepravního obalu:výška 17,5 -18,5 cm, šířka 7,6 - 9,6 cm,hloubka 3,6 4,6 cm z důvodů specifických požadavků na uložení přístroje v sanitním voze ZZS</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0"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color w:val="141C2D"/>
                <w:sz w:val="17"/>
                <w:szCs w:val="17"/>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Měření saturace během pohybu a nízké perfuze</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878"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62" w:lineRule="auto"/>
              <w:ind w:left="0" w:right="0" w:firstLine="0"/>
              <w:jc w:val="both"/>
              <w:rPr>
                <w:sz w:val="17"/>
                <w:szCs w:val="17"/>
              </w:rPr>
            </w:pPr>
            <w:r>
              <w:rPr>
                <w:rStyle w:val="CharStyle15"/>
                <w:color w:val="141C2D"/>
                <w:sz w:val="17"/>
                <w:szCs w:val="17"/>
              </w:rPr>
              <w:t>SET Technologie měření saturace, tepová frekvence, perfúzní index, index variability prokrvení, celkový hemoglobin, methehemoglobin, carboxyhemoglobin, SpO2</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62" w:lineRule="auto"/>
              <w:ind w:left="0" w:right="0" w:firstLine="0"/>
              <w:jc w:val="center"/>
              <w:rPr>
                <w:sz w:val="17"/>
                <w:szCs w:val="17"/>
              </w:rPr>
            </w:pPr>
            <w:r>
              <w:rPr>
                <w:rStyle w:val="CharStyle15"/>
                <w:i/>
                <w:iCs/>
                <w:color w:val="E07767"/>
                <w:sz w:val="17"/>
                <w:szCs w:val="17"/>
              </w:rPr>
              <w:t>SET Technologie měřeni saturace, tepová frekvence perfúzní index, index variability prokrvení,carboxyhemoglobin, SpO2</w:t>
            </w:r>
          </w:p>
        </w:tc>
      </w:tr>
      <w:tr>
        <w:trPr>
          <w:trHeight w:val="442"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ind w:left="0" w:right="0" w:firstLine="0"/>
              <w:jc w:val="both"/>
              <w:rPr>
                <w:sz w:val="17"/>
                <w:szCs w:val="17"/>
              </w:rPr>
            </w:pPr>
            <w:r>
              <w:rPr>
                <w:rStyle w:val="CharStyle15"/>
                <w:color w:val="141C2D"/>
                <w:sz w:val="17"/>
                <w:szCs w:val="17"/>
              </w:rPr>
              <w:t>Kontinuální přenosné monitorovací zařízení, odolný, lehký, vhodný do terénu</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442"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71" w:lineRule="auto"/>
              <w:ind w:left="0" w:right="0" w:firstLine="0"/>
              <w:jc w:val="both"/>
              <w:rPr>
                <w:sz w:val="17"/>
                <w:szCs w:val="17"/>
              </w:rPr>
            </w:pPr>
            <w:r>
              <w:rPr>
                <w:rStyle w:val="CharStyle15"/>
                <w:color w:val="141C2D"/>
                <w:sz w:val="17"/>
                <w:szCs w:val="17"/>
              </w:rPr>
              <w:t>Indikátor slabého signálu upozorňující na nižší spolehlivost měření.</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0"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Paměťová historie vzorků měření po dobu 72 hodin</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667"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9.</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69" w:lineRule="auto"/>
              <w:ind w:left="0" w:right="0" w:firstLine="0"/>
              <w:jc w:val="left"/>
              <w:rPr>
                <w:sz w:val="17"/>
                <w:szCs w:val="17"/>
              </w:rPr>
            </w:pPr>
            <w:r>
              <w:rPr>
                <w:rStyle w:val="CharStyle15"/>
                <w:color w:val="141C2D"/>
                <w:sz w:val="17"/>
                <w:szCs w:val="17"/>
              </w:rPr>
              <w:t>Senzor SpO2 - prstové čidlo, pro měření SpCO, SpMET,SpO2, včetně kabelu 0 délce min. 1m pro dospělé, opakované použití</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888"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9" w:lineRule="auto"/>
              <w:ind w:left="0" w:right="0" w:firstLine="0"/>
              <w:jc w:val="both"/>
              <w:rPr>
                <w:sz w:val="17"/>
                <w:szCs w:val="17"/>
              </w:rPr>
            </w:pPr>
            <w:r>
              <w:rPr>
                <w:rStyle w:val="CharStyle15"/>
                <w:color w:val="141C2D"/>
                <w:sz w:val="17"/>
                <w:szCs w:val="17"/>
              </w:rPr>
              <w:t>Rozmezí měření saturace kyslíkem (%SpO2) 70 - 100%,přesnost v klidu odchylka max. 2%, přesnost v pohybu odchylka max. 3%, přesnost při špatném prokrvení odchylka max. 2%</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878"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6" w:lineRule="auto"/>
              <w:ind w:left="0" w:right="0" w:firstLine="0"/>
              <w:jc w:val="both"/>
              <w:rPr>
                <w:sz w:val="17"/>
                <w:szCs w:val="17"/>
              </w:rPr>
            </w:pPr>
            <w:r>
              <w:rPr>
                <w:rStyle w:val="CharStyle15"/>
                <w:color w:val="141C2D"/>
                <w:sz w:val="17"/>
                <w:szCs w:val="17"/>
              </w:rPr>
              <w:t>Rozmezí měření tepové frekvence 25 - 240 tepů/min. Přesnost měření tepové frekvence: v klidu odchylka max. 3 tepy/min.,v pohybu odchylka max. 5 tepů/min., při špatném prokrvení odchylka max. 3 tepy/mín.</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662"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12.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ind w:left="0" w:right="0" w:firstLine="0"/>
              <w:jc w:val="both"/>
              <w:rPr>
                <w:sz w:val="17"/>
                <w:szCs w:val="17"/>
              </w:rPr>
            </w:pPr>
            <w:r>
              <w:rPr>
                <w:rStyle w:val="CharStyle15"/>
                <w:color w:val="141C2D"/>
                <w:sz w:val="17"/>
                <w:szCs w:val="17"/>
              </w:rPr>
              <w:t>Rozmezí měření celkového hemoglobinu 8 - 17g/dL. Přesnost měření celkového hemoglobinu odchylka max. 1g/dL</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442"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13.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6" w:lineRule="auto"/>
              <w:ind w:left="0" w:right="0" w:firstLine="0"/>
              <w:jc w:val="both"/>
              <w:rPr>
                <w:sz w:val="17"/>
                <w:szCs w:val="17"/>
              </w:rPr>
            </w:pPr>
            <w:r>
              <w:rPr>
                <w:rStyle w:val="CharStyle15"/>
                <w:color w:val="141C2D"/>
                <w:sz w:val="17"/>
                <w:szCs w:val="17"/>
              </w:rPr>
              <w:t>Rozmezí měření karboxyhemoglobinu 1-40%. Přesnost měření karboxyhemoglobinu odchylka max. 3%.</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451" w:hRule="exact"/>
        </w:trPr>
        <w:tc>
          <w:tcPr>
            <w:tcBorders>
              <w:top w:val="single" w:sz="4"/>
              <w:left w:val="single" w:sz="4"/>
            </w:tcBorders>
            <w:shd w:val="clear" w:color="auto" w:fill="C4F0FC"/>
            <w:vAlign w:val="center"/>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14.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ind w:left="0" w:right="0" w:firstLine="0"/>
              <w:jc w:val="both"/>
              <w:rPr>
                <w:sz w:val="17"/>
                <w:szCs w:val="17"/>
              </w:rPr>
            </w:pPr>
            <w:r>
              <w:rPr>
                <w:rStyle w:val="CharStyle15"/>
                <w:color w:val="141C2D"/>
                <w:sz w:val="17"/>
                <w:szCs w:val="17"/>
              </w:rPr>
              <w:t>Rozmezí měření methemoglobinu 1 -15%. Přesnost měření methemoglobínu odchylka max. 1%.</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5"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Grafický pulsní index</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0"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color w:val="141C2D"/>
                <w:sz w:val="17"/>
                <w:szCs w:val="17"/>
              </w:rPr>
              <w:t>16.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Nastavitelné alarmy</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5"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17.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rPr>
                <w:sz w:val="17"/>
                <w:szCs w:val="17"/>
              </w:rPr>
            </w:pPr>
            <w:r>
              <w:rPr>
                <w:rStyle w:val="CharStyle15"/>
                <w:color w:val="141C2D"/>
                <w:sz w:val="17"/>
                <w:szCs w:val="17"/>
              </w:rPr>
              <w:t>Trvalé nebo jednorázové neivazivní měření</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26"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18.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Napájení 4x AA baterie</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230" w:hRule="exact"/>
        </w:trPr>
        <w:tc>
          <w:tcPr>
            <w:tcBorders>
              <w:top w:val="single" w:sz="4"/>
              <w:left w:val="single" w:sz="4"/>
            </w:tcBorders>
            <w:shd w:val="clear" w:color="auto" w:fill="C4F0FC"/>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Návod k obsluze v českém jazyce</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r>
        <w:trPr>
          <w:trHeight w:val="307" w:hRule="exact"/>
        </w:trPr>
        <w:tc>
          <w:tcPr>
            <w:tcBorders>
              <w:top w:val="single" w:sz="4"/>
              <w:left w:val="single" w:sz="4"/>
              <w:bottom w:val="single" w:sz="4"/>
            </w:tcBorders>
            <w:shd w:val="clear" w:color="auto" w:fill="C4F0FC"/>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20.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color w:val="141C2D"/>
                <w:sz w:val="17"/>
                <w:szCs w:val="17"/>
              </w:rPr>
              <w:t>Funkčnost při provozní teplotě -18 až + 54°C</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rStyle w:val="CharStyle15"/>
                <w:i/>
                <w:iCs/>
                <w:color w:val="E07767"/>
                <w:sz w:val="17"/>
                <w:szCs w:val="17"/>
              </w:rPr>
              <w:t>ANO</w:t>
            </w:r>
          </w:p>
        </w:tc>
      </w:tr>
    </w:tbl>
    <w:p>
      <w:pPr>
        <w:widowControl w:val="0"/>
        <w:spacing w:after="239" w:line="1" w:lineRule="exact"/>
      </w:pPr>
    </w:p>
    <w:p>
      <w:pPr>
        <w:pStyle w:val="Style47"/>
        <w:keepNext/>
        <w:keepLines/>
        <w:widowControl w:val="0"/>
        <w:shd w:val="clear" w:color="auto" w:fill="auto"/>
        <w:bidi w:val="0"/>
        <w:spacing w:before="0" w:after="0" w:line="240" w:lineRule="auto"/>
        <w:ind w:left="0" w:right="300" w:firstLine="0"/>
        <w:jc w:val="right"/>
      </w:pPr>
      <w:r>
        <w:rPr>
          <w:rStyle w:val="CharStyle48"/>
          <w:color w:val="000000"/>
          <w:spacing w:val="26"/>
          <w:shd w:val="clear" w:color="auto" w:fill="000000"/>
        </w:rPr>
        <w:t>....</w:t>
      </w:r>
      <w:bookmarkStart w:id="8" w:name="bookmark8"/>
      <w:r>
        <w:rPr>
          <w:rStyle w:val="CharStyle48"/>
          <w:color w:val="000000"/>
          <w:shd w:val="clear" w:color="auto" w:fill="000000"/>
        </w:rPr>
        <w:t>​</w:t>
      </w:r>
      <w:r>
        <w:rPr>
          <w:rStyle w:val="CharStyle48"/>
          <w:color w:val="000000"/>
          <w:spacing w:val="4"/>
          <w:shd w:val="clear" w:color="auto" w:fill="000000"/>
        </w:rPr>
        <w:t>..</w:t>
      </w:r>
      <w:r>
        <w:rPr>
          <w:rStyle w:val="CharStyle48"/>
          <w:color w:val="000000"/>
          <w:spacing w:val="5"/>
          <w:shd w:val="clear" w:color="auto" w:fill="000000"/>
        </w:rPr>
        <w:t>..............</w:t>
      </w:r>
      <w:bookmarkEnd w:id="8"/>
    </w:p>
    <w:p>
      <w:pPr>
        <w:pStyle w:val="Style7"/>
        <w:keepNext w:val="0"/>
        <w:keepLines w:val="0"/>
        <w:widowControl w:val="0"/>
        <w:shd w:val="clear" w:color="auto" w:fill="auto"/>
        <w:bidi w:val="0"/>
        <w:spacing w:before="0" w:after="0" w:line="283" w:lineRule="auto"/>
        <w:ind w:left="0" w:right="0" w:firstLine="0"/>
        <w:jc w:val="center"/>
        <w:rPr>
          <w:sz w:val="16"/>
          <w:szCs w:val="16"/>
        </w:rPr>
      </w:pPr>
      <w:r>
        <w:rPr>
          <w:rStyle w:val="CharStyle8"/>
          <w:sz w:val="16"/>
          <w:szCs w:val="16"/>
          <w:shd w:val="clear" w:color="auto" w:fill="000000"/>
        </w:rPr>
        <w:t>.</w:t>
      </w:r>
      <w:r>
        <w:rPr>
          <w:rStyle w:val="CharStyle8"/>
          <w:spacing w:val="1"/>
          <w:sz w:val="16"/>
          <w:szCs w:val="16"/>
          <w:shd w:val="clear" w:color="auto" w:fill="000000"/>
        </w:rPr>
        <w:t>.</w:t>
      </w:r>
      <w:r>
        <w:rPr>
          <w:rStyle w:val="CharStyle8"/>
          <w:spacing w:val="9"/>
          <w:sz w:val="16"/>
          <w:szCs w:val="16"/>
          <w:shd w:val="clear" w:color="auto" w:fill="000000"/>
        </w:rPr>
        <w:t>..</w:t>
      </w:r>
      <w:r>
        <w:rPr>
          <w:rStyle w:val="CharStyle8"/>
          <w:spacing w:val="10"/>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color w:val="858EA5"/>
          <w:sz w:val="16"/>
          <w:szCs w:val="16"/>
        </w:rPr>
        <w:br/>
      </w:r>
      <w:r>
        <w:rPr>
          <w:rStyle w:val="CharStyle8"/>
          <w:sz w:val="16"/>
          <w:szCs w:val="16"/>
          <w:shd w:val="clear" w:color="auto" w:fill="000000"/>
        </w:rPr>
        <w:t>​</w:t>
      </w:r>
      <w:r>
        <w:rPr>
          <w:rStyle w:val="CharStyle8"/>
          <w:spacing w:val="3"/>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2"/>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7"/>
        <w:keepNext w:val="0"/>
        <w:keepLines w:val="0"/>
        <w:widowControl w:val="0"/>
        <w:shd w:val="clear" w:color="auto" w:fill="auto"/>
        <w:bidi w:val="0"/>
        <w:spacing w:before="0" w:after="0" w:line="283" w:lineRule="auto"/>
        <w:ind w:left="0" w:right="0" w:firstLine="0"/>
        <w:jc w:val="right"/>
        <w:rPr>
          <w:sz w:val="16"/>
          <w:szCs w:val="16"/>
        </w:rPr>
      </w:pPr>
      <w:r>
        <w:rPr>
          <w:rStyle w:val="CharStyle8"/>
          <w:spacing w:val="12"/>
          <w:sz w:val="16"/>
          <w:szCs w:val="16"/>
          <w:shd w:val="clear" w:color="auto" w:fill="000000"/>
        </w:rPr>
        <w:t>..</w:t>
      </w:r>
      <w:r>
        <w:rPr>
          <w:rStyle w:val="CharStyle8"/>
          <w:spacing w:val="13"/>
          <w:sz w:val="16"/>
          <w:szCs w:val="16"/>
          <w:shd w:val="clear" w:color="auto" w:fill="000000"/>
        </w:rPr>
        <w:t>.</w:t>
      </w:r>
      <w:r>
        <w:rPr>
          <w:rStyle w:val="CharStyle8"/>
          <w:spacing w:val="2"/>
          <w:sz w:val="16"/>
          <w:szCs w:val="16"/>
          <w:u w:val="single"/>
          <w:shd w:val="clear" w:color="auto" w:fill="000000"/>
        </w:rPr>
        <w:t>....</w:t>
      </w:r>
      <w:r>
        <w:rPr>
          <w:rStyle w:val="CharStyle8"/>
          <w:spacing w:val="3"/>
          <w:sz w:val="16"/>
          <w:szCs w:val="16"/>
          <w:u w:val="single"/>
          <w:shd w:val="clear" w:color="auto" w:fill="000000"/>
        </w:rPr>
        <w:t>....</w:t>
      </w:r>
      <w:r>
        <w:rPr>
          <w:rStyle w:val="CharStyle8"/>
          <w:sz w:val="16"/>
          <w:szCs w:val="16"/>
          <w:u w:val="single"/>
          <w:shd w:val="clear" w:color="auto" w:fill="000000"/>
        </w:rPr>
        <w:t>​.</w:t>
      </w:r>
      <w:r>
        <w:rPr>
          <w:rStyle w:val="CharStyle8"/>
          <w:spacing w:val="1"/>
          <w:sz w:val="16"/>
          <w:szCs w:val="16"/>
          <w:u w:val="single"/>
          <w:shd w:val="clear" w:color="auto" w:fill="000000"/>
        </w:rPr>
        <w:t>.</w:t>
      </w:r>
      <w:r>
        <w:rPr>
          <w:rStyle w:val="CharStyle8"/>
          <w:spacing w:val="4"/>
          <w:sz w:val="16"/>
          <w:szCs w:val="16"/>
          <w:shd w:val="clear" w:color="auto" w:fill="000000"/>
        </w:rPr>
        <w:t>........</w:t>
      </w:r>
      <w:r>
        <w:rPr>
          <w:rStyle w:val="CharStyle8"/>
          <w:spacing w:val="5"/>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7"/>
        <w:keepNext w:val="0"/>
        <w:keepLines w:val="0"/>
        <w:widowControl w:val="0"/>
        <w:shd w:val="clear" w:color="auto" w:fill="auto"/>
        <w:bidi w:val="0"/>
        <w:spacing w:before="0" w:after="300" w:line="283" w:lineRule="auto"/>
        <w:ind w:left="0" w:right="0" w:firstLine="0"/>
        <w:jc w:val="right"/>
        <w:rPr>
          <w:sz w:val="16"/>
          <w:szCs w:val="16"/>
        </w:rPr>
      </w:pPr>
      <w:r>
        <w:rPr>
          <w:rStyle w:val="CharStyle8"/>
          <w:spacing w:val="5"/>
          <w:sz w:val="16"/>
          <w:szCs w:val="16"/>
          <w:shd w:val="clear" w:color="auto" w:fill="000000"/>
        </w:rPr>
        <w:t>...</w:t>
      </w:r>
      <w:r>
        <w:rPr>
          <w:rStyle w:val="CharStyle8"/>
          <w:spacing w:val="6"/>
          <w:sz w:val="16"/>
          <w:szCs w:val="16"/>
          <w:shd w:val="clear" w:color="auto" w:fill="000000"/>
        </w:rPr>
        <w:t>...</w:t>
      </w:r>
      <w:r>
        <w:rPr>
          <w:rStyle w:val="CharStyle8"/>
          <w:sz w:val="16"/>
          <w:szCs w:val="16"/>
          <w:shd w:val="clear" w:color="auto" w:fill="000000"/>
        </w:rPr>
        <w:t>​</w:t>
      </w:r>
      <w:r>
        <w:rPr>
          <w:rStyle w:val="CharStyle8"/>
          <w:spacing w:val="2"/>
          <w:sz w:val="16"/>
          <w:szCs w:val="16"/>
          <w:shd w:val="clear" w:color="auto" w:fill="000000"/>
        </w:rPr>
        <w:t>...........</w:t>
      </w:r>
      <w:r>
        <w:rPr>
          <w:rStyle w:val="CharStyle8"/>
          <w:spacing w:val="3"/>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pacing w:val="2"/>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sectPr>
      <w:footerReference w:type="default" r:id="rId9"/>
      <w:footnotePr>
        <w:pos w:val="pageBottom"/>
        <w:numFmt w:val="decimal"/>
        <w:numRestart w:val="continuous"/>
      </w:footnotePr>
      <w:pgSz w:w="11900" w:h="16840"/>
      <w:pgMar w:top="1194" w:right="1008" w:bottom="927" w:left="1032" w:header="766" w:footer="49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877570</wp:posOffset>
              </wp:positionH>
              <wp:positionV relativeFrom="page">
                <wp:posOffset>10081895</wp:posOffset>
              </wp:positionV>
              <wp:extent cx="2545080" cy="88265"/>
              <wp:wrapNone/>
              <wp:docPr id="1" name="Shape 1"/>
              <a:graphic xmlns:a="http://schemas.openxmlformats.org/drawingml/2006/main">
                <a:graphicData uri="http://schemas.microsoft.com/office/word/2010/wordprocessingShape">
                  <wps:wsp>
                    <wps:cNvSpPr txBox="1"/>
                    <wps:spPr>
                      <a:xfrm>
                        <a:ext cx="254508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Calibri" w:eastAsia="Calibri" w:hAnsi="Calibri" w:cs="Calibri"/>
                              <w:sz w:val="16"/>
                              <w:szCs w:val="16"/>
                            </w:rPr>
                            <w:t>VZ 31-21 „ZZS Jihomoravského kraje - pulsní oxymetry - 2021"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100000000000009pt;margin-top:793.85000000000002pt;width:200.40000000000001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Calibri" w:eastAsia="Calibri" w:hAnsi="Calibri" w:cs="Calibri"/>
                        <w:sz w:val="16"/>
                        <w:szCs w:val="16"/>
                      </w:rPr>
                      <w:t>VZ 31-21 „ZZS Jihomoravského kraje - pulsní oxymetry - 2021"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894080</wp:posOffset>
              </wp:positionH>
              <wp:positionV relativeFrom="page">
                <wp:posOffset>10006330</wp:posOffset>
              </wp:positionV>
              <wp:extent cx="2553970" cy="85090"/>
              <wp:wrapNone/>
              <wp:docPr id="3" name="Shape 3"/>
              <a:graphic xmlns:a="http://schemas.openxmlformats.org/drawingml/2006/main">
                <a:graphicData uri="http://schemas.microsoft.com/office/word/2010/wordprocessingShape">
                  <wps:wsp>
                    <wps:cNvSpPr txBox="1"/>
                    <wps:spPr>
                      <a:xfrm>
                        <a:ext cx="255397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Calibri" w:eastAsia="Calibri" w:hAnsi="Calibri" w:cs="Calibri"/>
                              <w:sz w:val="16"/>
                              <w:szCs w:val="16"/>
                            </w:rPr>
                            <w:t>VZ 31-21 „ZZS Jihomoravského kraje - pulsní oxymetry - 2021"</w:t>
                          </w:r>
                        </w:p>
                      </w:txbxContent>
                    </wps:txbx>
                    <wps:bodyPr wrap="none" lIns="0" tIns="0" rIns="0" bIns="0">
                      <a:spAutoFit/>
                    </wps:bodyPr>
                  </wps:wsp>
                </a:graphicData>
              </a:graphic>
            </wp:anchor>
          </w:drawing>
        </mc:Choice>
        <mc:Fallback>
          <w:pict>
            <v:shape id="_x0000_s1029" type="#_x0000_t202" style="position:absolute;margin-left:70.400000000000006pt;margin-top:787.89999999999998pt;width:201.09999999999999pt;height:6.7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Calibri" w:eastAsia="Calibri" w:hAnsi="Calibri" w:cs="Calibri"/>
                        <w:sz w:val="16"/>
                        <w:szCs w:val="16"/>
                      </w:rPr>
                      <w:t>VZ 31-21 „ZZS Jihomoravského kraje - pulsní oxymetry - 2021"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8"/>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4"/>
      <w:szCs w:val="6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2)_"/>
    <w:basedOn w:val="DefaultParagraphFont"/>
    <w:link w:val="Style7"/>
    <w:rPr>
      <w:rFonts w:ascii="Arial" w:eastAsia="Arial" w:hAnsi="Arial" w:cs="Arial"/>
      <w:b w:val="0"/>
      <w:bCs w:val="0"/>
      <w:i w:val="0"/>
      <w:iCs w:val="0"/>
      <w:smallCaps w:val="0"/>
      <w:strike w:val="0"/>
      <w:sz w:val="17"/>
      <w:szCs w:val="17"/>
      <w:u w:val="none"/>
    </w:rPr>
  </w:style>
  <w:style w:type="character" w:customStyle="1" w:styleId="CharStyle11">
    <w:name w:val="Základní text (4)_"/>
    <w:basedOn w:val="DefaultParagraphFont"/>
    <w:link w:val="Style10"/>
    <w:rPr>
      <w:rFonts w:ascii="Arial" w:eastAsia="Arial" w:hAnsi="Arial" w:cs="Arial"/>
      <w:b/>
      <w:bCs/>
      <w:i w:val="0"/>
      <w:iCs w:val="0"/>
      <w:smallCaps w:val="0"/>
      <w:strike w:val="0"/>
      <w:u w:val="none"/>
    </w:rPr>
  </w:style>
  <w:style w:type="character" w:customStyle="1" w:styleId="CharStyle13">
    <w:name w:val="Nadpis #3_"/>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31">
    <w:name w:val="Základní text_"/>
    <w:basedOn w:val="DefaultParagraphFont"/>
    <w:link w:val="Style30"/>
    <w:rPr>
      <w:rFonts w:ascii="Arial" w:eastAsia="Arial" w:hAnsi="Arial" w:cs="Arial"/>
      <w:b w:val="0"/>
      <w:bCs w:val="0"/>
      <w:i w:val="0"/>
      <w:iCs w:val="0"/>
      <w:smallCaps w:val="0"/>
      <w:strike w:val="0"/>
      <w:sz w:val="20"/>
      <w:szCs w:val="20"/>
      <w:u w:val="none"/>
    </w:rPr>
  </w:style>
  <w:style w:type="character" w:customStyle="1" w:styleId="CharStyle34">
    <w:name w:val="Titulek tabulky_"/>
    <w:basedOn w:val="DefaultParagraphFont"/>
    <w:link w:val="Style33"/>
    <w:rPr>
      <w:rFonts w:ascii="Arial" w:eastAsia="Arial" w:hAnsi="Arial" w:cs="Arial"/>
      <w:b/>
      <w:bCs/>
      <w:i/>
      <w:iCs/>
      <w:smallCaps w:val="0"/>
      <w:strike w:val="0"/>
      <w:sz w:val="20"/>
      <w:szCs w:val="20"/>
      <w:u w:val="none"/>
    </w:rPr>
  </w:style>
  <w:style w:type="character" w:customStyle="1" w:styleId="CharStyle46">
    <w:name w:val="Titulek obrázku_"/>
    <w:basedOn w:val="DefaultParagraphFont"/>
    <w:link w:val="Style45"/>
    <w:rPr>
      <w:rFonts w:ascii="Arial" w:eastAsia="Arial" w:hAnsi="Arial" w:cs="Arial"/>
      <w:b w:val="0"/>
      <w:bCs w:val="0"/>
      <w:i w:val="0"/>
      <w:iCs w:val="0"/>
      <w:smallCaps w:val="0"/>
      <w:strike w:val="0"/>
      <w:sz w:val="20"/>
      <w:szCs w:val="20"/>
      <w:u w:val="none"/>
    </w:rPr>
  </w:style>
  <w:style w:type="character" w:customStyle="1" w:styleId="CharStyle48">
    <w:name w:val="Nadpis #2_"/>
    <w:basedOn w:val="DefaultParagraphFont"/>
    <w:link w:val="Style47"/>
    <w:rPr>
      <w:rFonts w:ascii="Arial" w:eastAsia="Arial" w:hAnsi="Arial" w:cs="Arial"/>
      <w:b w:val="0"/>
      <w:bCs w:val="0"/>
      <w:i w:val="0"/>
      <w:iCs w:val="0"/>
      <w:smallCaps w:val="0"/>
      <w:strike w:val="0"/>
      <w:color w:val="858EA5"/>
      <w:sz w:val="38"/>
      <w:szCs w:val="38"/>
      <w:u w:val="none"/>
    </w:rPr>
  </w:style>
  <w:style w:type="character" w:customStyle="1" w:styleId="CharStyle73">
    <w:name w:val="Základní text (3)_"/>
    <w:basedOn w:val="DefaultParagraphFont"/>
    <w:link w:val="Style72"/>
    <w:rPr>
      <w:rFonts w:ascii="Segoe UI" w:eastAsia="Segoe UI" w:hAnsi="Segoe UI" w:cs="Segoe UI"/>
      <w:b/>
      <w:bCs/>
      <w:i w:val="0"/>
      <w:iCs w:val="0"/>
      <w:smallCaps w:val="0"/>
      <w:strike w:val="0"/>
      <w:sz w:val="15"/>
      <w:szCs w:val="15"/>
      <w:u w:val="none"/>
    </w:rPr>
  </w:style>
  <w:style w:type="paragraph" w:customStyle="1" w:styleId="Style2">
    <w:name w:val="Nadpis #1"/>
    <w:basedOn w:val="Normal"/>
    <w:link w:val="CharStyle3"/>
    <w:pPr>
      <w:widowControl w:val="0"/>
      <w:shd w:val="clear" w:color="auto" w:fill="auto"/>
      <w:spacing w:after="80"/>
      <w:jc w:val="right"/>
      <w:outlineLvl w:val="0"/>
    </w:pPr>
    <w:rPr>
      <w:rFonts w:ascii="Arial" w:eastAsia="Arial" w:hAnsi="Arial" w:cs="Arial"/>
      <w:b w:val="0"/>
      <w:bCs w:val="0"/>
      <w:i w:val="0"/>
      <w:iCs w:val="0"/>
      <w:smallCaps w:val="0"/>
      <w:strike w:val="0"/>
      <w:sz w:val="64"/>
      <w:szCs w:val="6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2)"/>
    <w:basedOn w:val="Normal"/>
    <w:link w:val="CharStyle8"/>
    <w:pPr>
      <w:widowControl w:val="0"/>
      <w:shd w:val="clear" w:color="auto" w:fill="auto"/>
      <w:spacing w:line="254" w:lineRule="auto"/>
      <w:jc w:val="center"/>
    </w:pPr>
    <w:rPr>
      <w:rFonts w:ascii="Arial" w:eastAsia="Arial" w:hAnsi="Arial" w:cs="Arial"/>
      <w:b w:val="0"/>
      <w:bCs w:val="0"/>
      <w:i w:val="0"/>
      <w:iCs w:val="0"/>
      <w:smallCaps w:val="0"/>
      <w:strike w:val="0"/>
      <w:sz w:val="17"/>
      <w:szCs w:val="17"/>
      <w:u w:val="none"/>
    </w:rPr>
  </w:style>
  <w:style w:type="paragraph" w:customStyle="1" w:styleId="Style10">
    <w:name w:val="Základní text (4)"/>
    <w:basedOn w:val="Normal"/>
    <w:link w:val="CharStyle11"/>
    <w:pPr>
      <w:widowControl w:val="0"/>
      <w:shd w:val="clear" w:color="auto" w:fill="auto"/>
      <w:spacing w:after="260"/>
      <w:jc w:val="center"/>
    </w:pPr>
    <w:rPr>
      <w:rFonts w:ascii="Arial" w:eastAsia="Arial" w:hAnsi="Arial" w:cs="Arial"/>
      <w:b/>
      <w:bCs/>
      <w:i w:val="0"/>
      <w:iCs w:val="0"/>
      <w:smallCaps w:val="0"/>
      <w:strike w:val="0"/>
      <w:u w:val="none"/>
    </w:rPr>
  </w:style>
  <w:style w:type="paragraph" w:customStyle="1" w:styleId="Style12">
    <w:name w:val="Nadpis #3"/>
    <w:basedOn w:val="Normal"/>
    <w:link w:val="CharStyle13"/>
    <w:pPr>
      <w:widowControl w:val="0"/>
      <w:shd w:val="clear" w:color="auto" w:fill="auto"/>
      <w:spacing w:after="260"/>
      <w:jc w:val="center"/>
      <w:outlineLvl w:val="2"/>
    </w:pPr>
    <w:rPr>
      <w:rFonts w:ascii="Arial" w:eastAsia="Arial" w:hAnsi="Arial" w:cs="Arial"/>
      <w:b w:val="0"/>
      <w:bCs w:val="0"/>
      <w:i w:val="0"/>
      <w:iCs w:val="0"/>
      <w:smallCaps w:val="0"/>
      <w:strike w:val="0"/>
      <w:sz w:val="22"/>
      <w:szCs w:val="22"/>
      <w:u w:val="none"/>
    </w:rPr>
  </w:style>
  <w:style w:type="paragraph" w:customStyle="1" w:styleId="Style14">
    <w:name w:val="Jiné"/>
    <w:basedOn w:val="Normal"/>
    <w:link w:val="CharStyle15"/>
    <w:pPr>
      <w:widowControl w:val="0"/>
      <w:shd w:val="clear" w:color="auto" w:fill="auto"/>
      <w:spacing w:after="260" w:line="276" w:lineRule="auto"/>
    </w:pPr>
    <w:rPr>
      <w:rFonts w:ascii="Arial" w:eastAsia="Arial" w:hAnsi="Arial" w:cs="Arial"/>
      <w:b w:val="0"/>
      <w:bCs w:val="0"/>
      <w:i w:val="0"/>
      <w:iCs w:val="0"/>
      <w:smallCaps w:val="0"/>
      <w:strike w:val="0"/>
      <w:sz w:val="20"/>
      <w:szCs w:val="20"/>
      <w:u w:val="none"/>
    </w:rPr>
  </w:style>
  <w:style w:type="paragraph" w:customStyle="1" w:styleId="Style30">
    <w:name w:val="Základní text"/>
    <w:basedOn w:val="Normal"/>
    <w:link w:val="CharStyle31"/>
    <w:pPr>
      <w:widowControl w:val="0"/>
      <w:shd w:val="clear" w:color="auto" w:fill="auto"/>
      <w:spacing w:after="260" w:line="276" w:lineRule="auto"/>
    </w:pPr>
    <w:rPr>
      <w:rFonts w:ascii="Arial" w:eastAsia="Arial" w:hAnsi="Arial" w:cs="Arial"/>
      <w:b w:val="0"/>
      <w:bCs w:val="0"/>
      <w:i w:val="0"/>
      <w:iCs w:val="0"/>
      <w:smallCaps w:val="0"/>
      <w:strike w:val="0"/>
      <w:sz w:val="20"/>
      <w:szCs w:val="20"/>
      <w:u w:val="none"/>
    </w:rPr>
  </w:style>
  <w:style w:type="paragraph" w:customStyle="1" w:styleId="Style33">
    <w:name w:val="Titulek tabulky"/>
    <w:basedOn w:val="Normal"/>
    <w:link w:val="CharStyle34"/>
    <w:pPr>
      <w:widowControl w:val="0"/>
      <w:shd w:val="clear" w:color="auto" w:fill="auto"/>
    </w:pPr>
    <w:rPr>
      <w:rFonts w:ascii="Arial" w:eastAsia="Arial" w:hAnsi="Arial" w:cs="Arial"/>
      <w:b/>
      <w:bCs/>
      <w:i/>
      <w:iCs/>
      <w:smallCaps w:val="0"/>
      <w:strike w:val="0"/>
      <w:sz w:val="20"/>
      <w:szCs w:val="20"/>
      <w:u w:val="none"/>
    </w:rPr>
  </w:style>
  <w:style w:type="paragraph" w:customStyle="1" w:styleId="Style45">
    <w:name w:val="Titulek obrázku"/>
    <w:basedOn w:val="Normal"/>
    <w:link w:val="CharStyle46"/>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47">
    <w:name w:val="Nadpis #2"/>
    <w:basedOn w:val="Normal"/>
    <w:link w:val="CharStyle48"/>
    <w:pPr>
      <w:widowControl w:val="0"/>
      <w:shd w:val="clear" w:color="auto" w:fill="auto"/>
      <w:ind w:right="310"/>
      <w:jc w:val="right"/>
      <w:outlineLvl w:val="1"/>
    </w:pPr>
    <w:rPr>
      <w:rFonts w:ascii="Arial" w:eastAsia="Arial" w:hAnsi="Arial" w:cs="Arial"/>
      <w:b w:val="0"/>
      <w:bCs w:val="0"/>
      <w:i w:val="0"/>
      <w:iCs w:val="0"/>
      <w:smallCaps w:val="0"/>
      <w:strike w:val="0"/>
      <w:color w:val="858EA5"/>
      <w:sz w:val="38"/>
      <w:szCs w:val="38"/>
      <w:u w:val="none"/>
    </w:rPr>
  </w:style>
  <w:style w:type="paragraph" w:customStyle="1" w:styleId="Style72">
    <w:name w:val="Základní text (3)"/>
    <w:basedOn w:val="Normal"/>
    <w:link w:val="CharStyle73"/>
    <w:pPr>
      <w:widowControl w:val="0"/>
      <w:shd w:val="clear" w:color="auto" w:fill="auto"/>
      <w:spacing w:after="380"/>
      <w:ind w:left="5220"/>
    </w:pPr>
    <w:rPr>
      <w:rFonts w:ascii="Segoe UI" w:eastAsia="Segoe UI" w:hAnsi="Segoe UI" w:cs="Segoe UI"/>
      <w:b/>
      <w:bCs/>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footer" Target="footer3.xml"/></Relationships>
</file>