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C25" w:rsidRDefault="00017C25">
      <w:pPr>
        <w:spacing w:before="109" w:after="109" w:line="240" w:lineRule="exact"/>
        <w:rPr>
          <w:sz w:val="19"/>
          <w:szCs w:val="19"/>
        </w:rPr>
      </w:pPr>
    </w:p>
    <w:p w:rsidR="00017C25" w:rsidRDefault="00017C25">
      <w:pPr>
        <w:spacing w:line="1" w:lineRule="exact"/>
        <w:sectPr w:rsidR="00017C25">
          <w:pgSz w:w="11900" w:h="16840"/>
          <w:pgMar w:top="1467" w:right="1155" w:bottom="1133" w:left="1151" w:header="0" w:footer="3" w:gutter="0"/>
          <w:pgNumType w:start="1"/>
          <w:cols w:space="720"/>
          <w:noEndnote/>
          <w:docGrid w:linePitch="360"/>
        </w:sectPr>
      </w:pPr>
    </w:p>
    <w:p w:rsidR="00017C25" w:rsidRDefault="009C730B">
      <w:pPr>
        <w:pStyle w:val="Nadpis20"/>
        <w:keepNext/>
        <w:keepLines/>
        <w:spacing w:after="0" w:line="240" w:lineRule="auto"/>
        <w:jc w:val="left"/>
      </w:pPr>
      <w:bookmarkStart w:id="0" w:name="bookmark4"/>
      <w:r>
        <w:lastRenderedPageBreak/>
        <w:t>Divadlo pod Palmovkou, příspěvková organizace hl. m. Prahy</w:t>
      </w:r>
      <w:bookmarkEnd w:id="0"/>
    </w:p>
    <w:p w:rsidR="00017C25" w:rsidRDefault="009C730B">
      <w:pPr>
        <w:pStyle w:val="Zkladntext1"/>
        <w:spacing w:line="240" w:lineRule="auto"/>
      </w:pPr>
      <w:r>
        <w:t>Zenklova 34, Praha 8 - Libeň, 180 36</w:t>
      </w:r>
    </w:p>
    <w:p w:rsidR="00017C25" w:rsidRDefault="009C730B">
      <w:pPr>
        <w:pStyle w:val="Zkladntext1"/>
        <w:spacing w:line="240" w:lineRule="auto"/>
      </w:pPr>
      <w:r>
        <w:t>IČO:00064301</w:t>
      </w:r>
    </w:p>
    <w:p w:rsidR="00017C25" w:rsidRDefault="009C730B">
      <w:pPr>
        <w:pStyle w:val="Zkladntext1"/>
        <w:spacing w:line="240" w:lineRule="auto"/>
      </w:pPr>
      <w:r>
        <w:rPr>
          <w:b/>
          <w:bCs/>
        </w:rPr>
        <w:t xml:space="preserve">Jednající: Mgr. Michal Lang, </w:t>
      </w:r>
      <w:r>
        <w:t>ředitel</w:t>
      </w:r>
    </w:p>
    <w:p w:rsidR="00017C25" w:rsidRDefault="009C730B">
      <w:pPr>
        <w:pStyle w:val="Zkladntext1"/>
        <w:spacing w:line="480" w:lineRule="auto"/>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5378450</wp:posOffset>
                </wp:positionH>
                <wp:positionV relativeFrom="paragraph">
                  <wp:posOffset>38100</wp:posOffset>
                </wp:positionV>
                <wp:extent cx="1337310" cy="36322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337310" cy="363220"/>
                        </a:xfrm>
                        <a:prstGeom prst="rect">
                          <a:avLst/>
                        </a:prstGeom>
                        <a:noFill/>
                      </wps:spPr>
                      <wps:txbx>
                        <w:txbxContent>
                          <w:p w:rsidR="00017C25" w:rsidRDefault="009C730B">
                            <w:pPr>
                              <w:pStyle w:val="Zkladntext20"/>
                              <w:spacing w:after="40"/>
                            </w:pPr>
                            <w:r>
                              <w:t>DIVADLO</w:t>
                            </w:r>
                          </w:p>
                          <w:p w:rsidR="00017C25" w:rsidRDefault="009C730B">
                            <w:pPr>
                              <w:pStyle w:val="Zkladntext20"/>
                              <w:spacing w:after="0"/>
                            </w:pPr>
                            <w:r>
                              <w:t>POD PALMOVKOU</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23.5pt;margin-top:3.pt;width:105.3pt;height:28.600000000000001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DIVADLO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 PALMOVKOU</w:t>
                      </w:r>
                    </w:p>
                  </w:txbxContent>
                </v:textbox>
                <w10:wrap type="square" side="left" anchorx="page"/>
              </v:shape>
            </w:pict>
          </mc:Fallback>
        </mc:AlternateContent>
      </w:r>
      <w:r>
        <w:t xml:space="preserve">dále jen </w:t>
      </w:r>
      <w:r>
        <w:rPr>
          <w:b/>
          <w:bCs/>
        </w:rPr>
        <w:t xml:space="preserve">„Divadlo", </w:t>
      </w:r>
      <w:r>
        <w:t>a</w:t>
      </w:r>
    </w:p>
    <w:p w:rsidR="00017C25" w:rsidRDefault="009C730B">
      <w:pPr>
        <w:pStyle w:val="Zkladntext1"/>
        <w:spacing w:line="240" w:lineRule="auto"/>
      </w:pPr>
      <w:r>
        <w:rPr>
          <w:b/>
          <w:bCs/>
        </w:rPr>
        <w:t xml:space="preserve">Mělnické kulturní centrum </w:t>
      </w:r>
      <w:r>
        <w:rPr>
          <w:b/>
          <w:bCs/>
        </w:rPr>
        <w:t>o.p.s,</w:t>
      </w:r>
    </w:p>
    <w:p w:rsidR="00017C25" w:rsidRDefault="009C730B">
      <w:pPr>
        <w:pStyle w:val="Zkladntext1"/>
        <w:spacing w:line="240" w:lineRule="auto"/>
      </w:pPr>
      <w:r>
        <w:t>U Sadů 323, 276 01 Mělník</w:t>
      </w:r>
    </w:p>
    <w:p w:rsidR="00017C25" w:rsidRDefault="009C730B">
      <w:pPr>
        <w:pStyle w:val="Zkladntext1"/>
        <w:spacing w:line="240" w:lineRule="auto"/>
      </w:pPr>
      <w:r>
        <w:t>IČ: 24210137, DIČ: CZ24210137.</w:t>
      </w:r>
    </w:p>
    <w:p w:rsidR="00017C25" w:rsidRDefault="009C730B">
      <w:pPr>
        <w:pStyle w:val="Zkladntext1"/>
        <w:spacing w:line="240" w:lineRule="auto"/>
      </w:pPr>
      <w:r>
        <w:rPr>
          <w:b/>
          <w:bCs/>
        </w:rPr>
        <w:t xml:space="preserve">Zastoupené Ing. Radkou Kareisovou, </w:t>
      </w:r>
      <w:r>
        <w:t>ředitelkou o. p. s.,</w:t>
      </w:r>
    </w:p>
    <w:p w:rsidR="00017C25" w:rsidRDefault="009C730B">
      <w:pPr>
        <w:pStyle w:val="Zkladntext1"/>
        <w:spacing w:line="240" w:lineRule="auto"/>
      </w:pPr>
      <w:r>
        <w:t xml:space="preserve">produkce kontakt: Marie Krutisova, tel: 702 234 098, </w:t>
      </w:r>
      <w:hyperlink r:id="rId7" w:history="1">
        <w:r>
          <w:rPr>
            <w:lang w:val="en-US" w:eastAsia="en-US" w:bidi="en-US"/>
          </w:rPr>
          <w:t>krutisova@mekuc.cz</w:t>
        </w:r>
      </w:hyperlink>
      <w:r>
        <w:rPr>
          <w:lang w:val="en-US" w:eastAsia="en-US" w:bidi="en-US"/>
        </w:rPr>
        <w:t xml:space="preserve"> </w:t>
      </w:r>
      <w:r>
        <w:t>dále jen „Pořadatel"</w:t>
      </w:r>
    </w:p>
    <w:p w:rsidR="00017C25" w:rsidRDefault="009C730B">
      <w:pPr>
        <w:pStyle w:val="Zkladntext1"/>
        <w:spacing w:after="180" w:line="240" w:lineRule="auto"/>
      </w:pPr>
      <w:r>
        <w:t>(sp</w:t>
      </w:r>
      <w:r>
        <w:t xml:space="preserve">olečně dále také </w:t>
      </w:r>
      <w:r>
        <w:rPr>
          <w:b/>
          <w:bCs/>
        </w:rPr>
        <w:t xml:space="preserve">„Smluvní strany") </w:t>
      </w:r>
      <w:r>
        <w:t>uzavírají na základě vzájemné shody tuto</w:t>
      </w:r>
    </w:p>
    <w:p w:rsidR="00017C25" w:rsidRDefault="009C730B">
      <w:pPr>
        <w:pStyle w:val="Zkladntext1"/>
        <w:spacing w:after="700" w:line="240" w:lineRule="auto"/>
        <w:jc w:val="center"/>
      </w:pPr>
      <w:r>
        <w:rPr>
          <w:b/>
          <w:bCs/>
        </w:rPr>
        <w:t>SMLOUVU č. 33/2020 O ZÁJEZDOVÉM PŘEDSTAVENÍ DIVADLA POD PALMOVKOU</w:t>
      </w:r>
      <w:r>
        <w:rPr>
          <w:b/>
          <w:bCs/>
        </w:rPr>
        <w:br/>
        <w:t>(dále jen „Smlouva")</w:t>
      </w:r>
    </w:p>
    <w:p w:rsidR="00017C25" w:rsidRDefault="009C730B">
      <w:pPr>
        <w:pStyle w:val="Nadpis20"/>
        <w:keepNext/>
        <w:keepLines/>
        <w:numPr>
          <w:ilvl w:val="0"/>
          <w:numId w:val="1"/>
        </w:numPr>
        <w:tabs>
          <w:tab w:val="left" w:pos="696"/>
        </w:tabs>
        <w:spacing w:after="80" w:line="276" w:lineRule="auto"/>
      </w:pPr>
      <w:bookmarkStart w:id="1" w:name="bookmark6"/>
      <w:r>
        <w:t>PŘEDMĚT SMLOUVY</w:t>
      </w:r>
      <w:bookmarkEnd w:id="1"/>
    </w:p>
    <w:p w:rsidR="00017C25" w:rsidRDefault="009C730B">
      <w:pPr>
        <w:pStyle w:val="Zkladntext1"/>
        <w:numPr>
          <w:ilvl w:val="0"/>
          <w:numId w:val="2"/>
        </w:numPr>
        <w:tabs>
          <w:tab w:val="left" w:pos="696"/>
        </w:tabs>
        <w:spacing w:after="260"/>
        <w:ind w:left="680" w:hanging="680"/>
        <w:jc w:val="both"/>
      </w:pPr>
      <w:r>
        <w:t xml:space="preserve">Předmětem této smlouvy je uspořádání divadelního představení zajištěného </w:t>
      </w:r>
      <w:r>
        <w:t>Divadlem na scéně zajištěné Pořadatelem za podmínek stanovených touto smlouvou:</w:t>
      </w:r>
    </w:p>
    <w:p w:rsidR="00017C25" w:rsidRDefault="009C730B">
      <w:pPr>
        <w:pStyle w:val="Zkladntext1"/>
        <w:ind w:firstLine="680"/>
        <w:jc w:val="both"/>
      </w:pPr>
      <w:r>
        <w:t>Autoři: Tomáš Dianiška a Igor Orozovič</w:t>
      </w:r>
    </w:p>
    <w:p w:rsidR="00017C25" w:rsidRDefault="009C730B">
      <w:pPr>
        <w:pStyle w:val="Zkladntext1"/>
        <w:ind w:firstLine="680"/>
        <w:jc w:val="both"/>
      </w:pPr>
      <w:r>
        <w:rPr>
          <w:b/>
          <w:bCs/>
        </w:rPr>
        <w:t>Název představení: Bezruký Frantík</w:t>
      </w:r>
    </w:p>
    <w:p w:rsidR="00017C25" w:rsidRDefault="009C730B">
      <w:pPr>
        <w:pStyle w:val="Zkladntext1"/>
        <w:ind w:firstLine="680"/>
      </w:pPr>
      <w:r>
        <w:t>Režie: F. X. Kalba</w:t>
      </w:r>
    </w:p>
    <w:p w:rsidR="00017C25" w:rsidRDefault="009C730B">
      <w:pPr>
        <w:pStyle w:val="Zkladntext1"/>
        <w:ind w:left="680" w:firstLine="20"/>
        <w:jc w:val="both"/>
      </w:pPr>
      <w:r>
        <w:t>Výprava: Lenka Odvárková, Hudba: Ivan Acher a Igor Orozovič, Pohybová spolupráce: M</w:t>
      </w:r>
      <w:r>
        <w:t>arek Zelinka, Dramaturgická spolupráce: Ladislav Stýblo</w:t>
      </w:r>
    </w:p>
    <w:p w:rsidR="00017C25" w:rsidRDefault="009C730B">
      <w:pPr>
        <w:pStyle w:val="Zkladntext1"/>
        <w:ind w:firstLine="680"/>
        <w:jc w:val="both"/>
      </w:pPr>
      <w:r>
        <w:t>Účinkující: Jakub Albrecht, Adam Vacula, Tomáš Dianiška, Barbora Kubátová, Nataša Mikulová a další</w:t>
      </w:r>
    </w:p>
    <w:p w:rsidR="00017C25" w:rsidRDefault="009C730B">
      <w:pPr>
        <w:pStyle w:val="Zkladntext1"/>
        <w:ind w:firstLine="680"/>
        <w:jc w:val="both"/>
      </w:pPr>
      <w:r>
        <w:t>Místo konání: Masarykův kulturní dům Mělník, divadelní sál, U Sadů 323</w:t>
      </w:r>
    </w:p>
    <w:p w:rsidR="00017C25" w:rsidRDefault="009C730B">
      <w:pPr>
        <w:pStyle w:val="Zkladntext1"/>
        <w:ind w:firstLine="680"/>
        <w:jc w:val="both"/>
      </w:pPr>
      <w:r>
        <w:t xml:space="preserve">Datum konání hostujícího </w:t>
      </w:r>
      <w:r>
        <w:t>představení: 1. 10. 2021</w:t>
      </w:r>
    </w:p>
    <w:p w:rsidR="00017C25" w:rsidRDefault="009C730B">
      <w:pPr>
        <w:pStyle w:val="Zkladntext1"/>
        <w:ind w:firstLine="680"/>
        <w:jc w:val="both"/>
      </w:pPr>
      <w:r>
        <w:t>Čas začátku hostujícího představení: 19:00</w:t>
      </w:r>
    </w:p>
    <w:p w:rsidR="00017C25" w:rsidRDefault="009C730B">
      <w:pPr>
        <w:pStyle w:val="Zkladntext1"/>
        <w:ind w:firstLine="680"/>
        <w:jc w:val="both"/>
      </w:pPr>
      <w:r>
        <w:t>Délka představení: cca lh 45 min bez přestávky</w:t>
      </w:r>
    </w:p>
    <w:p w:rsidR="00017C25" w:rsidRDefault="009C730B">
      <w:pPr>
        <w:pStyle w:val="Zkladntext1"/>
        <w:spacing w:after="560"/>
        <w:ind w:firstLine="680"/>
        <w:jc w:val="both"/>
      </w:pPr>
      <w:r>
        <w:t>Počet nabízených míst: 448</w:t>
      </w:r>
    </w:p>
    <w:p w:rsidR="00017C25" w:rsidRDefault="009C730B">
      <w:pPr>
        <w:pStyle w:val="Nadpis20"/>
        <w:keepNext/>
        <w:keepLines/>
        <w:numPr>
          <w:ilvl w:val="0"/>
          <w:numId w:val="1"/>
        </w:numPr>
        <w:tabs>
          <w:tab w:val="left" w:pos="696"/>
        </w:tabs>
        <w:spacing w:after="260" w:line="283" w:lineRule="auto"/>
      </w:pPr>
      <w:bookmarkStart w:id="2" w:name="bookmark8"/>
      <w:r>
        <w:t>POVINNOSTI DIVADLA</w:t>
      </w:r>
      <w:bookmarkEnd w:id="2"/>
    </w:p>
    <w:p w:rsidR="00017C25" w:rsidRDefault="009C730B">
      <w:pPr>
        <w:pStyle w:val="Zkladntext1"/>
        <w:numPr>
          <w:ilvl w:val="0"/>
          <w:numId w:val="3"/>
        </w:numPr>
        <w:tabs>
          <w:tab w:val="left" w:pos="696"/>
        </w:tabs>
        <w:spacing w:line="283" w:lineRule="auto"/>
        <w:ind w:left="680" w:hanging="680"/>
        <w:jc w:val="both"/>
      </w:pPr>
      <w:r>
        <w:t>Divadlo zajistí na své náklady odehrání zájezdového představení v souladu s jednotlivými články</w:t>
      </w:r>
      <w:r>
        <w:t xml:space="preserve"> obsahu této Smlouvy.</w:t>
      </w:r>
    </w:p>
    <w:p w:rsidR="00017C25" w:rsidRDefault="009C730B">
      <w:pPr>
        <w:pStyle w:val="Zkladntext1"/>
        <w:numPr>
          <w:ilvl w:val="0"/>
          <w:numId w:val="3"/>
        </w:numPr>
        <w:tabs>
          <w:tab w:val="left" w:pos="696"/>
        </w:tabs>
        <w:spacing w:line="283" w:lineRule="auto"/>
        <w:ind w:left="680" w:hanging="680"/>
        <w:jc w:val="both"/>
      </w:pPr>
      <w:r>
        <w:t>Divadlo jako provozovatel divadelního díla prohlašuje, že je nositelem veškerých práv spojených s jeho veřejným provozováním, zejména práv k užití děl autorů a výkonných umělců. Divadlo prohlašuje, že odehráním zájezdového představení</w:t>
      </w:r>
      <w:r>
        <w:t xml:space="preserve"> nebudou porušena autorská ani jiná práva třetích osob.</w:t>
      </w:r>
    </w:p>
    <w:p w:rsidR="00017C25" w:rsidRDefault="009C730B">
      <w:pPr>
        <w:pStyle w:val="Zkladntext1"/>
        <w:numPr>
          <w:ilvl w:val="0"/>
          <w:numId w:val="3"/>
        </w:numPr>
        <w:tabs>
          <w:tab w:val="left" w:pos="696"/>
        </w:tabs>
        <w:spacing w:line="283" w:lineRule="auto"/>
        <w:ind w:left="680" w:hanging="680"/>
        <w:jc w:val="both"/>
      </w:pPr>
      <w:r>
        <w:t>Divadlo poskytne na vyžádání Pořadateli k propagačním účelům fotografie inscenace, vizuál inscenace a případně další propagační materiály.</w:t>
      </w:r>
    </w:p>
    <w:p w:rsidR="00017C25" w:rsidRDefault="009C730B">
      <w:pPr>
        <w:pStyle w:val="Zkladntext1"/>
        <w:numPr>
          <w:ilvl w:val="0"/>
          <w:numId w:val="3"/>
        </w:numPr>
        <w:tabs>
          <w:tab w:val="left" w:pos="696"/>
        </w:tabs>
        <w:spacing w:line="283" w:lineRule="auto"/>
      </w:pPr>
      <w:r>
        <w:t>Divadlo uděluje Pořadateli souhlas s pořízením fotografií z p</w:t>
      </w:r>
      <w:r>
        <w:t>ředstavení za účelem propagaci činnosti Pořadatele.</w:t>
      </w:r>
      <w:r>
        <w:br w:type="page"/>
      </w:r>
    </w:p>
    <w:p w:rsidR="00017C25" w:rsidRDefault="009C730B">
      <w:pPr>
        <w:spacing w:line="1" w:lineRule="exact"/>
      </w:pPr>
      <w:r>
        <w:rPr>
          <w:noProof/>
          <w:lang w:bidi="ar-SA"/>
        </w:rPr>
        <w:lastRenderedPageBreak/>
        <mc:AlternateContent>
          <mc:Choice Requires="wps">
            <w:drawing>
              <wp:anchor distT="8890" distB="114300" distL="0" distR="0" simplePos="0" relativeHeight="125829380" behindDoc="0" locked="0" layoutInCell="1" allowOverlap="1">
                <wp:simplePos x="0" y="0"/>
                <wp:positionH relativeFrom="page">
                  <wp:posOffset>2975610</wp:posOffset>
                </wp:positionH>
                <wp:positionV relativeFrom="paragraph">
                  <wp:posOffset>8890</wp:posOffset>
                </wp:positionV>
                <wp:extent cx="153035" cy="16256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53035" cy="162560"/>
                        </a:xfrm>
                        <a:prstGeom prst="rect">
                          <a:avLst/>
                        </a:prstGeom>
                        <a:noFill/>
                      </wps:spPr>
                      <wps:txbx>
                        <w:txbxContent>
                          <w:p w:rsidR="00017C25" w:rsidRDefault="009C730B">
                            <w:pPr>
                              <w:pStyle w:val="Nadpis20"/>
                              <w:keepNext/>
                              <w:keepLines/>
                              <w:spacing w:after="0" w:line="240" w:lineRule="auto"/>
                              <w:jc w:val="left"/>
                            </w:pPr>
                            <w:bookmarkStart w:id="3" w:name="bookmark0"/>
                            <w:r>
                              <w:rPr>
                                <w:lang w:val="en-US" w:eastAsia="en-US" w:bidi="en-US"/>
                              </w:rPr>
                              <w:t>III.</w:t>
                            </w:r>
                            <w:bookmarkEnd w:id="3"/>
                          </w:p>
                        </w:txbxContent>
                      </wps:txbx>
                      <wps:bodyPr wrap="none" lIns="0" tIns="0" rIns="0" bIns="0"/>
                    </wps:wsp>
                  </a:graphicData>
                </a:graphic>
              </wp:anchor>
            </w:drawing>
          </mc:Choice>
          <mc:Fallback>
            <w:pict>
              <v:shape id="_x0000_s1029" type="#_x0000_t202" style="position:absolute;margin-left:234.30000000000001pt;margin-top:0.70000000000000007pt;width:12.050000000000001pt;height:12.800000000000001pt;z-index:-125829373;mso-wrap-distance-left:0;mso-wrap-distance-top:0.70000000000000007pt;mso-wrap-distance-right:0;mso-wrap-distance-bottom:9.pt;mso-position-horizontal-relative:page" filled="f" stroked="f">
                <v:textbox inset="0,0,0,0">
                  <w:txbxContent>
                    <w:p>
                      <w:pPr>
                        <w:pStyle w:val="Style4"/>
                        <w:keepNext/>
                        <w:keepLines/>
                        <w:widowControl w:val="0"/>
                        <w:shd w:val="clear" w:color="auto" w:fill="auto"/>
                        <w:bidi w:val="0"/>
                        <w:spacing w:before="0" w:after="0" w:line="240" w:lineRule="auto"/>
                        <w:ind w:left="0" w:right="0" w:firstLine="0"/>
                        <w:jc w:val="left"/>
                      </w:pPr>
                      <w:bookmarkStart w:id="0" w:name="bookmark0"/>
                      <w:r>
                        <w:rPr>
                          <w:color w:val="000000"/>
                          <w:spacing w:val="0"/>
                          <w:w w:val="100"/>
                          <w:position w:val="0"/>
                          <w:shd w:val="clear" w:color="auto" w:fill="auto"/>
                          <w:lang w:val="en-US" w:eastAsia="en-US" w:bidi="en-US"/>
                        </w:rPr>
                        <w:t>III.</w:t>
                      </w:r>
                      <w:bookmarkEnd w:id="0"/>
                    </w:p>
                  </w:txbxContent>
                </v:textbox>
                <w10:wrap type="topAndBottom" anchorx="page"/>
              </v:shape>
            </w:pict>
          </mc:Fallback>
        </mc:AlternateContent>
      </w:r>
      <w:r>
        <w:rPr>
          <w:noProof/>
          <w:lang w:bidi="ar-SA"/>
        </w:rPr>
        <mc:AlternateContent>
          <mc:Choice Requires="wps">
            <w:drawing>
              <wp:anchor distT="0" distB="121285" distL="0" distR="0" simplePos="0" relativeHeight="125829382" behindDoc="0" locked="0" layoutInCell="1" allowOverlap="1">
                <wp:simplePos x="0" y="0"/>
                <wp:positionH relativeFrom="page">
                  <wp:posOffset>3416935</wp:posOffset>
                </wp:positionH>
                <wp:positionV relativeFrom="paragraph">
                  <wp:posOffset>0</wp:posOffset>
                </wp:positionV>
                <wp:extent cx="1387475" cy="16446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387475" cy="164465"/>
                        </a:xfrm>
                        <a:prstGeom prst="rect">
                          <a:avLst/>
                        </a:prstGeom>
                        <a:noFill/>
                      </wps:spPr>
                      <wps:txbx>
                        <w:txbxContent>
                          <w:p w:rsidR="00017C25" w:rsidRDefault="009C730B">
                            <w:pPr>
                              <w:pStyle w:val="Nadpis20"/>
                              <w:keepNext/>
                              <w:keepLines/>
                              <w:spacing w:after="0" w:line="240" w:lineRule="auto"/>
                              <w:jc w:val="left"/>
                            </w:pPr>
                            <w:bookmarkStart w:id="4" w:name="bookmark2"/>
                            <w:r>
                              <w:t>POVINNOSTI POŘADATELE</w:t>
                            </w:r>
                            <w:bookmarkEnd w:id="4"/>
                          </w:p>
                        </w:txbxContent>
                      </wps:txbx>
                      <wps:bodyPr wrap="none" lIns="0" tIns="0" rIns="0" bIns="0"/>
                    </wps:wsp>
                  </a:graphicData>
                </a:graphic>
              </wp:anchor>
            </w:drawing>
          </mc:Choice>
          <mc:Fallback>
            <w:pict>
              <v:shape id="_x0000_s1031" type="#_x0000_t202" style="position:absolute;margin-left:269.05000000000001pt;margin-top:0;width:109.25pt;height:12.950000000000001pt;z-index:-125829371;mso-wrap-distance-left:0;mso-wrap-distance-right:0;mso-wrap-distance-bottom:9.5500000000000007pt;mso-position-horizontal-relative:page" filled="f" stroked="f">
                <v:textbox inset="0,0,0,0">
                  <w:txbxContent>
                    <w:p>
                      <w:pPr>
                        <w:pStyle w:val="Style4"/>
                        <w:keepNext/>
                        <w:keepLines/>
                        <w:widowControl w:val="0"/>
                        <w:shd w:val="clear" w:color="auto" w:fill="auto"/>
                        <w:bidi w:val="0"/>
                        <w:spacing w:before="0" w:after="0" w:line="240" w:lineRule="auto"/>
                        <w:ind w:left="0" w:right="0" w:firstLine="0"/>
                        <w:jc w:val="left"/>
                      </w:pPr>
                      <w:bookmarkStart w:id="2" w:name="bookmark2"/>
                      <w:r>
                        <w:rPr>
                          <w:color w:val="000000"/>
                          <w:spacing w:val="0"/>
                          <w:w w:val="100"/>
                          <w:position w:val="0"/>
                          <w:shd w:val="clear" w:color="auto" w:fill="auto"/>
                          <w:lang w:val="cs-CZ" w:eastAsia="cs-CZ" w:bidi="cs-CZ"/>
                        </w:rPr>
                        <w:t>POVINNOSTI POŘADATELE</w:t>
                      </w:r>
                      <w:bookmarkEnd w:id="2"/>
                    </w:p>
                  </w:txbxContent>
                </v:textbox>
                <w10:wrap type="topAndBottom" anchorx="page"/>
              </v:shape>
            </w:pict>
          </mc:Fallback>
        </mc:AlternateContent>
      </w:r>
    </w:p>
    <w:p w:rsidR="00017C25" w:rsidRDefault="009C730B">
      <w:pPr>
        <w:pStyle w:val="Zkladntext1"/>
        <w:numPr>
          <w:ilvl w:val="0"/>
          <w:numId w:val="4"/>
        </w:numPr>
        <w:tabs>
          <w:tab w:val="left" w:pos="665"/>
        </w:tabs>
        <w:ind w:left="680" w:hanging="420"/>
        <w:jc w:val="both"/>
      </w:pPr>
      <w:r>
        <w:t>Pořadatel zajistí na své náklady prostor a technické podmínky pro uspořádání divadelního představení a čas nutný pro přípravy a zkoušku zájezdového představení.</w:t>
      </w:r>
    </w:p>
    <w:p w:rsidR="00017C25" w:rsidRDefault="009C730B">
      <w:pPr>
        <w:pStyle w:val="Zkladntext1"/>
        <w:numPr>
          <w:ilvl w:val="0"/>
          <w:numId w:val="4"/>
        </w:numPr>
        <w:tabs>
          <w:tab w:val="left" w:pos="665"/>
        </w:tabs>
        <w:ind w:firstLine="200"/>
        <w:jc w:val="both"/>
      </w:pPr>
      <w:r>
        <w:t>Pořadatel dále zajistí:</w:t>
      </w:r>
    </w:p>
    <w:p w:rsidR="00017C25" w:rsidRDefault="009C730B">
      <w:pPr>
        <w:pStyle w:val="Zkladntext1"/>
        <w:numPr>
          <w:ilvl w:val="0"/>
          <w:numId w:val="5"/>
        </w:numPr>
        <w:tabs>
          <w:tab w:val="left" w:pos="1367"/>
        </w:tabs>
        <w:ind w:firstLine="960"/>
        <w:jc w:val="both"/>
      </w:pPr>
      <w:r>
        <w:t>vyklizení přístupových cest k jevišti, čisté a prázdné jeviště a přístup do budovy s příjezdem techniky,</w:t>
      </w:r>
    </w:p>
    <w:p w:rsidR="00017C25" w:rsidRDefault="009C730B">
      <w:pPr>
        <w:pStyle w:val="Zkladntext1"/>
        <w:numPr>
          <w:ilvl w:val="0"/>
          <w:numId w:val="5"/>
        </w:numPr>
        <w:tabs>
          <w:tab w:val="left" w:pos="1367"/>
        </w:tabs>
        <w:ind w:firstLine="960"/>
        <w:jc w:val="both"/>
      </w:pPr>
      <w:r>
        <w:t>volné a čisté herecké šatny pro 5 žen a 7 mužů</w:t>
      </w:r>
    </w:p>
    <w:p w:rsidR="00017C25" w:rsidRDefault="009C730B">
      <w:pPr>
        <w:pStyle w:val="Zkladntext1"/>
        <w:numPr>
          <w:ilvl w:val="0"/>
          <w:numId w:val="5"/>
        </w:numPr>
        <w:tabs>
          <w:tab w:val="left" w:pos="1367"/>
        </w:tabs>
        <w:ind w:firstLine="960"/>
        <w:jc w:val="both"/>
      </w:pPr>
      <w:r>
        <w:t>čistou, teplou vodu (sprcha) a WC v těsné blízkosti šaten,</w:t>
      </w:r>
    </w:p>
    <w:p w:rsidR="00017C25" w:rsidRDefault="009C730B">
      <w:pPr>
        <w:pStyle w:val="Zkladntext1"/>
        <w:numPr>
          <w:ilvl w:val="0"/>
          <w:numId w:val="5"/>
        </w:numPr>
        <w:tabs>
          <w:tab w:val="left" w:pos="1367"/>
        </w:tabs>
        <w:ind w:firstLine="960"/>
        <w:jc w:val="both"/>
      </w:pPr>
      <w:r>
        <w:t>v zimním období je Po</w:t>
      </w:r>
      <w:r>
        <w:t>řadatel povinen zajistit minimální teplotu +19° C v prostoru jeviště a šaten,</w:t>
      </w:r>
    </w:p>
    <w:p w:rsidR="00017C25" w:rsidRDefault="009C730B">
      <w:pPr>
        <w:pStyle w:val="Zkladntext1"/>
        <w:numPr>
          <w:ilvl w:val="0"/>
          <w:numId w:val="5"/>
        </w:numPr>
        <w:tabs>
          <w:tab w:val="left" w:pos="1367"/>
        </w:tabs>
        <w:ind w:firstLine="960"/>
        <w:jc w:val="both"/>
      </w:pPr>
      <w:r>
        <w:t>zázemí technického personálu pro 10 osob,</w:t>
      </w:r>
    </w:p>
    <w:p w:rsidR="00017C25" w:rsidRDefault="009C730B">
      <w:pPr>
        <w:pStyle w:val="Zkladntext1"/>
        <w:numPr>
          <w:ilvl w:val="0"/>
          <w:numId w:val="5"/>
        </w:numPr>
        <w:tabs>
          <w:tab w:val="left" w:pos="1207"/>
        </w:tabs>
        <w:ind w:left="680" w:firstLine="280"/>
        <w:jc w:val="both"/>
      </w:pPr>
      <w:r>
        <w:t>účast místního technického personálu od 12:30: technik Václav Jakubec (zodpovědný za jevištní techniku, osvětlení a zvuk dle bodu IV. 1)</w:t>
      </w:r>
      <w:r>
        <w:t xml:space="preserve">, e-mail: </w:t>
      </w:r>
      <w:hyperlink r:id="rId8" w:history="1">
        <w:r>
          <w:rPr>
            <w:lang w:val="en-US" w:eastAsia="en-US" w:bidi="en-US"/>
          </w:rPr>
          <w:t>jakubec@mekuc.cz</w:t>
        </w:r>
      </w:hyperlink>
      <w:r>
        <w:rPr>
          <w:lang w:val="en-US" w:eastAsia="en-US" w:bidi="en-US"/>
        </w:rPr>
        <w:t xml:space="preserve">, </w:t>
      </w:r>
      <w:r>
        <w:t>tel.: 721 138 175</w:t>
      </w:r>
    </w:p>
    <w:p w:rsidR="00017C25" w:rsidRDefault="009C730B">
      <w:pPr>
        <w:pStyle w:val="Zkladntext1"/>
        <w:numPr>
          <w:ilvl w:val="0"/>
          <w:numId w:val="5"/>
        </w:numPr>
        <w:tabs>
          <w:tab w:val="left" w:pos="1367"/>
        </w:tabs>
        <w:ind w:firstLine="960"/>
        <w:jc w:val="both"/>
      </w:pPr>
      <w:r>
        <w:t>zajištění parkování dopravních prostředků dle čl. 5, odst. 3, v blízkosti místa konání představení,</w:t>
      </w:r>
    </w:p>
    <w:p w:rsidR="00017C25" w:rsidRDefault="009C730B">
      <w:pPr>
        <w:pStyle w:val="Zkladntext1"/>
        <w:numPr>
          <w:ilvl w:val="0"/>
          <w:numId w:val="5"/>
        </w:numPr>
        <w:tabs>
          <w:tab w:val="left" w:pos="1367"/>
        </w:tabs>
        <w:ind w:left="1380" w:hanging="420"/>
        <w:jc w:val="both"/>
      </w:pPr>
      <w:r>
        <w:t xml:space="preserve">pro potřeby Divadla 6 volných vstupenek na představení. Rezervace </w:t>
      </w:r>
      <w:r>
        <w:t>vstupenek bude potvrzena nejpozději 10 dnů před začátkem divadelního představení.</w:t>
      </w:r>
    </w:p>
    <w:p w:rsidR="00017C25" w:rsidRDefault="009C730B">
      <w:pPr>
        <w:pStyle w:val="Zkladntext1"/>
        <w:numPr>
          <w:ilvl w:val="0"/>
          <w:numId w:val="4"/>
        </w:numPr>
        <w:tabs>
          <w:tab w:val="left" w:pos="665"/>
        </w:tabs>
        <w:ind w:left="680" w:hanging="420"/>
        <w:jc w:val="both"/>
      </w:pPr>
      <w:r>
        <w:t>Pořadatel není oprávněn postupovat práva nabytá touto smlouvou třetím osobám. Pořadatel není oprávněn udílet licenci k obrazovému či zvukovému a zvukově obrazovému záznamu př</w:t>
      </w:r>
      <w:r>
        <w:t>edstavení a jeho šíření.</w:t>
      </w:r>
    </w:p>
    <w:p w:rsidR="00017C25" w:rsidRDefault="009C730B">
      <w:pPr>
        <w:pStyle w:val="Zkladntext1"/>
        <w:numPr>
          <w:ilvl w:val="0"/>
          <w:numId w:val="4"/>
        </w:numPr>
        <w:tabs>
          <w:tab w:val="left" w:pos="665"/>
        </w:tabs>
        <w:ind w:firstLine="200"/>
        <w:jc w:val="both"/>
      </w:pPr>
      <w:r>
        <w:t>Pořadatel zajistí ve foyer v místě konání představení prodej programů k inscenaci.</w:t>
      </w:r>
    </w:p>
    <w:p w:rsidR="00017C25" w:rsidRDefault="009C730B">
      <w:pPr>
        <w:pStyle w:val="Zkladntext1"/>
        <w:numPr>
          <w:ilvl w:val="0"/>
          <w:numId w:val="4"/>
        </w:numPr>
        <w:tabs>
          <w:tab w:val="left" w:pos="665"/>
        </w:tabs>
        <w:ind w:left="680" w:hanging="420"/>
        <w:jc w:val="both"/>
      </w:pPr>
      <w:r>
        <w:t>Pořadatel se zavazuje uhradit Divadlu honorář za představení a náklady vynaložené na dopravu a autorské honoráře dle čl. V. této smlouvy.</w:t>
      </w:r>
    </w:p>
    <w:p w:rsidR="00017C25" w:rsidRDefault="009C730B">
      <w:pPr>
        <w:pStyle w:val="Zkladntext1"/>
        <w:numPr>
          <w:ilvl w:val="0"/>
          <w:numId w:val="4"/>
        </w:numPr>
        <w:tabs>
          <w:tab w:val="left" w:pos="665"/>
        </w:tabs>
        <w:spacing w:after="820"/>
        <w:ind w:firstLine="200"/>
        <w:jc w:val="both"/>
      </w:pPr>
      <w:r>
        <w:t xml:space="preserve">Pořadatel </w:t>
      </w:r>
      <w:r>
        <w:t>bere na vědomí skutečnost, že malý počet diváků není důvodem ke zrušení této smlouvy.</w:t>
      </w:r>
    </w:p>
    <w:p w:rsidR="00017C25" w:rsidRDefault="009C730B">
      <w:pPr>
        <w:pStyle w:val="Nadpis20"/>
        <w:keepNext/>
        <w:keepLines/>
        <w:numPr>
          <w:ilvl w:val="0"/>
          <w:numId w:val="6"/>
        </w:numPr>
        <w:tabs>
          <w:tab w:val="left" w:pos="665"/>
        </w:tabs>
        <w:spacing w:after="280" w:line="276" w:lineRule="auto"/>
      </w:pPr>
      <w:bookmarkStart w:id="5" w:name="bookmark10"/>
      <w:r>
        <w:t>TECHNICKÉ PODMÍNKY PŘEDSTAVENÍ</w:t>
      </w:r>
      <w:bookmarkEnd w:id="5"/>
    </w:p>
    <w:p w:rsidR="00017C25" w:rsidRDefault="009C730B">
      <w:pPr>
        <w:pStyle w:val="Zkladntext1"/>
        <w:numPr>
          <w:ilvl w:val="0"/>
          <w:numId w:val="7"/>
        </w:numPr>
        <w:tabs>
          <w:tab w:val="left" w:pos="665"/>
        </w:tabs>
      </w:pPr>
      <w:r>
        <w:t>Pořadatel se zavazuje dodržet technické podmínky k zajištění zájezdového představení Divadla:</w:t>
      </w:r>
    </w:p>
    <w:p w:rsidR="00017C25" w:rsidRDefault="009C730B">
      <w:pPr>
        <w:pStyle w:val="Zkladntext1"/>
        <w:numPr>
          <w:ilvl w:val="0"/>
          <w:numId w:val="8"/>
        </w:numPr>
        <w:tabs>
          <w:tab w:val="left" w:pos="665"/>
        </w:tabs>
        <w:ind w:left="680" w:hanging="340"/>
        <w:jc w:val="both"/>
      </w:pPr>
      <w:r>
        <w:t>jeviště: hloubka 7 m od portálu + forbína 3 m</w:t>
      </w:r>
      <w:r>
        <w:t xml:space="preserve"> / bez forbíny alespoň 9 m, šířka 8 m mezi portály, možnost uchycení 4 m sloupu, vrtání do podlahy, oheň na jevišti viz přiložený protokol. Kontaktní osoba Mirek Hora, jevištní mistr, tel. 606 959 155. Prosíme o úklid scény 1 h před začátkem představení. K</w:t>
      </w:r>
      <w:r>
        <w:t>ontaktní osoba Mirek Hora, jevištní mistr, tel. 606 959 155.</w:t>
      </w:r>
    </w:p>
    <w:p w:rsidR="00017C25" w:rsidRDefault="009C730B">
      <w:pPr>
        <w:pStyle w:val="Zkladntext1"/>
        <w:numPr>
          <w:ilvl w:val="0"/>
          <w:numId w:val="8"/>
        </w:numPr>
        <w:tabs>
          <w:tab w:val="left" w:pos="665"/>
        </w:tabs>
        <w:ind w:left="680" w:hanging="340"/>
        <w:jc w:val="both"/>
      </w:pPr>
      <w:r>
        <w:t>světla: Front: 8xFhr Ikw + klapky; 2x profil+iris; 4x LED světlo s možností barvení; Portály: 4xFHR Ikw + klapky na každé straně; lxLED světlo s možností barvení na každé straně; země: 2x stativ;</w:t>
      </w:r>
      <w:r>
        <w:t xml:space="preserve"> 2x pozemák; 4x FHR Ikw + klapky; 2x </w:t>
      </w:r>
      <w:r>
        <w:rPr>
          <w:lang w:val="en-US" w:eastAsia="en-US" w:bidi="en-US"/>
        </w:rPr>
        <w:t xml:space="preserve">showtec </w:t>
      </w:r>
      <w:r>
        <w:t xml:space="preserve">sunstrip 10 </w:t>
      </w:r>
      <w:r>
        <w:rPr>
          <w:lang w:val="en-US" w:eastAsia="en-US" w:bidi="en-US"/>
        </w:rPr>
        <w:t xml:space="preserve">ch; </w:t>
      </w:r>
      <w:r>
        <w:t xml:space="preserve">4x LED světlo s možností barvení; lx žárovková objímka se zásuvkou; odpovídající množství 230V kabelů + DMX kabelů k zapojení. Kontakt: Mojmír Ledvinka, mail.: </w:t>
      </w:r>
      <w:hyperlink r:id="rId9" w:history="1">
        <w:r>
          <w:t xml:space="preserve">mojmir@smt- </w:t>
        </w:r>
        <w:r>
          <w:rPr>
            <w:lang w:val="en-US" w:eastAsia="en-US" w:bidi="en-US"/>
          </w:rPr>
          <w:t>group.cz</w:t>
        </w:r>
      </w:hyperlink>
      <w:r>
        <w:rPr>
          <w:lang w:val="en-US" w:eastAsia="en-US" w:bidi="en-US"/>
        </w:rPr>
        <w:t xml:space="preserve">, </w:t>
      </w:r>
      <w:r>
        <w:t xml:space="preserve">tel.: 602 319 399 nebo Adam Čejka, </w:t>
      </w:r>
      <w:hyperlink r:id="rId10" w:history="1">
        <w:r>
          <w:rPr>
            <w:lang w:val="en-US" w:eastAsia="en-US" w:bidi="en-US"/>
          </w:rPr>
          <w:t>cejkaad@gmail.com</w:t>
        </w:r>
      </w:hyperlink>
      <w:r>
        <w:rPr>
          <w:lang w:val="en-US" w:eastAsia="en-US" w:bidi="en-US"/>
        </w:rPr>
        <w:t xml:space="preserve">, </w:t>
      </w:r>
      <w:r>
        <w:t>604 913 305.</w:t>
      </w:r>
    </w:p>
    <w:p w:rsidR="00017C25" w:rsidRDefault="009C730B">
      <w:pPr>
        <w:pStyle w:val="Zkladntext1"/>
        <w:numPr>
          <w:ilvl w:val="0"/>
          <w:numId w:val="8"/>
        </w:numPr>
        <w:tabs>
          <w:tab w:val="left" w:pos="665"/>
        </w:tabs>
        <w:spacing w:after="280"/>
        <w:ind w:firstLine="340"/>
        <w:jc w:val="both"/>
      </w:pPr>
      <w:r>
        <w:t xml:space="preserve">zvuk: v příloze. Kontakt: pan Přemysl Ondra, tel.: 737 258 787, mail: </w:t>
      </w:r>
      <w:hyperlink r:id="rId11" w:history="1">
        <w:r>
          <w:rPr>
            <w:lang w:val="en-US" w:eastAsia="en-US" w:bidi="en-US"/>
          </w:rPr>
          <w:t>premek.ondra@gmail.com</w:t>
        </w:r>
      </w:hyperlink>
    </w:p>
    <w:p w:rsidR="00017C25" w:rsidRDefault="009C730B">
      <w:pPr>
        <w:pStyle w:val="Zkladntext1"/>
        <w:numPr>
          <w:ilvl w:val="0"/>
          <w:numId w:val="7"/>
        </w:numPr>
        <w:tabs>
          <w:tab w:val="left" w:pos="665"/>
        </w:tabs>
        <w:spacing w:after="820" w:line="240" w:lineRule="auto"/>
        <w:ind w:left="680" w:hanging="680"/>
        <w:jc w:val="both"/>
      </w:pPr>
      <w:r>
        <w:t>Odchylky od technických podmínek Představení musí být předem konzultovány s odpovědnými pracovníky a uvedeny v této smlouvě. Případné odchylky konzultuje Pořadatel s pracovníky Divadla zodpovědnými za jednotlivé technické úseky. V</w:t>
      </w:r>
      <w:r>
        <w:t xml:space="preserve"> případě, že předem smluvené technické podmínky nebudou odpovídat skutečnosti, vyhrazuje si Divadlo právo představení neodehrát. V takovém případě má Divadlo nárok na plný honorář za představení a na úhradu již vzniklých nákladů.</w:t>
      </w:r>
    </w:p>
    <w:p w:rsidR="00017C25" w:rsidRDefault="009C730B">
      <w:pPr>
        <w:pStyle w:val="Nadpis20"/>
        <w:keepNext/>
        <w:keepLines/>
        <w:numPr>
          <w:ilvl w:val="0"/>
          <w:numId w:val="6"/>
        </w:numPr>
        <w:tabs>
          <w:tab w:val="left" w:pos="665"/>
        </w:tabs>
        <w:spacing w:after="280" w:line="240" w:lineRule="auto"/>
      </w:pPr>
      <w:r>
        <w:rPr>
          <w:noProof/>
          <w:lang w:bidi="ar-SA"/>
        </w:rPr>
        <mc:AlternateContent>
          <mc:Choice Requires="wps">
            <w:drawing>
              <wp:anchor distT="0" distB="0" distL="114300" distR="114300" simplePos="0" relativeHeight="125829384" behindDoc="0" locked="0" layoutInCell="1" allowOverlap="1">
                <wp:simplePos x="0" y="0"/>
                <wp:positionH relativeFrom="page">
                  <wp:posOffset>824230</wp:posOffset>
                </wp:positionH>
                <wp:positionV relativeFrom="paragraph">
                  <wp:posOffset>355600</wp:posOffset>
                </wp:positionV>
                <wp:extent cx="114300" cy="162560"/>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114300" cy="162560"/>
                        </a:xfrm>
                        <a:prstGeom prst="rect">
                          <a:avLst/>
                        </a:prstGeom>
                        <a:noFill/>
                      </wps:spPr>
                      <wps:txbx>
                        <w:txbxContent>
                          <w:p w:rsidR="00017C25" w:rsidRDefault="009C730B">
                            <w:pPr>
                              <w:pStyle w:val="Zkladntext1"/>
                              <w:spacing w:line="240" w:lineRule="auto"/>
                            </w:pPr>
                            <w:r>
                              <w:t>1.</w:t>
                            </w:r>
                          </w:p>
                        </w:txbxContent>
                      </wps:txbx>
                      <wps:bodyPr wrap="none" lIns="0" tIns="0" rIns="0" bIns="0"/>
                    </wps:wsp>
                  </a:graphicData>
                </a:graphic>
              </wp:anchor>
            </w:drawing>
          </mc:Choice>
          <mc:Fallback>
            <w:pict>
              <v:shape id="_x0000_s1033" type="#_x0000_t202" style="position:absolute;margin-left:64.900000000000006pt;margin-top:28.pt;width:9.pt;height:12.800000000000001pt;z-index:-125829369;mso-wrap-distance-left:9.pt;mso-wrap-distance-right:9.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txbxContent>
                </v:textbox>
                <w10:wrap type="square" side="right" anchorx="page"/>
              </v:shape>
            </w:pict>
          </mc:Fallback>
        </mc:AlternateContent>
      </w:r>
      <w:bookmarkStart w:id="6" w:name="bookmark12"/>
      <w:r>
        <w:t>HONORÁŘ A NÁHRADY</w:t>
      </w:r>
      <w:bookmarkEnd w:id="6"/>
    </w:p>
    <w:p w:rsidR="00017C25" w:rsidRDefault="009C730B">
      <w:pPr>
        <w:pStyle w:val="Zkladntext1"/>
        <w:ind w:left="200" w:firstLine="60"/>
        <w:jc w:val="both"/>
      </w:pPr>
      <w:r>
        <w:t>Po</w:t>
      </w:r>
      <w:r>
        <w:t>řadatel uhradí Divadlu honorář ve výši 75.000 Kč (slovy: sedmdesát pět tisíc korun českých) za jedno představení. Honorář je osvobozen od DPH dle § 61 písm. e) zákona č. 235/2004 Sb., O dani z přidané hodnoty.</w:t>
      </w:r>
    </w:p>
    <w:p w:rsidR="00017C25" w:rsidRDefault="009C730B">
      <w:pPr>
        <w:pStyle w:val="Zkladntext1"/>
        <w:numPr>
          <w:ilvl w:val="0"/>
          <w:numId w:val="9"/>
        </w:numPr>
        <w:tabs>
          <w:tab w:val="left" w:pos="516"/>
        </w:tabs>
        <w:jc w:val="both"/>
      </w:pPr>
      <w:r>
        <w:t>Tržby z odehraného představení přísluší Pořada</w:t>
      </w:r>
      <w:r>
        <w:t>teli.</w:t>
      </w:r>
    </w:p>
    <w:p w:rsidR="00017C25" w:rsidRDefault="009C730B">
      <w:pPr>
        <w:pStyle w:val="Zkladntext1"/>
        <w:numPr>
          <w:ilvl w:val="0"/>
          <w:numId w:val="9"/>
        </w:numPr>
        <w:tabs>
          <w:tab w:val="left" w:pos="516"/>
        </w:tabs>
        <w:ind w:left="520" w:hanging="520"/>
        <w:jc w:val="both"/>
      </w:pPr>
      <w:r>
        <w:t>Pořadatel se dále zavazuje uhradit náklady vynaložené na dopravu souboru a kulis: Ix dodávka s vlekem a jeden autobus se souborem. Objednávku všech vozů provádí Divadlo dle smlouvy, fakturu zasílá autodopravce Divadlu, které ji přeposílá přímo Pořada</w:t>
      </w:r>
      <w:r>
        <w:t>teli.</w:t>
      </w:r>
    </w:p>
    <w:p w:rsidR="00017C25" w:rsidRDefault="009C730B">
      <w:pPr>
        <w:pStyle w:val="Zkladntext1"/>
        <w:numPr>
          <w:ilvl w:val="0"/>
          <w:numId w:val="9"/>
        </w:numPr>
        <w:tabs>
          <w:tab w:val="left" w:pos="516"/>
          <w:tab w:val="left" w:pos="544"/>
        </w:tabs>
        <w:jc w:val="both"/>
      </w:pPr>
      <w:r>
        <w:lastRenderedPageBreak/>
        <w:t>Představení je zatíženo autorskými honoráři, které je povinen nahlásit a uhradit Pořadatel:</w:t>
      </w:r>
    </w:p>
    <w:p w:rsidR="00017C25" w:rsidRDefault="009C730B">
      <w:pPr>
        <w:pStyle w:val="Zkladntext1"/>
        <w:numPr>
          <w:ilvl w:val="0"/>
          <w:numId w:val="10"/>
        </w:numPr>
        <w:tabs>
          <w:tab w:val="left" w:pos="1226"/>
          <w:tab w:val="left" w:pos="6550"/>
          <w:tab w:val="left" w:pos="7000"/>
        </w:tabs>
        <w:ind w:firstLine="880"/>
        <w:jc w:val="both"/>
      </w:pPr>
      <w:r>
        <w:t>4 % z hrubýc</w:t>
      </w:r>
      <w:r w:rsidR="002705AD">
        <w:t xml:space="preserve">h tržeb + DPH Igor Orozovič (č. ú.: </w:t>
      </w:r>
      <w:r>
        <w:t>35-5507930277/0100; mail</w:t>
      </w:r>
    </w:p>
    <w:p w:rsidR="00017C25" w:rsidRDefault="009C730B">
      <w:pPr>
        <w:pStyle w:val="Zkladntext1"/>
        <w:ind w:left="1240"/>
        <w:jc w:val="both"/>
      </w:pPr>
      <w:r>
        <w:t>m</w:t>
      </w:r>
      <w:hyperlink r:id="rId12" w:history="1">
        <w:r>
          <w:rPr>
            <w:u w:val="single"/>
          </w:rPr>
          <w:t xml:space="preserve">arke </w:t>
        </w:r>
        <w:r>
          <w:rPr>
            <w:u w:val="single"/>
            <w:lang w:val="en-US" w:eastAsia="en-US" w:bidi="en-US"/>
          </w:rPr>
          <w:t>ta.hruskova@actam.cz</w:t>
        </w:r>
      </w:hyperlink>
      <w:r>
        <w:t>)</w:t>
      </w:r>
    </w:p>
    <w:p w:rsidR="00017C25" w:rsidRDefault="009C730B">
      <w:pPr>
        <w:pStyle w:val="Zkladntext1"/>
        <w:numPr>
          <w:ilvl w:val="0"/>
          <w:numId w:val="10"/>
        </w:numPr>
        <w:tabs>
          <w:tab w:val="left" w:pos="1226"/>
        </w:tabs>
        <w:ind w:firstLine="880"/>
        <w:jc w:val="both"/>
      </w:pPr>
      <w:r>
        <w:t xml:space="preserve">8 % z hrubých tržeb Tomáš Dianiška (č. ú. 193450621/0300; mail: </w:t>
      </w:r>
      <w:hyperlink r:id="rId13" w:history="1">
        <w:r>
          <w:rPr>
            <w:u w:val="single"/>
            <w:lang w:val="en-US" w:eastAsia="en-US" w:bidi="en-US"/>
          </w:rPr>
          <w:t>tomdianiska@gmail.com</w:t>
        </w:r>
      </w:hyperlink>
      <w:r>
        <w:rPr>
          <w:lang w:val="en-US" w:eastAsia="en-US" w:bidi="en-US"/>
        </w:rPr>
        <w:t>)</w:t>
      </w:r>
    </w:p>
    <w:p w:rsidR="00017C25" w:rsidRDefault="009C730B">
      <w:pPr>
        <w:pStyle w:val="Zkladntext1"/>
        <w:numPr>
          <w:ilvl w:val="0"/>
          <w:numId w:val="10"/>
        </w:numPr>
        <w:tabs>
          <w:tab w:val="left" w:pos="1226"/>
        </w:tabs>
        <w:ind w:firstLine="880"/>
        <w:jc w:val="both"/>
      </w:pPr>
      <w:r>
        <w:t xml:space="preserve">2 % z hrubých tržeb Ivan Acher (č. ú.: 670100-2206752485/6210; mail: </w:t>
      </w:r>
      <w:hyperlink r:id="rId14" w:history="1">
        <w:r>
          <w:rPr>
            <w:u w:val="single"/>
            <w:lang w:val="en-US" w:eastAsia="en-US" w:bidi="en-US"/>
          </w:rPr>
          <w:t>acherl313@gmail.com</w:t>
        </w:r>
      </w:hyperlink>
      <w:r>
        <w:rPr>
          <w:lang w:val="en-US" w:eastAsia="en-US" w:bidi="en-US"/>
        </w:rPr>
        <w:t>)</w:t>
      </w:r>
    </w:p>
    <w:p w:rsidR="00017C25" w:rsidRDefault="009C730B">
      <w:pPr>
        <w:pStyle w:val="Zkladntext1"/>
        <w:numPr>
          <w:ilvl w:val="0"/>
          <w:numId w:val="10"/>
        </w:numPr>
        <w:tabs>
          <w:tab w:val="left" w:pos="1226"/>
        </w:tabs>
        <w:ind w:left="1240" w:hanging="360"/>
        <w:jc w:val="both"/>
      </w:pPr>
      <w:r>
        <w:t xml:space="preserve">1, 5 % z hrubých tržeb + DPH OSA (Československé armády 20, 160 56, Praha 6). Honorář bude uhrazen na základě faktury, kterou vystaví OSA na základě Hlášení o tržbách, které je povinen vystavit Pořadatel do deseti dnů od konání zájezdového </w:t>
      </w:r>
      <w:r>
        <w:t>představení.</w:t>
      </w:r>
    </w:p>
    <w:p w:rsidR="00017C25" w:rsidRDefault="009C730B">
      <w:pPr>
        <w:pStyle w:val="Zkladntext1"/>
        <w:ind w:left="520" w:firstLine="20"/>
        <w:jc w:val="both"/>
      </w:pPr>
      <w:r>
        <w:t>Hrubými tržbami se rozumí úhrn tržeb Pořadatele za prodané vstupenky před odečtením jakýchkoli položek, včetně daňových.</w:t>
      </w:r>
    </w:p>
    <w:p w:rsidR="00017C25" w:rsidRDefault="009C730B">
      <w:pPr>
        <w:pStyle w:val="Zkladntext1"/>
        <w:numPr>
          <w:ilvl w:val="0"/>
          <w:numId w:val="9"/>
        </w:numPr>
        <w:tabs>
          <w:tab w:val="left" w:pos="516"/>
          <w:tab w:val="left" w:pos="684"/>
        </w:tabs>
        <w:ind w:firstLine="140"/>
        <w:jc w:val="both"/>
      </w:pPr>
      <w:r>
        <w:t>Divadlo vystaví fakturu na honorář do třiceti dnů od podepsání smlouvy se splatností v den konání akce</w:t>
      </w:r>
    </w:p>
    <w:p w:rsidR="00017C25" w:rsidRDefault="009C730B">
      <w:pPr>
        <w:pStyle w:val="Zkladntext1"/>
        <w:numPr>
          <w:ilvl w:val="0"/>
          <w:numId w:val="9"/>
        </w:numPr>
        <w:tabs>
          <w:tab w:val="left" w:pos="516"/>
          <w:tab w:val="left" w:pos="684"/>
        </w:tabs>
        <w:ind w:firstLine="140"/>
        <w:jc w:val="both"/>
      </w:pPr>
      <w:r>
        <w:t>V případě, že pořad</w:t>
      </w:r>
      <w:r>
        <w:t>atel nezaplatí smluvený honorář do 14 dnů po vystavení faktury, zaplatí Divadlu smluvní úrok</w:t>
      </w:r>
    </w:p>
    <w:p w:rsidR="00017C25" w:rsidRDefault="009C730B">
      <w:pPr>
        <w:pStyle w:val="Zkladntext1"/>
        <w:spacing w:after="540"/>
        <w:ind w:firstLine="520"/>
        <w:jc w:val="both"/>
      </w:pPr>
      <w:r>
        <w:t>z prodlení ve výši 0,1% z dlužné částky za každý den prodlení.</w:t>
      </w:r>
    </w:p>
    <w:p w:rsidR="00017C25" w:rsidRDefault="009C730B">
      <w:pPr>
        <w:pStyle w:val="Nadpis20"/>
        <w:keepNext/>
        <w:keepLines/>
        <w:spacing w:after="260" w:line="276" w:lineRule="auto"/>
      </w:pPr>
      <w:bookmarkStart w:id="7" w:name="bookmark14"/>
      <w:r>
        <w:t>VI. ZÁVĚREČNÁ USTANOVENÍ</w:t>
      </w:r>
      <w:bookmarkEnd w:id="7"/>
    </w:p>
    <w:p w:rsidR="00017C25" w:rsidRDefault="009C730B">
      <w:pPr>
        <w:pStyle w:val="Zkladntext1"/>
        <w:numPr>
          <w:ilvl w:val="0"/>
          <w:numId w:val="11"/>
        </w:numPr>
        <w:tabs>
          <w:tab w:val="left" w:pos="516"/>
        </w:tabs>
        <w:ind w:left="520" w:hanging="340"/>
        <w:jc w:val="both"/>
      </w:pPr>
      <w:r>
        <w:t>Tato smlouva se uzavírá ve dvou vyhotoveních s platností originálu, z nichž</w:t>
      </w:r>
      <w:r>
        <w:t xml:space="preserve"> každá ze stran obdrží po jednom. Smlouva nabývá platnosti dnem podpisu obou stran a účinnosti dnem jejího uveřejnění v registru smluv dle zákona č. 340/2015 Sb., O zvláštních podmínkách účinnosti některých smluv, uveřejňování těchto smluv a o registru sml</w:t>
      </w:r>
      <w:r>
        <w:t>uv. Do registru smluv bude vložena Divadlem po podpisu obou stran v zákonem stanovené době.</w:t>
      </w:r>
    </w:p>
    <w:p w:rsidR="00017C25" w:rsidRDefault="009C730B">
      <w:pPr>
        <w:pStyle w:val="Zkladntext1"/>
        <w:numPr>
          <w:ilvl w:val="0"/>
          <w:numId w:val="11"/>
        </w:numPr>
        <w:tabs>
          <w:tab w:val="left" w:pos="516"/>
        </w:tabs>
        <w:ind w:firstLine="180"/>
        <w:jc w:val="both"/>
      </w:pPr>
      <w:r>
        <w:t>Otázky touto smlouvou neupravené se řídí příslušnými právními předpisy České republiky.</w:t>
      </w:r>
    </w:p>
    <w:p w:rsidR="00017C25" w:rsidRDefault="009C730B">
      <w:pPr>
        <w:pStyle w:val="Zkladntext1"/>
        <w:numPr>
          <w:ilvl w:val="0"/>
          <w:numId w:val="11"/>
        </w:numPr>
        <w:tabs>
          <w:tab w:val="left" w:pos="516"/>
        </w:tabs>
        <w:ind w:left="520" w:hanging="340"/>
        <w:jc w:val="both"/>
      </w:pPr>
      <w:r>
        <w:t>Změny a doplnění této smlouvy jsou možné pouze v písemné podobě a na základě</w:t>
      </w:r>
      <w:r>
        <w:t xml:space="preserve"> vzájemné dohody obou Smluvních stran.</w:t>
      </w:r>
    </w:p>
    <w:p w:rsidR="00017C25" w:rsidRDefault="009C730B">
      <w:pPr>
        <w:pStyle w:val="Zkladntext1"/>
        <w:numPr>
          <w:ilvl w:val="0"/>
          <w:numId w:val="11"/>
        </w:numPr>
        <w:tabs>
          <w:tab w:val="left" w:pos="516"/>
        </w:tabs>
        <w:ind w:left="520" w:hanging="340"/>
        <w:jc w:val="both"/>
      </w:pPr>
      <w:r>
        <w:t>V případě onemocnění v souboru si Divadlo vyhrazuje právo změnit titul, či obsazení v alternaci, avšak po dohodě s pořadatelem.</w:t>
      </w:r>
    </w:p>
    <w:p w:rsidR="00017C25" w:rsidRDefault="009C730B">
      <w:pPr>
        <w:pStyle w:val="Zkladntext1"/>
        <w:numPr>
          <w:ilvl w:val="0"/>
          <w:numId w:val="11"/>
        </w:numPr>
        <w:tabs>
          <w:tab w:val="left" w:pos="516"/>
        </w:tabs>
        <w:ind w:left="520" w:hanging="340"/>
        <w:jc w:val="both"/>
      </w:pPr>
      <w:r>
        <w:t>V případě jednostranného zrušení této smlouvy ze strany pořadatele, či vzhledem k nedodrž</w:t>
      </w:r>
      <w:r>
        <w:t>ení podmínek daných touto smlouvou si bude Divadlo účtovat stornopoplatek až do výše dohodnuté ceny zájezdu a nákladů vynaložených na zajištění zájezdového představení.</w:t>
      </w:r>
    </w:p>
    <w:p w:rsidR="00017C25" w:rsidRDefault="009C730B">
      <w:pPr>
        <w:pStyle w:val="Zkladntext1"/>
        <w:numPr>
          <w:ilvl w:val="0"/>
          <w:numId w:val="11"/>
        </w:numPr>
        <w:tabs>
          <w:tab w:val="left" w:pos="516"/>
        </w:tabs>
        <w:ind w:left="520" w:hanging="340"/>
        <w:jc w:val="both"/>
      </w:pPr>
      <w:r>
        <w:t>Každá ze stran této smlouvy odpovídá druhé straně za škodu vzniklou porušením povinnost</w:t>
      </w:r>
      <w:r>
        <w:t>í vyplývajících z této smlouvy, nebo zaviněným porušením právních předpisů. Odpovědnosti se strana zprostí, jestliže byla škoda způsobená objektivně vyšší mocí, které nemohlo být zabráněno ani při vynaložení veškerého úsilí, které lze požadovat za daných p</w:t>
      </w:r>
      <w:r>
        <w:t>odmínek konkrétního případu. Za vyšší moc považují strany též nehodu dopravního prostředku, úraz či nemoc nezastupitelného interpreta, popřípadě smrt jemu blízkých osob, nařízení vlády či místní samosprávy.</w:t>
      </w:r>
    </w:p>
    <w:p w:rsidR="00017C25" w:rsidRDefault="009C730B">
      <w:pPr>
        <w:pStyle w:val="Zkladntext1"/>
        <w:numPr>
          <w:ilvl w:val="0"/>
          <w:numId w:val="11"/>
        </w:numPr>
        <w:tabs>
          <w:tab w:val="left" w:pos="516"/>
        </w:tabs>
        <w:ind w:left="520" w:hanging="340"/>
        <w:jc w:val="both"/>
      </w:pPr>
      <w:r>
        <w:t xml:space="preserve">Neuskuteční-li se zájezdové představení z důvodů </w:t>
      </w:r>
      <w:r>
        <w:t>způsobených na straně Pořadatele, je povinen Pořadatel uhradit Divadlu honorář a náhradu již vynaložených nákladů. Za takové důvody považují obě strany též přítomnost méně než padesáti diváků, pokud Divadlo nebude trvat na uskutečnění zájezdového představe</w:t>
      </w:r>
      <w:r>
        <w:t>ní.</w:t>
      </w:r>
    </w:p>
    <w:p w:rsidR="00017C25" w:rsidRDefault="009C730B">
      <w:pPr>
        <w:pStyle w:val="Zkladntext1"/>
        <w:numPr>
          <w:ilvl w:val="0"/>
          <w:numId w:val="11"/>
        </w:numPr>
        <w:tabs>
          <w:tab w:val="left" w:pos="516"/>
        </w:tabs>
        <w:ind w:left="520" w:hanging="340"/>
        <w:jc w:val="both"/>
      </w:pPr>
      <w:r>
        <w:t xml:space="preserve">Neuskuteční-li se zájezdové představení z důvodu způsobených na straně Divadla, sjednají strany náhradní termín představení. Pořadatel má v tomto případě nárok na 10% slevu z ceny představení sjednané v této smlouvě. Nedohodnou-li se strany na </w:t>
      </w:r>
      <w:r>
        <w:t>náhradním termínu, zaplatí Divadlo pořadateli již vynaložené náklady.</w:t>
      </w:r>
    </w:p>
    <w:p w:rsidR="00017C25" w:rsidRDefault="009C730B">
      <w:pPr>
        <w:pStyle w:val="Zkladntext1"/>
        <w:numPr>
          <w:ilvl w:val="0"/>
          <w:numId w:val="11"/>
        </w:numPr>
        <w:tabs>
          <w:tab w:val="left" w:pos="516"/>
        </w:tabs>
        <w:ind w:left="520" w:hanging="340"/>
        <w:jc w:val="both"/>
      </w:pPr>
      <w:r>
        <w:t>Bude-li uskutečnění zájezdového představení znemožněno z důvodu neodvratitelné či nepředvídatelné události - z vyšší moci, mají obě strany právo od smlouvy odstoupit bez nároku na finanč</w:t>
      </w:r>
      <w:r>
        <w:t>ní náhradu škody. Za vyšší moc považují strany též nehodu dopravního prostředku, úraz či nemoc nezastupitelného interpreta, popřípadě úmrtí jemu blízkých osob.</w:t>
      </w:r>
    </w:p>
    <w:p w:rsidR="00017C25" w:rsidRDefault="009C730B">
      <w:pPr>
        <w:pStyle w:val="Zkladntext1"/>
        <w:numPr>
          <w:ilvl w:val="0"/>
          <w:numId w:val="11"/>
        </w:numPr>
        <w:tabs>
          <w:tab w:val="left" w:pos="536"/>
        </w:tabs>
        <w:ind w:left="520" w:hanging="340"/>
        <w:jc w:val="both"/>
      </w:pPr>
      <w:r>
        <w:t xml:space="preserve">Pořadatel je oprávněn písemně odstoupit od smlouvy v případě existence platných opatření, které </w:t>
      </w:r>
      <w:r>
        <w:t>by neumožňovaly její konání z důvodu pandemie COVID-19 nebo pokud by konání akce bylo s ohledem na tato</w:t>
      </w:r>
      <w:r>
        <w:br w:type="page"/>
      </w:r>
      <w:r>
        <w:lastRenderedPageBreak/>
        <w:t>platná omezení (např. co do maximálního počtu osob na hromadných akcích, povinnosti zajistit zachování rozestupů mezi osobami atp.) obtížně realizovatel</w:t>
      </w:r>
      <w:r>
        <w:t xml:space="preserve">né nebo by bylo realizovatelné pouze při vynaložení vysokých finančních prostředků. V odstoupení musí být uveden důvod. Pořadatel se zavazuje Divadlu uhradit jeho náklady prokazatelně vynaložené v souvislosti s realizací představení dle čl. </w:t>
      </w:r>
      <w:r>
        <w:rPr>
          <w:lang w:val="en-US" w:eastAsia="en-US" w:bidi="en-US"/>
        </w:rPr>
        <w:t xml:space="preserve">I. </w:t>
      </w:r>
      <w:r>
        <w:t>odst. 1 do d</w:t>
      </w:r>
      <w:r>
        <w:t>ne doručení odstoupení. Náklady a již poskytnuté plnění budou uhrazeny na základě faktur ve 30 denní lhůtě splatnosti, když splatnost se počítá ode dne doručení faktury.</w:t>
      </w:r>
    </w:p>
    <w:p w:rsidR="00017C25" w:rsidRDefault="009C730B">
      <w:pPr>
        <w:pStyle w:val="Zkladntext1"/>
        <w:numPr>
          <w:ilvl w:val="0"/>
          <w:numId w:val="11"/>
        </w:numPr>
        <w:tabs>
          <w:tab w:val="left" w:pos="363"/>
        </w:tabs>
        <w:spacing w:line="283" w:lineRule="auto"/>
        <w:ind w:left="340" w:hanging="340"/>
        <w:sectPr w:rsidR="00017C25">
          <w:type w:val="continuous"/>
          <w:pgSz w:w="11900" w:h="16840"/>
          <w:pgMar w:top="1467" w:right="1155" w:bottom="1133" w:left="1151" w:header="1039" w:footer="705" w:gutter="0"/>
          <w:cols w:space="720"/>
          <w:noEndnote/>
          <w:docGrid w:linePitch="360"/>
        </w:sectPr>
      </w:pPr>
      <w:r>
        <w:t xml:space="preserve">Obě Smluvní strany prohlašují, žesi tuto dohodu před podpisem </w:t>
      </w:r>
      <w:r>
        <w:t>přečetly, porozuměly jejímu obsahu, s obsahem souhlasí, a že je tato dohoda projevem jejich svobodné vůle.</w:t>
      </w:r>
    </w:p>
    <w:p w:rsidR="00017C25" w:rsidRDefault="00017C25">
      <w:pPr>
        <w:spacing w:line="240" w:lineRule="exact"/>
        <w:rPr>
          <w:sz w:val="19"/>
          <w:szCs w:val="19"/>
        </w:rPr>
      </w:pPr>
    </w:p>
    <w:p w:rsidR="00017C25" w:rsidRDefault="00017C25">
      <w:pPr>
        <w:spacing w:line="240" w:lineRule="exact"/>
        <w:rPr>
          <w:sz w:val="19"/>
          <w:szCs w:val="19"/>
        </w:rPr>
      </w:pPr>
    </w:p>
    <w:p w:rsidR="00017C25" w:rsidRDefault="00017C25">
      <w:pPr>
        <w:spacing w:before="49" w:after="49" w:line="240" w:lineRule="exact"/>
        <w:rPr>
          <w:sz w:val="19"/>
          <w:szCs w:val="19"/>
        </w:rPr>
      </w:pPr>
    </w:p>
    <w:p w:rsidR="00017C25" w:rsidRDefault="00017C25">
      <w:pPr>
        <w:spacing w:line="1" w:lineRule="exact"/>
        <w:sectPr w:rsidR="00017C25">
          <w:type w:val="continuous"/>
          <w:pgSz w:w="11900" w:h="16840"/>
          <w:pgMar w:top="1441" w:right="0" w:bottom="1441" w:left="0" w:header="0" w:footer="3" w:gutter="0"/>
          <w:cols w:space="720"/>
          <w:noEndnote/>
          <w:docGrid w:linePitch="360"/>
        </w:sectPr>
      </w:pPr>
    </w:p>
    <w:p w:rsidR="00017C25" w:rsidRDefault="009C730B">
      <w:pPr>
        <w:pStyle w:val="Zkladntext1"/>
        <w:framePr w:w="2257" w:h="425" w:wrap="none" w:vAnchor="text" w:hAnchor="page" w:x="1323" w:y="210"/>
        <w:tabs>
          <w:tab w:val="left" w:leader="dot" w:pos="11"/>
          <w:tab w:val="right" w:leader="dot" w:pos="860"/>
          <w:tab w:val="left" w:pos="925"/>
          <w:tab w:val="left" w:leader="dot" w:pos="2200"/>
        </w:tabs>
        <w:spacing w:after="60" w:line="240" w:lineRule="auto"/>
        <w:jc w:val="right"/>
      </w:pPr>
      <w:r>
        <w:tab/>
      </w:r>
      <w:r>
        <w:tab/>
        <w:t>,</w:t>
      </w:r>
      <w:r>
        <w:tab/>
        <w:t>dne</w:t>
      </w:r>
      <w:r>
        <w:tab/>
      </w:r>
    </w:p>
    <w:p w:rsidR="00017C25" w:rsidRDefault="00017C25">
      <w:pPr>
        <w:pStyle w:val="Zkladntext30"/>
        <w:framePr w:w="2257" w:h="425" w:wrap="none" w:vAnchor="text" w:hAnchor="page" w:x="1323" w:y="210"/>
      </w:pPr>
    </w:p>
    <w:p w:rsidR="00017C25" w:rsidRDefault="009C730B">
      <w:pPr>
        <w:pStyle w:val="Zkladntext1"/>
        <w:framePr w:w="2113" w:h="256" w:wrap="none" w:vAnchor="text" w:hAnchor="page" w:x="1208" w:y="2402"/>
        <w:spacing w:line="240" w:lineRule="auto"/>
      </w:pPr>
      <w:r>
        <w:t xml:space="preserve">Radka </w:t>
      </w:r>
      <w:r>
        <w:t>Kareisová, ředitelka</w:t>
      </w:r>
    </w:p>
    <w:p w:rsidR="00017C25" w:rsidRDefault="002705AD" w:rsidP="002705AD">
      <w:pPr>
        <w:spacing w:line="360" w:lineRule="exact"/>
        <w:jc w:val="center"/>
      </w:pPr>
      <w:r>
        <w:lastRenderedPageBreak/>
        <w:t xml:space="preserve">                                                  V Praze, dne 29.9.2021</w:t>
      </w:r>
    </w:p>
    <w:p w:rsidR="00017C25" w:rsidRDefault="00017C25">
      <w:pPr>
        <w:spacing w:line="360" w:lineRule="exact"/>
      </w:pPr>
    </w:p>
    <w:p w:rsidR="00017C25" w:rsidRDefault="00017C25">
      <w:pPr>
        <w:spacing w:line="360" w:lineRule="exact"/>
      </w:pPr>
    </w:p>
    <w:p w:rsidR="00017C25" w:rsidRDefault="00017C25">
      <w:pPr>
        <w:spacing w:line="360" w:lineRule="exact"/>
      </w:pPr>
    </w:p>
    <w:p w:rsidR="00017C25" w:rsidRDefault="00017C25">
      <w:pPr>
        <w:spacing w:line="360" w:lineRule="exact"/>
      </w:pPr>
    </w:p>
    <w:p w:rsidR="00017C25" w:rsidRDefault="00017C25">
      <w:pPr>
        <w:spacing w:line="360" w:lineRule="exact"/>
      </w:pPr>
    </w:p>
    <w:p w:rsidR="00017C25" w:rsidRDefault="002705AD" w:rsidP="002705AD">
      <w:pPr>
        <w:tabs>
          <w:tab w:val="left" w:pos="5784"/>
        </w:tabs>
        <w:spacing w:line="360" w:lineRule="exact"/>
      </w:pPr>
      <w:r>
        <w:tab/>
        <w:t xml:space="preserve">Michal Lang, ředitel </w:t>
      </w:r>
      <w:bookmarkStart w:id="8" w:name="_GoBack"/>
      <w:bookmarkEnd w:id="8"/>
    </w:p>
    <w:p w:rsidR="00017C25" w:rsidRDefault="00017C25">
      <w:pPr>
        <w:spacing w:after="535" w:line="1" w:lineRule="exact"/>
      </w:pPr>
    </w:p>
    <w:p w:rsidR="00017C25" w:rsidRDefault="00017C25">
      <w:pPr>
        <w:spacing w:line="1" w:lineRule="exact"/>
      </w:pPr>
    </w:p>
    <w:sectPr w:rsidR="00017C25">
      <w:type w:val="continuous"/>
      <w:pgSz w:w="11900" w:h="16840"/>
      <w:pgMar w:top="1441" w:right="1187" w:bottom="1441" w:left="85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30B" w:rsidRDefault="009C730B">
      <w:r>
        <w:separator/>
      </w:r>
    </w:p>
  </w:endnote>
  <w:endnote w:type="continuationSeparator" w:id="0">
    <w:p w:rsidR="009C730B" w:rsidRDefault="009C7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DejaVu Sans Condensed">
    <w:panose1 w:val="020B0606030804020204"/>
    <w:charset w:val="EE"/>
    <w:family w:val="swiss"/>
    <w:pitch w:val="variable"/>
    <w:sig w:usb0="E7002EFF" w:usb1="D200FDFF" w:usb2="0A24602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30B" w:rsidRDefault="009C730B"/>
  </w:footnote>
  <w:footnote w:type="continuationSeparator" w:id="0">
    <w:p w:rsidR="009C730B" w:rsidRDefault="009C730B"/>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C5D4C"/>
    <w:multiLevelType w:val="multilevel"/>
    <w:tmpl w:val="09847F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3E4921"/>
    <w:multiLevelType w:val="multilevel"/>
    <w:tmpl w:val="8C8C5DE8"/>
    <w:lvl w:ilvl="0">
      <w:start w:val="4"/>
      <w:numFmt w:val="upperRoman"/>
      <w:lvlText w:val="%1."/>
      <w:lvlJc w:val="left"/>
      <w:rPr>
        <w:rFonts w:ascii="Calibri" w:eastAsia="Calibri" w:hAnsi="Calibri" w:cs="Calibri"/>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38579C"/>
    <w:multiLevelType w:val="multilevel"/>
    <w:tmpl w:val="A91890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4C1427"/>
    <w:multiLevelType w:val="multilevel"/>
    <w:tmpl w:val="8812ACF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E31F72"/>
    <w:multiLevelType w:val="multilevel"/>
    <w:tmpl w:val="270C7FDC"/>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A90301"/>
    <w:multiLevelType w:val="multilevel"/>
    <w:tmpl w:val="BBCAE2A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5463D7"/>
    <w:multiLevelType w:val="multilevel"/>
    <w:tmpl w:val="051E94C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90F4B8A"/>
    <w:multiLevelType w:val="multilevel"/>
    <w:tmpl w:val="6B02888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1C7E36"/>
    <w:multiLevelType w:val="multilevel"/>
    <w:tmpl w:val="82E61402"/>
    <w:lvl w:ilvl="0">
      <w:start w:val="1"/>
      <w:numFmt w:val="upperRoman"/>
      <w:lvlText w:val="%1."/>
      <w:lvlJc w:val="left"/>
      <w:rPr>
        <w:rFonts w:ascii="Calibri" w:eastAsia="Calibri" w:hAnsi="Calibri" w:cs="Calibri"/>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80A2319"/>
    <w:multiLevelType w:val="multilevel"/>
    <w:tmpl w:val="497EC86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F8A35B3"/>
    <w:multiLevelType w:val="multilevel"/>
    <w:tmpl w:val="BCE63CC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9"/>
  </w:num>
  <w:num w:numId="3">
    <w:abstractNumId w:val="2"/>
  </w:num>
  <w:num w:numId="4">
    <w:abstractNumId w:val="5"/>
  </w:num>
  <w:num w:numId="5">
    <w:abstractNumId w:val="6"/>
  </w:num>
  <w:num w:numId="6">
    <w:abstractNumId w:val="1"/>
  </w:num>
  <w:num w:numId="7">
    <w:abstractNumId w:val="0"/>
  </w:num>
  <w:num w:numId="8">
    <w:abstractNumId w:val="3"/>
  </w:num>
  <w:num w:numId="9">
    <w:abstractNumId w:val="4"/>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25"/>
    <w:rsid w:val="00017C25"/>
    <w:rsid w:val="002705AD"/>
    <w:rsid w:val="009C73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90A81"/>
  <w15:docId w15:val="{513C620D-CA0B-4CE7-A995-1B974FD7D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jaVu Sans Condensed" w:eastAsia="DejaVu Sans Condensed" w:hAnsi="DejaVu Sans Condensed" w:cs="DejaVu Sans Condensed"/>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2"/>
      <w:szCs w:val="22"/>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19"/>
      <w:szCs w:val="19"/>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19"/>
      <w:szCs w:val="19"/>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4"/>
      <w:szCs w:val="14"/>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26"/>
      <w:szCs w:val="26"/>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5"/>
      <w:szCs w:val="15"/>
      <w:u w:val="none"/>
    </w:rPr>
  </w:style>
  <w:style w:type="paragraph" w:customStyle="1" w:styleId="Zkladntext20">
    <w:name w:val="Základní text (2)"/>
    <w:basedOn w:val="Normln"/>
    <w:link w:val="Zkladntext2"/>
    <w:pPr>
      <w:spacing w:after="20"/>
    </w:pPr>
    <w:rPr>
      <w:rFonts w:ascii="Arial" w:eastAsia="Arial" w:hAnsi="Arial" w:cs="Arial"/>
      <w:sz w:val="22"/>
      <w:szCs w:val="22"/>
    </w:rPr>
  </w:style>
  <w:style w:type="paragraph" w:customStyle="1" w:styleId="Nadpis20">
    <w:name w:val="Nadpis #2"/>
    <w:basedOn w:val="Normln"/>
    <w:link w:val="Nadpis2"/>
    <w:pPr>
      <w:spacing w:after="170" w:line="257" w:lineRule="auto"/>
      <w:jc w:val="center"/>
      <w:outlineLvl w:val="1"/>
    </w:pPr>
    <w:rPr>
      <w:rFonts w:ascii="Calibri" w:eastAsia="Calibri" w:hAnsi="Calibri" w:cs="Calibri"/>
      <w:b/>
      <w:bCs/>
      <w:sz w:val="19"/>
      <w:szCs w:val="19"/>
    </w:rPr>
  </w:style>
  <w:style w:type="paragraph" w:customStyle="1" w:styleId="Zkladntext1">
    <w:name w:val="Základní text1"/>
    <w:basedOn w:val="Normln"/>
    <w:link w:val="Zkladntext"/>
    <w:pPr>
      <w:spacing w:line="276" w:lineRule="auto"/>
    </w:pPr>
    <w:rPr>
      <w:rFonts w:ascii="Calibri" w:eastAsia="Calibri" w:hAnsi="Calibri" w:cs="Calibri"/>
      <w:sz w:val="19"/>
      <w:szCs w:val="19"/>
    </w:rPr>
  </w:style>
  <w:style w:type="paragraph" w:customStyle="1" w:styleId="Zkladntext30">
    <w:name w:val="Základní text (3)"/>
    <w:basedOn w:val="Normln"/>
    <w:link w:val="Zkladntext3"/>
    <w:pPr>
      <w:spacing w:line="257" w:lineRule="auto"/>
      <w:jc w:val="right"/>
    </w:pPr>
    <w:rPr>
      <w:rFonts w:ascii="Arial" w:eastAsia="Arial" w:hAnsi="Arial" w:cs="Arial"/>
      <w:sz w:val="14"/>
      <w:szCs w:val="14"/>
    </w:rPr>
  </w:style>
  <w:style w:type="paragraph" w:customStyle="1" w:styleId="Nadpis10">
    <w:name w:val="Nadpis #1"/>
    <w:basedOn w:val="Normln"/>
    <w:link w:val="Nadpis1"/>
    <w:pPr>
      <w:outlineLvl w:val="0"/>
    </w:pPr>
    <w:rPr>
      <w:rFonts w:ascii="Arial" w:eastAsia="Arial" w:hAnsi="Arial" w:cs="Arial"/>
      <w:sz w:val="26"/>
      <w:szCs w:val="26"/>
    </w:rPr>
  </w:style>
  <w:style w:type="paragraph" w:customStyle="1" w:styleId="Titulekobrzku0">
    <w:name w:val="Titulek obrázku"/>
    <w:basedOn w:val="Normln"/>
    <w:link w:val="Titulekobrzku"/>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jakubec@mekuc.cz" TargetMode="External"/><Relationship Id="rId13" Type="http://schemas.openxmlformats.org/officeDocument/2006/relationships/hyperlink" Target="mailto:tomdianiska@gmail.com" TargetMode="External"/><Relationship Id="rId3" Type="http://schemas.openxmlformats.org/officeDocument/2006/relationships/settings" Target="settings.xml"/><Relationship Id="rId7" Type="http://schemas.openxmlformats.org/officeDocument/2006/relationships/hyperlink" Target="mailto:krutisova@mekuc.cz" TargetMode="External"/><Relationship Id="rId12" Type="http://schemas.openxmlformats.org/officeDocument/2006/relationships/hyperlink" Target="mailto:arke_ta.hruskova@actam.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mek.ondra@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ejkaad@gmail.com" TargetMode="External"/><Relationship Id="rId4" Type="http://schemas.openxmlformats.org/officeDocument/2006/relationships/webSettings" Target="webSettings.xml"/><Relationship Id="rId9" Type="http://schemas.openxmlformats.org/officeDocument/2006/relationships/hyperlink" Target="mailto:mojmir@smt-group.cz" TargetMode="External"/><Relationship Id="rId14" Type="http://schemas.openxmlformats.org/officeDocument/2006/relationships/hyperlink" Target="mailto:acherl313@gmail.co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1531</Words>
  <Characters>9034</Characters>
  <Application>Microsoft Office Word</Application>
  <DocSecurity>0</DocSecurity>
  <Lines>75</Lines>
  <Paragraphs>21</Paragraphs>
  <ScaleCrop>false</ScaleCrop>
  <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Nejdrova</cp:lastModifiedBy>
  <cp:revision>2</cp:revision>
  <dcterms:created xsi:type="dcterms:W3CDTF">2021-10-07T11:51:00Z</dcterms:created>
  <dcterms:modified xsi:type="dcterms:W3CDTF">2021-10-07T11:54:00Z</dcterms:modified>
</cp:coreProperties>
</file>