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4F" w:rsidRDefault="00CB184F">
      <w:pPr>
        <w:pStyle w:val="Nadpis30"/>
        <w:framePr w:wrap="none" w:vAnchor="page" w:hAnchor="page" w:x="1478" w:y="277"/>
        <w:shd w:val="clear" w:color="auto" w:fill="auto"/>
        <w:tabs>
          <w:tab w:val="left" w:pos="4597"/>
        </w:tabs>
        <w:spacing w:after="0" w:line="200" w:lineRule="exact"/>
        <w:ind w:left="3420"/>
      </w:pPr>
    </w:p>
    <w:p w:rsidR="00CB184F" w:rsidRDefault="00D62201">
      <w:pPr>
        <w:pStyle w:val="Zkladntext30"/>
        <w:framePr w:w="9104" w:h="578" w:hRule="exact" w:wrap="none" w:vAnchor="page" w:hAnchor="page" w:x="1478" w:y="2364"/>
        <w:shd w:val="clear" w:color="auto" w:fill="auto"/>
        <w:spacing w:before="0" w:after="0" w:line="240" w:lineRule="exact"/>
      </w:pPr>
      <w:r>
        <w:t xml:space="preserve">Dodatek </w:t>
      </w:r>
      <w:r w:rsidR="0026782C">
        <w:t>č</w:t>
      </w:r>
      <w:r>
        <w:t>. 1</w:t>
      </w:r>
    </w:p>
    <w:p w:rsidR="00CB184F" w:rsidRDefault="0026782C">
      <w:pPr>
        <w:pStyle w:val="Zkladntext30"/>
        <w:framePr w:w="9104" w:h="578" w:hRule="exact" w:wrap="none" w:vAnchor="page" w:hAnchor="page" w:x="1478" w:y="2364"/>
        <w:shd w:val="clear" w:color="auto" w:fill="auto"/>
        <w:spacing w:before="0" w:after="0" w:line="240" w:lineRule="exact"/>
      </w:pPr>
      <w:r>
        <w:t>ke Smlouvě č.</w:t>
      </w:r>
      <w:r w:rsidR="00D62201">
        <w:t>j. NG/99/2017</w:t>
      </w:r>
    </w:p>
    <w:p w:rsidR="00CB184F" w:rsidRDefault="00D62201">
      <w:pPr>
        <w:pStyle w:val="Zkladntext30"/>
        <w:framePr w:w="9104" w:h="4594" w:hRule="exact" w:wrap="none" w:vAnchor="page" w:hAnchor="page" w:x="1478" w:y="3705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274" w:lineRule="exact"/>
        <w:jc w:val="both"/>
      </w:pPr>
      <w:r>
        <w:t>Národní galerie v Praze</w:t>
      </w:r>
    </w:p>
    <w:p w:rsidR="00CB184F" w:rsidRDefault="00D62201" w:rsidP="0026782C">
      <w:pPr>
        <w:pStyle w:val="Zkladntext20"/>
        <w:framePr w:w="9104" w:h="4594" w:hRule="exact" w:wrap="none" w:vAnchor="page" w:hAnchor="page" w:x="1478" w:y="3705"/>
        <w:shd w:val="clear" w:color="auto" w:fill="auto"/>
        <w:spacing w:line="240" w:lineRule="auto"/>
        <w:ind w:right="4420" w:firstLine="0"/>
      </w:pPr>
      <w:r>
        <w:t xml:space="preserve">se sídlem: Staroměstské nám. 12, 110 15 Praha </w:t>
      </w:r>
      <w:r>
        <w:t>1 zastoupena: Jiřím Fajtem, generálním ředitelem IČ: 00023281, DIČ: CZ00023281</w:t>
      </w:r>
    </w:p>
    <w:p w:rsidR="0026782C" w:rsidRDefault="00D62201" w:rsidP="0026782C">
      <w:pPr>
        <w:pStyle w:val="Zkladntext20"/>
        <w:framePr w:w="9104" w:h="4594" w:hRule="exact" w:wrap="none" w:vAnchor="page" w:hAnchor="page" w:x="1478" w:y="3705"/>
        <w:shd w:val="clear" w:color="auto" w:fill="auto"/>
        <w:spacing w:line="240" w:lineRule="auto"/>
        <w:ind w:right="1820" w:firstLine="0"/>
      </w:pPr>
      <w:r>
        <w:t>banko</w:t>
      </w:r>
      <w:r w:rsidR="0026782C">
        <w:t>vní spojení: …………..…</w:t>
      </w:r>
      <w:r>
        <w:t xml:space="preserve">, číslo účtu: </w:t>
      </w:r>
      <w:r w:rsidR="0026782C">
        <w:t>………………………</w:t>
      </w:r>
      <w:r>
        <w:t xml:space="preserve"> </w:t>
      </w:r>
    </w:p>
    <w:p w:rsidR="00CB184F" w:rsidRDefault="00D62201" w:rsidP="0026782C">
      <w:pPr>
        <w:pStyle w:val="Zkladntext20"/>
        <w:framePr w:w="9104" w:h="4594" w:hRule="exact" w:wrap="none" w:vAnchor="page" w:hAnchor="page" w:x="1478" w:y="3705"/>
        <w:shd w:val="clear" w:color="auto" w:fill="auto"/>
        <w:spacing w:line="240" w:lineRule="auto"/>
        <w:ind w:right="1820" w:firstLine="0"/>
      </w:pPr>
      <w:r>
        <w:t>(dále jen „objednatel“)</w:t>
      </w:r>
    </w:p>
    <w:p w:rsidR="0026782C" w:rsidRDefault="0026782C" w:rsidP="0026782C">
      <w:pPr>
        <w:pStyle w:val="Zkladntext20"/>
        <w:framePr w:w="9104" w:h="4594" w:hRule="exact" w:wrap="none" w:vAnchor="page" w:hAnchor="page" w:x="1478" w:y="3705"/>
        <w:shd w:val="clear" w:color="auto" w:fill="auto"/>
        <w:spacing w:line="240" w:lineRule="auto"/>
        <w:ind w:right="1820" w:firstLine="0"/>
      </w:pPr>
    </w:p>
    <w:p w:rsidR="00CB184F" w:rsidRDefault="00D62201">
      <w:pPr>
        <w:pStyle w:val="Zkladntext20"/>
        <w:framePr w:w="9104" w:h="4594" w:hRule="exact" w:wrap="none" w:vAnchor="page" w:hAnchor="page" w:x="1478" w:y="3705"/>
        <w:shd w:val="clear" w:color="auto" w:fill="auto"/>
        <w:spacing w:after="202" w:line="240" w:lineRule="exact"/>
        <w:ind w:firstLine="0"/>
        <w:jc w:val="both"/>
      </w:pPr>
      <w:r>
        <w:t>a</w:t>
      </w:r>
    </w:p>
    <w:p w:rsidR="00CB184F" w:rsidRDefault="00D62201">
      <w:pPr>
        <w:pStyle w:val="Zkladntext30"/>
        <w:framePr w:w="9104" w:h="4594" w:hRule="exact" w:wrap="none" w:vAnchor="page" w:hAnchor="page" w:x="1478" w:y="3705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74" w:lineRule="exact"/>
        <w:jc w:val="both"/>
      </w:pPr>
      <w:r>
        <w:t>OMNILINK Services a.s.</w:t>
      </w:r>
    </w:p>
    <w:p w:rsidR="00CB184F" w:rsidRDefault="00D62201">
      <w:pPr>
        <w:pStyle w:val="Zkladntext20"/>
        <w:framePr w:w="9104" w:h="4594" w:hRule="exact" w:wrap="none" w:vAnchor="page" w:hAnchor="page" w:x="1478" w:y="3705"/>
        <w:shd w:val="clear" w:color="auto" w:fill="auto"/>
        <w:ind w:firstLine="0"/>
        <w:jc w:val="both"/>
      </w:pPr>
      <w:r>
        <w:t>se sídlem: V Korytech 3155/23, Záběhlice, 106 00 Praha 10</w:t>
      </w:r>
    </w:p>
    <w:p w:rsidR="00CB184F" w:rsidRDefault="00D62201">
      <w:pPr>
        <w:pStyle w:val="Zkladntext20"/>
        <w:framePr w:w="9104" w:h="4594" w:hRule="exact" w:wrap="none" w:vAnchor="page" w:hAnchor="page" w:x="1478" w:y="3705"/>
        <w:shd w:val="clear" w:color="auto" w:fill="auto"/>
        <w:ind w:firstLine="0"/>
        <w:jc w:val="both"/>
      </w:pPr>
      <w:r>
        <w:t>zastoupena: Filipem Lukášem, předsedou představenstva a Ing. Robertem Hořčíkem, členem představenstva</w:t>
      </w:r>
    </w:p>
    <w:p w:rsidR="0026782C" w:rsidRDefault="00D62201">
      <w:pPr>
        <w:pStyle w:val="Zkladntext20"/>
        <w:framePr w:w="9104" w:h="4594" w:hRule="exact" w:wrap="none" w:vAnchor="page" w:hAnchor="page" w:x="1478" w:y="3705"/>
        <w:shd w:val="clear" w:color="auto" w:fill="auto"/>
        <w:ind w:firstLine="0"/>
      </w:pPr>
      <w:r>
        <w:t xml:space="preserve">zapsaná v obchodním </w:t>
      </w:r>
      <w:r>
        <w:t xml:space="preserve">rejstříku vedeném Městským soudem v Praze, oddíl B, vložka 18197 IČ: 24298557, DIČ: CZ 24298557 </w:t>
      </w:r>
    </w:p>
    <w:p w:rsidR="00CB184F" w:rsidRDefault="00D62201">
      <w:pPr>
        <w:pStyle w:val="Zkladntext20"/>
        <w:framePr w:w="9104" w:h="4594" w:hRule="exact" w:wrap="none" w:vAnchor="page" w:hAnchor="page" w:x="1478" w:y="3705"/>
        <w:shd w:val="clear" w:color="auto" w:fill="auto"/>
        <w:ind w:firstLine="0"/>
      </w:pPr>
      <w:r>
        <w:t>(dále jen „zhotovitel“)</w:t>
      </w:r>
    </w:p>
    <w:p w:rsidR="00CB184F" w:rsidRDefault="00D62201">
      <w:pPr>
        <w:pStyle w:val="Zkladntext20"/>
        <w:framePr w:w="9104" w:h="575" w:hRule="exact" w:wrap="none" w:vAnchor="page" w:hAnchor="page" w:x="1478" w:y="8811"/>
        <w:shd w:val="clear" w:color="auto" w:fill="auto"/>
        <w:spacing w:line="240" w:lineRule="exact"/>
        <w:ind w:left="180" w:firstLine="0"/>
      </w:pPr>
      <w:r>
        <w:t>uzavírají níže uvedeného dne, měsíce a roku na základě vzájemného konsensu o všech níže</w:t>
      </w:r>
    </w:p>
    <w:p w:rsidR="00CB184F" w:rsidRDefault="00D62201">
      <w:pPr>
        <w:pStyle w:val="Zkladntext20"/>
        <w:framePr w:w="9104" w:h="575" w:hRule="exact" w:wrap="none" w:vAnchor="page" w:hAnchor="page" w:x="1478" w:y="8811"/>
        <w:shd w:val="clear" w:color="auto" w:fill="auto"/>
        <w:spacing w:line="240" w:lineRule="exact"/>
        <w:ind w:firstLine="0"/>
        <w:jc w:val="center"/>
      </w:pPr>
      <w:r>
        <w:t>uvedených ustanoveních tento</w:t>
      </w:r>
    </w:p>
    <w:p w:rsidR="00CB184F" w:rsidRDefault="0026782C">
      <w:pPr>
        <w:pStyle w:val="Zkladntext30"/>
        <w:framePr w:w="9104" w:h="303" w:hRule="exact" w:wrap="none" w:vAnchor="page" w:hAnchor="page" w:x="1478" w:y="9917"/>
        <w:shd w:val="clear" w:color="auto" w:fill="auto"/>
        <w:spacing w:before="0" w:after="0" w:line="240" w:lineRule="exact"/>
      </w:pPr>
      <w:r>
        <w:t>dodatek č</w:t>
      </w:r>
      <w:r w:rsidR="00D62201">
        <w:t>. 1 ke Sml</w:t>
      </w:r>
      <w:r>
        <w:t>ouvě o dílo č</w:t>
      </w:r>
      <w:r w:rsidR="00D62201">
        <w:t>.j. NG/99/2017 ze dne 23.1.2017:</w:t>
      </w:r>
    </w:p>
    <w:p w:rsidR="00CB184F" w:rsidRDefault="00D62201">
      <w:pPr>
        <w:pStyle w:val="Nadpis10"/>
        <w:framePr w:w="9104" w:h="4667" w:hRule="exact" w:wrap="none" w:vAnchor="page" w:hAnchor="page" w:x="1478" w:y="10771"/>
        <w:shd w:val="clear" w:color="auto" w:fill="auto"/>
        <w:spacing w:before="0" w:after="1" w:line="200" w:lineRule="exact"/>
      </w:pPr>
      <w:bookmarkStart w:id="0" w:name="bookmark1"/>
      <w:r>
        <w:t>I.</w:t>
      </w:r>
      <w:bookmarkEnd w:id="0"/>
    </w:p>
    <w:p w:rsidR="00CB184F" w:rsidRDefault="00D62201">
      <w:pPr>
        <w:pStyle w:val="Zkladntext30"/>
        <w:framePr w:w="9104" w:h="4667" w:hRule="exact" w:wrap="none" w:vAnchor="page" w:hAnchor="page" w:x="1478" w:y="10771"/>
        <w:shd w:val="clear" w:color="auto" w:fill="auto"/>
        <w:spacing w:before="0" w:after="212" w:line="240" w:lineRule="exact"/>
      </w:pPr>
      <w:r>
        <w:t>Předmět dodatku</w:t>
      </w:r>
    </w:p>
    <w:p w:rsidR="00CB184F" w:rsidRDefault="00D62201">
      <w:pPr>
        <w:pStyle w:val="Zkladntext20"/>
        <w:framePr w:w="9104" w:h="4667" w:hRule="exact" w:wrap="none" w:vAnchor="page" w:hAnchor="page" w:x="1478" w:y="10771"/>
        <w:numPr>
          <w:ilvl w:val="0"/>
          <w:numId w:val="2"/>
        </w:numPr>
        <w:shd w:val="clear" w:color="auto" w:fill="auto"/>
        <w:tabs>
          <w:tab w:val="left" w:pos="732"/>
        </w:tabs>
        <w:spacing w:after="477" w:line="270" w:lineRule="exact"/>
        <w:ind w:left="740"/>
        <w:jc w:val="both"/>
      </w:pPr>
      <w:r>
        <w:t>Předmětem tohoto Dodatku je úprava termínu plnění uvedeného v</w:t>
      </w:r>
      <w:r w:rsidR="0026782C">
        <w:t xml:space="preserve"> čl. VII</w:t>
      </w:r>
      <w:r>
        <w:t>, odst. 1 písm. a) Smlouvy.</w:t>
      </w:r>
    </w:p>
    <w:p w:rsidR="00CB184F" w:rsidRDefault="00D62201">
      <w:pPr>
        <w:pStyle w:val="Zkladntext20"/>
        <w:framePr w:w="9104" w:h="4667" w:hRule="exact" w:wrap="none" w:vAnchor="page" w:hAnchor="page" w:x="1478" w:y="10771"/>
        <w:numPr>
          <w:ilvl w:val="0"/>
          <w:numId w:val="2"/>
        </w:numPr>
        <w:shd w:val="clear" w:color="auto" w:fill="auto"/>
        <w:tabs>
          <w:tab w:val="left" w:pos="735"/>
        </w:tabs>
        <w:spacing w:after="240"/>
        <w:ind w:left="740"/>
        <w:jc w:val="both"/>
      </w:pPr>
      <w:r>
        <w:t>Objednatel konstatuje, že připomínky objednatele, jež vyvstaly v průběhu provádění části díla -</w:t>
      </w:r>
      <w:r>
        <w:t xml:space="preserve"> vypracování projektové dokumentace dle čl. III odst. 1 Smlouvy na základě zhotovitelem předložených předběžných návrhů vyvolaly potřebu dodatečného času na jejich zapracování do projektové dokumentace. Prodloužení termínu realizace této části díla považuj</w:t>
      </w:r>
      <w:r>
        <w:t>e objednatel s ohledem na výše uvedené za důvodné.</w:t>
      </w:r>
    </w:p>
    <w:p w:rsidR="00CB184F" w:rsidRDefault="00D62201">
      <w:pPr>
        <w:pStyle w:val="Zkladntext20"/>
        <w:framePr w:w="9104" w:h="4667" w:hRule="exact" w:wrap="none" w:vAnchor="page" w:hAnchor="page" w:x="1478" w:y="10771"/>
        <w:numPr>
          <w:ilvl w:val="0"/>
          <w:numId w:val="2"/>
        </w:numPr>
        <w:shd w:val="clear" w:color="auto" w:fill="auto"/>
        <w:tabs>
          <w:tab w:val="left" w:pos="735"/>
        </w:tabs>
        <w:ind w:left="740"/>
        <w:jc w:val="both"/>
      </w:pPr>
      <w:r>
        <w:t>Smluvní strany se dohodly na změně termínu plnění, uvedeného v čl. VII odst. 1 písm. a) Smlouvy tak, že se termín pro odevzdání této části díla prodlužuje o 14 dnů. Čl. VII odst. 1 písm. a) tak nově zní: „</w:t>
      </w:r>
      <w:r>
        <w:t>Předání kompletní projektové dokumentace na</w:t>
      </w:r>
    </w:p>
    <w:p w:rsidR="00CB184F" w:rsidRDefault="00D62201">
      <w:pPr>
        <w:pStyle w:val="ZhlavneboZpat0"/>
        <w:framePr w:wrap="none" w:vAnchor="page" w:hAnchor="page" w:x="5672" w:y="15903"/>
        <w:shd w:val="clear" w:color="auto" w:fill="auto"/>
        <w:spacing w:line="190" w:lineRule="exact"/>
      </w:pPr>
      <w:r>
        <w:t>Strana 1</w:t>
      </w:r>
    </w:p>
    <w:p w:rsidR="00CB184F" w:rsidRDefault="00CB184F">
      <w:pPr>
        <w:rPr>
          <w:sz w:val="2"/>
          <w:szCs w:val="2"/>
        </w:rPr>
        <w:sectPr w:rsidR="00CB18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184F" w:rsidRDefault="00D62201">
      <w:pPr>
        <w:pStyle w:val="Zkladntext20"/>
        <w:framePr w:w="9104" w:h="1701" w:hRule="exact" w:wrap="none" w:vAnchor="page" w:hAnchor="page" w:x="1309" w:y="1436"/>
        <w:shd w:val="clear" w:color="auto" w:fill="auto"/>
        <w:tabs>
          <w:tab w:val="left" w:pos="1095"/>
        </w:tabs>
        <w:spacing w:after="237" w:line="270" w:lineRule="exact"/>
        <w:ind w:left="740" w:firstLine="0"/>
        <w:jc w:val="both"/>
      </w:pPr>
      <w:r>
        <w:lastRenderedPageBreak/>
        <w:t>rekonstrukci síťové infrastruktury v objektech Národní galerie v Praze pro výběr dodavatele v rozsahu dle této Smlouvy nejpozději do 54 dnů od uzavření této Smlouvy.</w:t>
      </w:r>
    </w:p>
    <w:p w:rsidR="00CB184F" w:rsidRDefault="00D62201">
      <w:pPr>
        <w:pStyle w:val="Zkladntext20"/>
        <w:framePr w:w="9104" w:h="1701" w:hRule="exact" w:wrap="none" w:vAnchor="page" w:hAnchor="page" w:x="1309" w:y="1436"/>
        <w:numPr>
          <w:ilvl w:val="0"/>
          <w:numId w:val="2"/>
        </w:numPr>
        <w:shd w:val="clear" w:color="auto" w:fill="auto"/>
        <w:tabs>
          <w:tab w:val="left" w:pos="734"/>
        </w:tabs>
        <w:ind w:left="740"/>
        <w:jc w:val="both"/>
      </w:pPr>
      <w:r>
        <w:t xml:space="preserve">Ostatní </w:t>
      </w:r>
      <w:r>
        <w:t>ujednání včetně ceny díla dle čl. V odst. 2 písm. a) Smlouvy zůstávají tímto Dodatkem nedotčeny.</w:t>
      </w:r>
    </w:p>
    <w:p w:rsidR="00CB184F" w:rsidRDefault="00D62201">
      <w:pPr>
        <w:pStyle w:val="Zkladntext40"/>
        <w:framePr w:w="9104" w:h="5496" w:hRule="exact" w:wrap="none" w:vAnchor="page" w:hAnchor="page" w:x="1309" w:y="4210"/>
        <w:shd w:val="clear" w:color="auto" w:fill="auto"/>
        <w:spacing w:before="0" w:after="0" w:line="240" w:lineRule="exact"/>
        <w:ind w:left="20"/>
      </w:pPr>
      <w:r>
        <w:t>II.</w:t>
      </w:r>
    </w:p>
    <w:p w:rsidR="00CB184F" w:rsidRDefault="00D62201">
      <w:pPr>
        <w:pStyle w:val="Zkladntext30"/>
        <w:framePr w:w="9104" w:h="5496" w:hRule="exact" w:wrap="none" w:vAnchor="page" w:hAnchor="page" w:x="1309" w:y="4210"/>
        <w:shd w:val="clear" w:color="auto" w:fill="auto"/>
        <w:spacing w:before="0" w:after="146" w:line="240" w:lineRule="exact"/>
        <w:ind w:left="20"/>
      </w:pPr>
      <w:r>
        <w:t>Závěrečná ustanovení</w:t>
      </w:r>
    </w:p>
    <w:p w:rsidR="00CB184F" w:rsidRDefault="00D62201">
      <w:pPr>
        <w:pStyle w:val="Zkladntext20"/>
        <w:framePr w:w="9104" w:h="5496" w:hRule="exact" w:wrap="none" w:vAnchor="page" w:hAnchor="page" w:x="1309" w:y="4210"/>
        <w:numPr>
          <w:ilvl w:val="0"/>
          <w:numId w:val="3"/>
        </w:numPr>
        <w:shd w:val="clear" w:color="auto" w:fill="auto"/>
        <w:tabs>
          <w:tab w:val="left" w:pos="734"/>
        </w:tabs>
        <w:spacing w:after="240"/>
        <w:ind w:left="740"/>
        <w:jc w:val="both"/>
      </w:pPr>
      <w:r>
        <w:t>Tento Dodatek je vyhotoven ve čtyřech stejnopisech, z nichž dva obdrží objednatel a dva zhotovitel.</w:t>
      </w:r>
    </w:p>
    <w:p w:rsidR="00CB184F" w:rsidRDefault="00D62201">
      <w:pPr>
        <w:pStyle w:val="Zkladntext20"/>
        <w:framePr w:w="9104" w:h="5496" w:hRule="exact" w:wrap="none" w:vAnchor="page" w:hAnchor="page" w:x="1309" w:y="4210"/>
        <w:numPr>
          <w:ilvl w:val="0"/>
          <w:numId w:val="3"/>
        </w:numPr>
        <w:shd w:val="clear" w:color="auto" w:fill="auto"/>
        <w:tabs>
          <w:tab w:val="left" w:pos="734"/>
        </w:tabs>
        <w:spacing w:after="240"/>
        <w:ind w:left="740"/>
        <w:jc w:val="both"/>
      </w:pPr>
      <w:r>
        <w:t>Tento Dodatek nabývá platnosti a ú</w:t>
      </w:r>
      <w:r>
        <w:t>činnosti dnem podpisu oprávněnými zástupci obou smluvních stran.</w:t>
      </w:r>
    </w:p>
    <w:p w:rsidR="00CB184F" w:rsidRDefault="00D62201">
      <w:pPr>
        <w:pStyle w:val="Zkladntext20"/>
        <w:framePr w:w="9104" w:h="5496" w:hRule="exact" w:wrap="none" w:vAnchor="page" w:hAnchor="page" w:x="1309" w:y="4210"/>
        <w:numPr>
          <w:ilvl w:val="0"/>
          <w:numId w:val="3"/>
        </w:numPr>
        <w:shd w:val="clear" w:color="auto" w:fill="auto"/>
        <w:tabs>
          <w:tab w:val="left" w:pos="734"/>
        </w:tabs>
        <w:spacing w:after="240"/>
        <w:ind w:left="740"/>
        <w:jc w:val="both"/>
      </w:pPr>
      <w:r>
        <w:t>Pro případ povinnosti zveřejnění tohoto dodatku a Smlouvy dle zákona č. 340/2015 Sb., o registru smluv, smluvní strany sjednávají, že zveřejnění provede objednatel. Obě smluvní strany berou n</w:t>
      </w:r>
      <w:r>
        <w:t>a vědomí, že nebudou zveřejněny pouze ty informace, které nelze poskytnout podle předpisů upravujících svobodný přístup k informacím. Považuje-li zhotovitel některé informace uvedené v tomto dodatku a Smlouvě za informace, které nemohou nebo nemají být zve</w:t>
      </w:r>
      <w:r>
        <w:t>řejněny v registru smluv dle zákona č. 340/2015 Sb., je povinen na to objednatele současně s uzavřením tohoto dodatku písemně upozornit.</w:t>
      </w:r>
    </w:p>
    <w:p w:rsidR="00CB184F" w:rsidRDefault="00D62201">
      <w:pPr>
        <w:pStyle w:val="Zkladntext20"/>
        <w:framePr w:w="9104" w:h="5496" w:hRule="exact" w:wrap="none" w:vAnchor="page" w:hAnchor="page" w:x="1309" w:y="4210"/>
        <w:numPr>
          <w:ilvl w:val="0"/>
          <w:numId w:val="3"/>
        </w:numPr>
        <w:shd w:val="clear" w:color="auto" w:fill="auto"/>
        <w:tabs>
          <w:tab w:val="left" w:pos="734"/>
        </w:tabs>
        <w:ind w:left="740"/>
        <w:jc w:val="both"/>
      </w:pPr>
      <w:r>
        <w:t xml:space="preserve">Obě smluvní strany prohlašují, že tento dodatek je projevem jejich svobodné, vážně míněné a omylu prosté vůle, což </w:t>
      </w:r>
      <w:r>
        <w:t>stvrzují svými podpisy.</w:t>
      </w:r>
    </w:p>
    <w:p w:rsidR="00CB184F" w:rsidRDefault="00CB184F">
      <w:pPr>
        <w:pStyle w:val="Nadpis20"/>
        <w:framePr w:wrap="none" w:vAnchor="page" w:hAnchor="page" w:x="1309" w:y="10294"/>
        <w:shd w:val="clear" w:color="auto" w:fill="auto"/>
        <w:spacing w:before="0" w:line="280" w:lineRule="exact"/>
        <w:ind w:left="2200"/>
      </w:pPr>
    </w:p>
    <w:p w:rsidR="00CB184F" w:rsidRDefault="00D62201">
      <w:pPr>
        <w:pStyle w:val="Titulekobrzku20"/>
        <w:framePr w:wrap="none" w:vAnchor="page" w:hAnchor="page" w:x="1287" w:y="10773"/>
        <w:shd w:val="clear" w:color="auto" w:fill="auto"/>
        <w:spacing w:line="240" w:lineRule="exact"/>
      </w:pPr>
      <w:r>
        <w:t>V Praze dne</w:t>
      </w:r>
      <w:r w:rsidR="0026782C">
        <w:t xml:space="preserve">  14. 3. 2017</w:t>
      </w:r>
    </w:p>
    <w:p w:rsidR="0026782C" w:rsidRDefault="0026782C">
      <w:pPr>
        <w:pStyle w:val="Titulekobrzku20"/>
        <w:framePr w:wrap="none" w:vAnchor="page" w:hAnchor="page" w:x="1313" w:y="12167"/>
        <w:shd w:val="clear" w:color="auto" w:fill="auto"/>
        <w:spacing w:line="240" w:lineRule="exact"/>
      </w:pPr>
    </w:p>
    <w:p w:rsidR="00CB184F" w:rsidRDefault="00D62201">
      <w:pPr>
        <w:pStyle w:val="Titulekobrzku20"/>
        <w:framePr w:wrap="none" w:vAnchor="page" w:hAnchor="page" w:x="1313" w:y="12167"/>
        <w:shd w:val="clear" w:color="auto" w:fill="auto"/>
        <w:spacing w:line="240" w:lineRule="exact"/>
      </w:pPr>
      <w:r>
        <w:t>Za objednatele</w:t>
      </w:r>
      <w:r w:rsidR="0026782C">
        <w:tab/>
      </w:r>
      <w:r w:rsidR="0026782C">
        <w:tab/>
      </w:r>
      <w:r w:rsidR="0026782C">
        <w:tab/>
      </w:r>
      <w:r w:rsidR="0026782C">
        <w:tab/>
      </w:r>
      <w:r w:rsidR="0026782C">
        <w:tab/>
        <w:t>Za zhotovitele</w:t>
      </w:r>
    </w:p>
    <w:p w:rsidR="00CB184F" w:rsidRDefault="00CB184F">
      <w:pPr>
        <w:pStyle w:val="ZhlavneboZpat0"/>
        <w:framePr w:wrap="none" w:vAnchor="page" w:hAnchor="page" w:x="5492" w:y="15903"/>
        <w:shd w:val="clear" w:color="auto" w:fill="auto"/>
        <w:spacing w:line="190" w:lineRule="exact"/>
      </w:pPr>
    </w:p>
    <w:p w:rsid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  <w:bookmarkStart w:id="1" w:name="_GoBack"/>
      <w:bookmarkEnd w:id="1"/>
    </w:p>
    <w:p w:rsidR="0026782C" w:rsidRPr="0026782C" w:rsidRDefault="0026782C" w:rsidP="0026782C">
      <w:pPr>
        <w:rPr>
          <w:sz w:val="2"/>
          <w:szCs w:val="2"/>
        </w:rPr>
      </w:pPr>
    </w:p>
    <w:p w:rsid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Pr="0026782C" w:rsidRDefault="0026782C" w:rsidP="0026782C">
      <w:pPr>
        <w:rPr>
          <w:sz w:val="2"/>
          <w:szCs w:val="2"/>
        </w:rPr>
      </w:pPr>
    </w:p>
    <w:p w:rsidR="0026782C" w:rsidRDefault="0026782C" w:rsidP="0026782C">
      <w:pPr>
        <w:rPr>
          <w:sz w:val="2"/>
          <w:szCs w:val="2"/>
        </w:rPr>
      </w:pPr>
    </w:p>
    <w:p w:rsidR="0026782C" w:rsidRDefault="0026782C" w:rsidP="0026782C">
      <w:pPr>
        <w:rPr>
          <w:sz w:val="2"/>
          <w:szCs w:val="2"/>
        </w:rPr>
      </w:pPr>
    </w:p>
    <w:p w:rsidR="00CB184F" w:rsidRPr="0026782C" w:rsidRDefault="0026782C" w:rsidP="0026782C">
      <w:pPr>
        <w:tabs>
          <w:tab w:val="left" w:pos="214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CB184F" w:rsidRPr="0026782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201" w:rsidRDefault="00D62201">
      <w:r>
        <w:separator/>
      </w:r>
    </w:p>
  </w:endnote>
  <w:endnote w:type="continuationSeparator" w:id="0">
    <w:p w:rsidR="00D62201" w:rsidRDefault="00D6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201" w:rsidRDefault="00D62201"/>
  </w:footnote>
  <w:footnote w:type="continuationSeparator" w:id="0">
    <w:p w:rsidR="00D62201" w:rsidRDefault="00D622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86571"/>
    <w:multiLevelType w:val="multilevel"/>
    <w:tmpl w:val="D8BAD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D67B37"/>
    <w:multiLevelType w:val="multilevel"/>
    <w:tmpl w:val="A2C4A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43459B"/>
    <w:multiLevelType w:val="multilevel"/>
    <w:tmpl w:val="1FD46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B184F"/>
    <w:rsid w:val="0026782C"/>
    <w:rsid w:val="00CB184F"/>
    <w:rsid w:val="00D6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19B8"/>
  <w15:docId w15:val="{EAA51D29-E256-418F-883A-B770095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60"/>
      <w:sz w:val="28"/>
      <w:szCs w:val="28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Candara85pt">
    <w:name w:val="Základní text (5) + Candara;8;5 pt"/>
    <w:basedOn w:val="Zkladntext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Candara9pt">
    <w:name w:val="Základní text (5) + Candara;9 pt"/>
    <w:basedOn w:val="Zkladntext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TimesNewRoman65ptKurzva">
    <w:name w:val="Základní text (5) + Times New Roman;6;5 pt;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Zkladntext61">
    <w:name w:val="Základní text (6)"/>
    <w:basedOn w:val="Zkladntext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70"/>
      <w:sz w:val="14"/>
      <w:szCs w:val="14"/>
      <w:u w:val="none"/>
    </w:rPr>
  </w:style>
  <w:style w:type="character" w:customStyle="1" w:styleId="Zkladntext71">
    <w:name w:val="Základní text (7)"/>
    <w:basedOn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31">
    <w:name w:val="Titulek obrázku (3)"/>
    <w:basedOn w:val="Titulekobrzku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385ptKurzvadkovn0pt">
    <w:name w:val="Titulek obrázku (3) + 8;5 pt;Kurzíva;Řádkování 0 pt"/>
    <w:basedOn w:val="Titulekobrzku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1">
    <w:name w:val="Titulek obrázku"/>
    <w:basedOn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Impact27ptKurzva">
    <w:name w:val="Další + Impact;27 p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740" w:line="0" w:lineRule="atLeast"/>
      <w:jc w:val="both"/>
      <w:outlineLvl w:val="2"/>
    </w:pPr>
    <w:rPr>
      <w:rFonts w:ascii="Trebuchet MS" w:eastAsia="Trebuchet MS" w:hAnsi="Trebuchet MS" w:cs="Trebuchet MS"/>
      <w:i/>
      <w:iCs/>
      <w:spacing w:val="-40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7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6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w w:val="60"/>
      <w:sz w:val="28"/>
      <w:szCs w:val="2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6" w:lineRule="exact"/>
      <w:ind w:firstLine="480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Candara" w:eastAsia="Candara" w:hAnsi="Candara" w:cs="Candara"/>
      <w:spacing w:val="40"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70"/>
      <w:sz w:val="14"/>
      <w:szCs w:val="14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191" w:lineRule="exact"/>
    </w:pPr>
    <w:rPr>
      <w:rFonts w:ascii="Trebuchet MS" w:eastAsia="Trebuchet MS" w:hAnsi="Trebuchet MS" w:cs="Trebuchet MS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91" w:lineRule="exact"/>
    </w:pPr>
    <w:rPr>
      <w:rFonts w:ascii="Trebuchet MS" w:eastAsia="Trebuchet MS" w:hAnsi="Trebuchet MS" w:cs="Trebuchet MS"/>
      <w:sz w:val="10"/>
      <w:szCs w:val="1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c224.pk.gr-20170328120540</dc:title>
  <dc:subject/>
  <dc:creator/>
  <cp:keywords/>
  <cp:lastModifiedBy>Zdenka Šímová</cp:lastModifiedBy>
  <cp:revision>2</cp:revision>
  <dcterms:created xsi:type="dcterms:W3CDTF">2017-03-28T12:40:00Z</dcterms:created>
  <dcterms:modified xsi:type="dcterms:W3CDTF">2017-03-28T12:47:00Z</dcterms:modified>
</cp:coreProperties>
</file>