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74F447E4" w14:textId="77777777" w:rsidR="001E7688" w:rsidRPr="007937B6" w:rsidRDefault="001E7688" w:rsidP="001E7688">
      <w:pPr>
        <w:pStyle w:val="Zkladntext21"/>
        <w:numPr>
          <w:ilvl w:val="0"/>
          <w:numId w:val="6"/>
        </w:numPr>
        <w:rPr>
          <w:rFonts w:ascii="Arial" w:hAnsi="Arial" w:cs="Arial"/>
          <w:b/>
          <w:bCs/>
          <w:sz w:val="20"/>
        </w:rPr>
      </w:pPr>
      <w:r w:rsidRPr="007937B6">
        <w:rPr>
          <w:rFonts w:ascii="Arial" w:hAnsi="Arial" w:cs="Arial"/>
          <w:b/>
          <w:bCs/>
          <w:sz w:val="20"/>
        </w:rPr>
        <w:t>SATPO Project V, s.r.o.</w:t>
      </w:r>
    </w:p>
    <w:p w14:paraId="5A76F4AE" w14:textId="77777777" w:rsidR="001E7688" w:rsidRPr="007937B6" w:rsidRDefault="001E7688" w:rsidP="001E7688">
      <w:pPr>
        <w:pStyle w:val="Zhlav"/>
        <w:tabs>
          <w:tab w:val="clear" w:pos="4536"/>
          <w:tab w:val="clear" w:pos="9072"/>
        </w:tabs>
        <w:spacing w:before="20"/>
        <w:ind w:left="420"/>
        <w:rPr>
          <w:rFonts w:ascii="Arial" w:hAnsi="Arial" w:cs="Arial"/>
          <w:sz w:val="20"/>
          <w:szCs w:val="20"/>
        </w:rPr>
      </w:pPr>
      <w:r w:rsidRPr="007937B6">
        <w:rPr>
          <w:rFonts w:ascii="Arial" w:hAnsi="Arial" w:cs="Arial"/>
          <w:sz w:val="20"/>
          <w:szCs w:val="20"/>
        </w:rPr>
        <w:t>se sídlem Holečkova 3331/35, Praha 5 Smíchov, PSČ 150 00</w:t>
      </w:r>
    </w:p>
    <w:p w14:paraId="2095A4FC" w14:textId="77777777" w:rsidR="001E7688" w:rsidRPr="007937B6" w:rsidRDefault="001E7688" w:rsidP="001E7688">
      <w:pPr>
        <w:pStyle w:val="Zhlav"/>
        <w:tabs>
          <w:tab w:val="clear" w:pos="4536"/>
          <w:tab w:val="clear" w:pos="9072"/>
        </w:tabs>
        <w:spacing w:before="20"/>
        <w:ind w:left="420"/>
        <w:rPr>
          <w:rFonts w:ascii="Arial" w:hAnsi="Arial" w:cs="Arial"/>
          <w:sz w:val="20"/>
          <w:szCs w:val="20"/>
        </w:rPr>
      </w:pPr>
      <w:r w:rsidRPr="007937B6">
        <w:rPr>
          <w:rFonts w:ascii="Arial" w:hAnsi="Arial" w:cs="Arial"/>
          <w:sz w:val="20"/>
          <w:szCs w:val="20"/>
        </w:rPr>
        <w:t>IČ: 03933911, DIČ: CZ03933911, plátce DPH</w:t>
      </w:r>
    </w:p>
    <w:p w14:paraId="27E70EFF" w14:textId="77777777" w:rsidR="001E7688" w:rsidRPr="007937B6" w:rsidRDefault="001E7688" w:rsidP="001E7688">
      <w:pPr>
        <w:pStyle w:val="Zhlav"/>
        <w:tabs>
          <w:tab w:val="clear" w:pos="4536"/>
          <w:tab w:val="clear" w:pos="9072"/>
        </w:tabs>
        <w:spacing w:before="20"/>
        <w:ind w:left="420"/>
        <w:rPr>
          <w:rFonts w:ascii="Arial" w:hAnsi="Arial" w:cs="Arial"/>
          <w:sz w:val="20"/>
          <w:szCs w:val="20"/>
        </w:rPr>
      </w:pPr>
      <w:r w:rsidRPr="007937B6">
        <w:rPr>
          <w:rFonts w:ascii="Arial" w:hAnsi="Arial" w:cs="Arial"/>
          <w:sz w:val="20"/>
          <w:szCs w:val="20"/>
        </w:rPr>
        <w:t xml:space="preserve">zapsaná v obch. rejstříku vedeném Městským soudem v Praze, </w:t>
      </w:r>
      <w:proofErr w:type="spellStart"/>
      <w:r w:rsidRPr="007937B6">
        <w:rPr>
          <w:rFonts w:ascii="Arial" w:hAnsi="Arial" w:cs="Arial"/>
          <w:sz w:val="20"/>
          <w:szCs w:val="20"/>
        </w:rPr>
        <w:t>sp</w:t>
      </w:r>
      <w:proofErr w:type="spellEnd"/>
      <w:r w:rsidRPr="007937B6">
        <w:rPr>
          <w:rFonts w:ascii="Arial" w:hAnsi="Arial" w:cs="Arial"/>
          <w:sz w:val="20"/>
          <w:szCs w:val="20"/>
        </w:rPr>
        <w:t>. zn. C 239970</w:t>
      </w:r>
    </w:p>
    <w:p w14:paraId="66370FFF" w14:textId="007DDC86" w:rsidR="001E7688" w:rsidRPr="007937B6" w:rsidRDefault="001E7688" w:rsidP="001E7688">
      <w:pPr>
        <w:pStyle w:val="Zhlav"/>
        <w:tabs>
          <w:tab w:val="clear" w:pos="4536"/>
          <w:tab w:val="clear" w:pos="9072"/>
        </w:tabs>
        <w:spacing w:before="20"/>
        <w:ind w:left="420"/>
        <w:rPr>
          <w:rFonts w:ascii="Arial" w:hAnsi="Arial" w:cs="Arial"/>
          <w:sz w:val="20"/>
          <w:szCs w:val="20"/>
        </w:rPr>
      </w:pPr>
      <w:r w:rsidRPr="007937B6">
        <w:rPr>
          <w:rFonts w:ascii="Arial" w:hAnsi="Arial" w:cs="Arial"/>
          <w:sz w:val="20"/>
          <w:szCs w:val="20"/>
        </w:rPr>
        <w:t>zastoupená:</w:t>
      </w:r>
      <w:r>
        <w:rPr>
          <w:rFonts w:ascii="Arial" w:hAnsi="Arial" w:cs="Arial"/>
          <w:sz w:val="20"/>
          <w:szCs w:val="20"/>
        </w:rPr>
        <w:t xml:space="preserve"> </w:t>
      </w:r>
      <w:r w:rsidRPr="007937B6">
        <w:rPr>
          <w:rFonts w:ascii="Arial" w:hAnsi="Arial" w:cs="Arial"/>
          <w:sz w:val="20"/>
          <w:szCs w:val="20"/>
        </w:rPr>
        <w:t xml:space="preserve">Ing. Jiřím Dvořákem a Ing. </w:t>
      </w:r>
      <w:r w:rsidR="00331140">
        <w:rPr>
          <w:rFonts w:ascii="Arial" w:hAnsi="Arial" w:cs="Arial"/>
          <w:sz w:val="20"/>
          <w:szCs w:val="20"/>
        </w:rPr>
        <w:t>Jiřím Polanským</w:t>
      </w:r>
    </w:p>
    <w:p w14:paraId="549658D7" w14:textId="37C554C1"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26A2BB3B" w:rsidR="00C61D61" w:rsidRDefault="00C61D61" w:rsidP="00C61D61">
      <w:pPr>
        <w:tabs>
          <w:tab w:val="left" w:pos="360"/>
        </w:tabs>
        <w:spacing w:before="20"/>
        <w:ind w:left="420"/>
        <w:rPr>
          <w:rFonts w:ascii="Arial" w:hAnsi="Arial"/>
        </w:rPr>
      </w:pPr>
      <w:r>
        <w:rPr>
          <w:rFonts w:ascii="Arial" w:hAnsi="Arial"/>
        </w:rPr>
        <w:t xml:space="preserve">se sídlem: </w:t>
      </w:r>
      <w:r w:rsidR="001D1AD1" w:rsidRPr="001D1AD1">
        <w:rPr>
          <w:rFonts w:ascii="Arial" w:hAnsi="Arial"/>
        </w:rPr>
        <w:t>Evropská 866/67, Vokovice, 160 00 Praha 6</w:t>
      </w:r>
      <w:r w:rsidRPr="001A26FD">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030BC74F" w14:textId="452BC5E8" w:rsidR="001E7688" w:rsidRDefault="004F4AEE" w:rsidP="001E7688">
      <w:pPr>
        <w:pStyle w:val="odstzkl"/>
        <w:numPr>
          <w:ilvl w:val="0"/>
          <w:numId w:val="7"/>
        </w:numPr>
        <w:ind w:left="284" w:hanging="284"/>
        <w:rPr>
          <w:rFonts w:ascii="Arial" w:hAnsi="Arial" w:cs="Arial"/>
          <w:sz w:val="20"/>
        </w:rPr>
      </w:pPr>
      <w:r>
        <w:rPr>
          <w:rFonts w:ascii="Arial" w:hAnsi="Arial" w:cs="Arial"/>
          <w:sz w:val="20"/>
        </w:rPr>
        <w:t>Stavebník je investorem stavby:</w:t>
      </w:r>
      <w:r w:rsidR="001E7688">
        <w:rPr>
          <w:rFonts w:ascii="Arial" w:hAnsi="Arial" w:cs="Arial"/>
          <w:sz w:val="20"/>
        </w:rPr>
        <w:t xml:space="preserve"> </w:t>
      </w:r>
      <w:r w:rsidR="001E7688" w:rsidRPr="00B5177B">
        <w:t>„</w:t>
      </w:r>
      <w:r w:rsidR="001E7688">
        <w:t>REZIDENCE LAUROVÁ Praha 5 - Radlice</w:t>
      </w:r>
      <w:r w:rsidR="001E7688" w:rsidRPr="00B5177B">
        <w:t>“</w:t>
      </w:r>
      <w:r w:rsidR="001E7688" w:rsidRPr="00473588">
        <w:t xml:space="preserve"> </w:t>
      </w:r>
    </w:p>
    <w:p w14:paraId="5CE9ECE5" w14:textId="77777777" w:rsidR="004F4AEE" w:rsidRPr="00D87BE9" w:rsidRDefault="004F4AEE" w:rsidP="00D87BE9">
      <w:pPr>
        <w:pStyle w:val="odstzkl"/>
        <w:ind w:left="284"/>
        <w:rPr>
          <w:rFonts w:ascii="Arial" w:hAnsi="Arial" w:cs="Arial"/>
          <w:sz w:val="20"/>
        </w:rPr>
      </w:pP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lastRenderedPageBreak/>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865BA9" w:rsidRDefault="007A1BEE" w:rsidP="007A1BEE">
      <w:pPr>
        <w:pStyle w:val="odstzkl"/>
        <w:numPr>
          <w:ilvl w:val="0"/>
          <w:numId w:val="19"/>
        </w:numPr>
        <w:spacing w:before="120"/>
        <w:rPr>
          <w:rFonts w:ascii="Arial" w:hAnsi="Arial" w:cs="Arial"/>
          <w:iCs/>
          <w:sz w:val="20"/>
        </w:rPr>
      </w:pPr>
      <w:r w:rsidRPr="00865BA9">
        <w:rPr>
          <w:rFonts w:ascii="Arial" w:hAnsi="Arial" w:cs="Arial"/>
          <w:sz w:val="20"/>
        </w:rPr>
        <w:t xml:space="preserve">Pokud jsou na </w:t>
      </w:r>
      <w:r w:rsidR="000C5094" w:rsidRPr="00865BA9">
        <w:rPr>
          <w:rFonts w:ascii="Arial" w:hAnsi="Arial" w:cs="Arial"/>
          <w:sz w:val="20"/>
        </w:rPr>
        <w:t>úseku</w:t>
      </w:r>
      <w:r w:rsidRPr="00865BA9">
        <w:rPr>
          <w:rFonts w:ascii="Arial" w:hAnsi="Arial" w:cs="Arial"/>
          <w:sz w:val="20"/>
        </w:rPr>
        <w:t xml:space="preserve"> vodovod</w:t>
      </w:r>
      <w:r w:rsidR="000C5094" w:rsidRPr="00865BA9">
        <w:rPr>
          <w:rFonts w:ascii="Arial" w:hAnsi="Arial" w:cs="Arial"/>
          <w:sz w:val="20"/>
        </w:rPr>
        <w:t>u</w:t>
      </w:r>
      <w:r w:rsidRPr="00865BA9">
        <w:rPr>
          <w:rFonts w:ascii="Arial" w:hAnsi="Arial" w:cs="Arial"/>
          <w:sz w:val="20"/>
        </w:rPr>
        <w:t xml:space="preserve"> nebo kanalizac</w:t>
      </w:r>
      <w:r w:rsidR="000C5094" w:rsidRPr="00865BA9">
        <w:rPr>
          <w:rFonts w:ascii="Arial" w:hAnsi="Arial" w:cs="Arial"/>
          <w:sz w:val="20"/>
        </w:rPr>
        <w:t>e, který je nahrazován Přeložkou,</w:t>
      </w:r>
      <w:r w:rsidRPr="00865BA9">
        <w:rPr>
          <w:rFonts w:ascii="Arial" w:hAnsi="Arial" w:cs="Arial"/>
          <w:sz w:val="20"/>
        </w:rPr>
        <w:t xml:space="preserve"> napojeny přípojky, je součástí stavby </w:t>
      </w:r>
      <w:r w:rsidR="000C5094" w:rsidRPr="00865BA9">
        <w:rPr>
          <w:rFonts w:ascii="Arial" w:hAnsi="Arial" w:cs="Arial"/>
          <w:sz w:val="20"/>
        </w:rPr>
        <w:t>P</w:t>
      </w:r>
      <w:r w:rsidRPr="00865BA9">
        <w:rPr>
          <w:rFonts w:ascii="Arial" w:hAnsi="Arial" w:cs="Arial"/>
          <w:sz w:val="20"/>
        </w:rPr>
        <w:t xml:space="preserve">řeložky i přepojení těchto přípojek na </w:t>
      </w:r>
      <w:r w:rsidR="000C5094" w:rsidRPr="00865BA9">
        <w:rPr>
          <w:rFonts w:ascii="Arial" w:hAnsi="Arial" w:cs="Arial"/>
          <w:sz w:val="20"/>
        </w:rPr>
        <w:t>P</w:t>
      </w:r>
      <w:r w:rsidRPr="00865BA9">
        <w:rPr>
          <w:rFonts w:ascii="Arial" w:hAnsi="Arial" w:cs="Arial"/>
          <w:sz w:val="20"/>
        </w:rPr>
        <w:t>řeložku.</w:t>
      </w:r>
    </w:p>
    <w:p w14:paraId="1A4448A3" w14:textId="77777777" w:rsidR="00CD4E9C" w:rsidRPr="00865BA9" w:rsidRDefault="00CD4E9C" w:rsidP="00CD4E9C">
      <w:pPr>
        <w:pStyle w:val="odstzkl"/>
        <w:numPr>
          <w:ilvl w:val="0"/>
          <w:numId w:val="19"/>
        </w:numPr>
        <w:spacing w:before="120"/>
        <w:rPr>
          <w:rFonts w:ascii="Arial" w:hAnsi="Arial" w:cs="Arial"/>
          <w:sz w:val="20"/>
        </w:rPr>
      </w:pPr>
      <w:r w:rsidRPr="00865BA9">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 a provozování Provozovatele. O tomto bude vyhotoven písemný 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865BA9">
        <w:rPr>
          <w:rFonts w:ascii="Arial" w:hAnsi="Arial" w:cs="Arial"/>
          <w:sz w:val="20"/>
        </w:rPr>
        <w:t>Protokol o předání</w:t>
      </w:r>
      <w:r w:rsidRPr="00865BA9">
        <w:rPr>
          <w:rFonts w:ascii="Arial" w:hAnsi="Arial"/>
          <w:b/>
          <w:sz w:val="20"/>
        </w:rPr>
        <w:t xml:space="preserve"> </w:t>
      </w:r>
      <w:r w:rsidRPr="00865BA9">
        <w:rPr>
          <w:rFonts w:ascii="Arial" w:hAnsi="Arial"/>
          <w:sz w:val="20"/>
        </w:rPr>
        <w:t>a převzetí Přeložky</w:t>
      </w:r>
      <w:r w:rsidR="005A54FB" w:rsidRPr="00865BA9">
        <w:rPr>
          <w:rFonts w:ascii="Arial" w:hAnsi="Arial"/>
          <w:sz w:val="20"/>
        </w:rPr>
        <w:t xml:space="preserve"> s účinností k</w:t>
      </w:r>
      <w:r w:rsidR="008211CE" w:rsidRPr="00865BA9">
        <w:rPr>
          <w:rFonts w:ascii="Arial" w:hAnsi="Arial"/>
          <w:sz w:val="20"/>
        </w:rPr>
        <w:t> datu kolaudace Přeložky</w:t>
      </w:r>
      <w:r w:rsidRPr="00865BA9">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Pr>
          <w:rFonts w:ascii="Arial" w:hAnsi="Arial" w:cs="Arial"/>
          <w:sz w:val="20"/>
        </w:rPr>
        <w:t>Stavebník bere na vědomí, že pokud nepředloží některý z výše uvedených dokladů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865BA9">
        <w:rPr>
          <w:rFonts w:ascii="Arial" w:hAnsi="Arial" w:cs="Arial"/>
          <w:iCs/>
          <w:sz w:val="20"/>
        </w:rPr>
        <w:lastRenderedPageBreak/>
        <w:t xml:space="preserve">Stavebník </w:t>
      </w:r>
      <w:r w:rsidRPr="00865BA9">
        <w:rPr>
          <w:rFonts w:ascii="Arial" w:hAnsi="Arial" w:cs="Arial"/>
          <w:sz w:val="20"/>
        </w:rPr>
        <w:t>se zavazuje poskytnout Vlastníkovi záruku za jakost Přeložky v minimální délce trvání 5 (pět) let od doby, co nastaly právní účinky kolaudačního souhlasu, nebo nabylo právní moci kolaudační rozhodnutí.</w:t>
      </w:r>
      <w:r>
        <w:rPr>
          <w:rFonts w:ascii="Arial" w:hAnsi="Arial" w:cs="Arial"/>
          <w:sz w:val="20"/>
        </w:rPr>
        <w:t xml:space="preserve"> </w:t>
      </w:r>
      <w:r w:rsidR="00241382">
        <w:rPr>
          <w:rFonts w:ascii="Arial" w:hAnsi="Arial" w:cs="Arial"/>
          <w:sz w:val="20"/>
        </w:rPr>
        <w:t>Pokud jsou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0E522CE6" w14:textId="325EB7DE" w:rsidR="000A590B" w:rsidRDefault="009E19C7" w:rsidP="009D1DB1">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76C09DAE" w14:textId="77777777" w:rsidR="009D1DB1" w:rsidRPr="009D1DB1" w:rsidRDefault="009D1DB1" w:rsidP="009D1DB1">
      <w:pPr>
        <w:pStyle w:val="odstzkl"/>
        <w:numPr>
          <w:ilvl w:val="1"/>
          <w:numId w:val="4"/>
        </w:numPr>
        <w:tabs>
          <w:tab w:val="clear" w:pos="1440"/>
          <w:tab w:val="num" w:pos="360"/>
        </w:tabs>
        <w:spacing w:before="40"/>
        <w:ind w:left="357" w:hanging="357"/>
        <w:rPr>
          <w:rFonts w:ascii="Arial" w:hAnsi="Arial" w:cs="Arial"/>
          <w:bCs/>
          <w:iCs/>
          <w:sz w:val="20"/>
        </w:rPr>
      </w:pPr>
    </w:p>
    <w:p w14:paraId="019123BD" w14:textId="10192ADE"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B14964">
        <w:rPr>
          <w:rFonts w:ascii="Arial" w:hAnsi="Arial"/>
        </w:rPr>
        <w:t xml:space="preserve"> </w:t>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B14964">
        <w:rPr>
          <w:rFonts w:ascii="Arial" w:hAnsi="Arial"/>
        </w:rPr>
        <w:t xml:space="preserve">                          </w:t>
      </w:r>
      <w:r w:rsidR="008E5048">
        <w:rPr>
          <w:rFonts w:ascii="Arial" w:hAnsi="Arial"/>
        </w:rPr>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308E3747" w:rsidR="00761AFD" w:rsidRDefault="009D1DB1" w:rsidP="004F4AEE">
      <w:pPr>
        <w:rPr>
          <w:rFonts w:ascii="Arial" w:hAnsi="Arial"/>
        </w:rPr>
      </w:pPr>
      <w:r>
        <w:rPr>
          <w:rFonts w:ascii="Arial" w:hAnsi="Arial"/>
        </w:rPr>
        <w:tab/>
      </w:r>
      <w:r>
        <w:rPr>
          <w:rFonts w:ascii="Arial" w:hAnsi="Arial"/>
        </w:rPr>
        <w:tab/>
      </w:r>
    </w:p>
    <w:p w14:paraId="3EFB814D" w14:textId="77777777" w:rsidR="00642971" w:rsidRPr="004F4AEE" w:rsidRDefault="00642971" w:rsidP="004F4AEE">
      <w:pPr>
        <w:rPr>
          <w:rFonts w:ascii="Arial" w:hAnsi="Arial"/>
        </w:rPr>
      </w:pPr>
    </w:p>
    <w:p w14:paraId="519C2C35" w14:textId="33E8EACA" w:rsidR="00761AFD" w:rsidRPr="004F4AEE" w:rsidRDefault="009E01EB">
      <w:pPr>
        <w:jc w:val="both"/>
        <w:rPr>
          <w:rFonts w:ascii="Arial" w:hAnsi="Arial"/>
          <w:b/>
        </w:rPr>
      </w:pPr>
      <w:r w:rsidRPr="009A07F2">
        <w:rPr>
          <w:rFonts w:ascii="Arial" w:hAnsi="Arial"/>
          <w:b/>
        </w:rPr>
        <w:t xml:space="preserve">za </w:t>
      </w:r>
      <w:r>
        <w:rPr>
          <w:rFonts w:ascii="Arial" w:hAnsi="Arial"/>
          <w:b/>
        </w:rPr>
        <w:t>S</w:t>
      </w:r>
      <w:r w:rsidRPr="009A07F2">
        <w:rPr>
          <w:rFonts w:ascii="Arial" w:hAnsi="Arial"/>
          <w:b/>
        </w:rPr>
        <w:t>tavebníka:</w:t>
      </w:r>
      <w:r>
        <w:rPr>
          <w:rFonts w:ascii="Arial" w:hAnsi="Arial"/>
          <w:b/>
        </w:rPr>
        <w:t xml:space="preserve"> </w:t>
      </w:r>
      <w:r w:rsidRPr="009A07F2">
        <w:rPr>
          <w:rFonts w:ascii="Arial" w:hAnsi="Arial"/>
        </w:rPr>
        <w:t>_______________________</w:t>
      </w:r>
      <w:r>
        <w:rPr>
          <w:rFonts w:ascii="Arial" w:hAnsi="Arial"/>
        </w:rPr>
        <w:t xml:space="preserve"> </w:t>
      </w:r>
      <w:r>
        <w:rPr>
          <w:rFonts w:ascii="Arial" w:hAnsi="Arial"/>
        </w:rPr>
        <w:tab/>
      </w:r>
    </w:p>
    <w:p w14:paraId="02374DC8" w14:textId="5AEB7436" w:rsidR="00761AFD" w:rsidRPr="004F25E6" w:rsidRDefault="00B915EB" w:rsidP="004F25E6">
      <w:pPr>
        <w:rPr>
          <w:rFonts w:ascii="Arial" w:hAnsi="Arial" w:cs="Arial"/>
        </w:rPr>
      </w:pPr>
      <w:r>
        <w:rPr>
          <w:b/>
        </w:rPr>
        <w:t xml:space="preserve">  </w:t>
      </w:r>
      <w:r>
        <w:t xml:space="preserve"> </w:t>
      </w:r>
      <w:r w:rsidR="009D1DB1">
        <w:tab/>
      </w:r>
      <w:r w:rsidR="009D1DB1">
        <w:tab/>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B14964"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79C8" w14:textId="77777777" w:rsidR="00C907F5" w:rsidRDefault="00C907F5">
      <w:r>
        <w:separator/>
      </w:r>
    </w:p>
  </w:endnote>
  <w:endnote w:type="continuationSeparator" w:id="0">
    <w:p w14:paraId="27182901" w14:textId="77777777" w:rsidR="00C907F5" w:rsidRDefault="00C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805FB25" w:rsidR="0077548A" w:rsidRDefault="004C782F" w:rsidP="004C782F">
    <w:pPr>
      <w:pStyle w:val="Zpat"/>
      <w:tabs>
        <w:tab w:val="clear" w:pos="4536"/>
        <w:tab w:val="clear" w:pos="9072"/>
      </w:tabs>
    </w:pPr>
    <w:r>
      <w:t xml:space="preserve">SAT_00050 </w:t>
    </w:r>
    <w:r>
      <w:tab/>
    </w:r>
    <w:r>
      <w:tab/>
    </w:r>
    <w:r>
      <w:tab/>
    </w:r>
    <w:r>
      <w:tab/>
    </w:r>
    <w:r w:rsidR="001F7449">
      <w:t xml:space="preserve">Stránka </w:t>
    </w:r>
    <w:r w:rsidR="001F7449">
      <w:rPr>
        <w:b/>
        <w:bCs/>
      </w:rPr>
      <w:fldChar w:fldCharType="begin"/>
    </w:r>
    <w:r w:rsidR="001F7449">
      <w:rPr>
        <w:b/>
        <w:bCs/>
      </w:rPr>
      <w:instrText>PAGE  \* Arabic  \* MERGEFORMAT</w:instrText>
    </w:r>
    <w:r w:rsidR="001F7449">
      <w:rPr>
        <w:b/>
        <w:bCs/>
      </w:rPr>
      <w:fldChar w:fldCharType="separate"/>
    </w:r>
    <w:r w:rsidR="001F7449">
      <w:rPr>
        <w:b/>
        <w:bCs/>
      </w:rPr>
      <w:t>1</w:t>
    </w:r>
    <w:r w:rsidR="001F7449">
      <w:rPr>
        <w:b/>
        <w:bCs/>
      </w:rPr>
      <w:fldChar w:fldCharType="end"/>
    </w:r>
    <w:r w:rsidR="001F7449">
      <w:t xml:space="preserve"> z </w:t>
    </w:r>
    <w:r w:rsidR="001F7449">
      <w:rPr>
        <w:b/>
        <w:bCs/>
      </w:rPr>
      <w:fldChar w:fldCharType="begin"/>
    </w:r>
    <w:r w:rsidR="001F7449">
      <w:rPr>
        <w:b/>
        <w:bCs/>
      </w:rPr>
      <w:instrText>NUMPAGES  \* Arabic  \* MERGEFORMAT</w:instrText>
    </w:r>
    <w:r w:rsidR="001F7449">
      <w:rPr>
        <w:b/>
        <w:bCs/>
      </w:rPr>
      <w:fldChar w:fldCharType="separate"/>
    </w:r>
    <w:r w:rsidR="001F7449">
      <w:rPr>
        <w:b/>
        <w:bCs/>
      </w:rPr>
      <w:t>2</w:t>
    </w:r>
    <w:r w:rsidR="001F744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64FB" w14:textId="77777777" w:rsidR="00C907F5" w:rsidRDefault="00C907F5">
      <w:r>
        <w:separator/>
      </w:r>
    </w:p>
  </w:footnote>
  <w:footnote w:type="continuationSeparator" w:id="0">
    <w:p w14:paraId="39BB4E8B" w14:textId="77777777" w:rsidR="00C907F5" w:rsidRDefault="00C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72AB"/>
    <w:rsid w:val="001A05E3"/>
    <w:rsid w:val="001A1867"/>
    <w:rsid w:val="001A26FD"/>
    <w:rsid w:val="001A6D2F"/>
    <w:rsid w:val="001B72E9"/>
    <w:rsid w:val="001C0B30"/>
    <w:rsid w:val="001C3151"/>
    <w:rsid w:val="001C4654"/>
    <w:rsid w:val="001C46BE"/>
    <w:rsid w:val="001C4BC7"/>
    <w:rsid w:val="001C7A11"/>
    <w:rsid w:val="001D1AD1"/>
    <w:rsid w:val="001D25C6"/>
    <w:rsid w:val="001D3681"/>
    <w:rsid w:val="001E7688"/>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1140"/>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C782F"/>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5BA9"/>
    <w:rsid w:val="00866152"/>
    <w:rsid w:val="00867F32"/>
    <w:rsid w:val="008751B9"/>
    <w:rsid w:val="00875464"/>
    <w:rsid w:val="00885CD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1DB1"/>
    <w:rsid w:val="009D2FF1"/>
    <w:rsid w:val="009E01EB"/>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14964"/>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87BE9"/>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918B-798A-4BB7-B3D0-4E5BB68DE5B3}"/>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42047767-F1FF-4BAF-B2FD-1E7F40B86172}"/>
</file>

<file path=customXml/itemProps4.xml><?xml version="1.0" encoding="utf-8"?>
<ds:datastoreItem xmlns:ds="http://schemas.openxmlformats.org/officeDocument/2006/customXml" ds:itemID="{8B167269-CE80-4F0D-A536-1C64C8DC7E48}"/>
</file>

<file path=docProps/app.xml><?xml version="1.0" encoding="utf-8"?>
<Properties xmlns="http://schemas.openxmlformats.org/officeDocument/2006/extended-properties" xmlns:vt="http://schemas.openxmlformats.org/officeDocument/2006/docPropsVTypes">
  <Template>Normal</Template>
  <TotalTime>7</TotalTime>
  <Pages>6</Pages>
  <Words>2003</Words>
  <Characters>12258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14233</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Grzegorzová Kristýna</cp:lastModifiedBy>
  <cp:revision>3</cp:revision>
  <cp:lastPrinted>2021-08-06T08:36:00Z</cp:lastPrinted>
  <dcterms:created xsi:type="dcterms:W3CDTF">2021-10-07T07:54:00Z</dcterms:created>
  <dcterms:modified xsi:type="dcterms:W3CDTF">2021-10-07T09:55:00Z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