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3389630</wp:posOffset>
            </wp:positionH>
            <wp:positionV relativeFrom="margin">
              <wp:posOffset>0</wp:posOffset>
            </wp:positionV>
            <wp:extent cx="1090930" cy="6159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090930" cy="615950"/>
                    </a:xfrm>
                    <a:prstGeom prst="rect"/>
                  </pic:spPr>
                </pic:pic>
              </a:graphicData>
            </a:graphic>
          </wp:anchor>
        </w:drawing>
      </w:r>
    </w:p>
    <w:p>
      <w:pPr>
        <w:widowControl w:val="0"/>
        <w:spacing w:after="609" w:line="1" w:lineRule="exact"/>
      </w:pPr>
    </w:p>
    <w:p>
      <w:pPr>
        <w:widowControl w:val="0"/>
        <w:spacing w:line="1" w:lineRule="exact"/>
        <w:sectPr>
          <w:footerReference w:type="default" r:id="rId7"/>
          <w:footerReference w:type="first" r:id="rId8"/>
          <w:footnotePr>
            <w:pos w:val="pageBottom"/>
            <w:numFmt w:val="decimal"/>
            <w:numRestart w:val="continuous"/>
          </w:footnotePr>
          <w:pgSz w:w="12240" w:h="15840"/>
          <w:pgMar w:top="139" w:left="1128" w:right="979" w:bottom="817" w:header="0" w:footer="3" w:gutter="0"/>
          <w:pgNumType w:start="1"/>
          <w:cols w:space="720"/>
          <w:noEndnote/>
          <w:titlePg/>
          <w:rtlGutter w:val="0"/>
          <w:docGrid w:linePitch="360"/>
        </w:sectPr>
      </w:pPr>
    </w:p>
    <w:p>
      <w:pPr>
        <w:pStyle w:val="Style10"/>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Smlouva o zajištění výkonu technického dozoru stavebníka na staveništi</w:t>
        <w:br/>
      </w:r>
      <w:r>
        <w:rPr>
          <w:b w:val="0"/>
          <w:bCs w:val="0"/>
          <w:color w:val="000000"/>
          <w:spacing w:val="0"/>
          <w:w w:val="100"/>
          <w:position w:val="0"/>
          <w:shd w:val="clear" w:color="auto" w:fill="auto"/>
          <w:lang w:val="cs-CZ" w:eastAsia="cs-CZ" w:bidi="cs-CZ"/>
        </w:rPr>
        <w:t xml:space="preserve">na akci: </w:t>
      </w:r>
      <w:r>
        <w:rPr>
          <w:color w:val="000000"/>
          <w:spacing w:val="0"/>
          <w:w w:val="100"/>
          <w:position w:val="0"/>
          <w:shd w:val="clear" w:color="auto" w:fill="auto"/>
          <w:lang w:val="cs-CZ" w:eastAsia="cs-CZ" w:bidi="cs-CZ"/>
        </w:rPr>
        <w:t>II/128 křiž. I/19 - Černovice</w:t>
      </w:r>
    </w:p>
    <w:p>
      <w:pPr>
        <w:pStyle w:val="Style6"/>
        <w:keepNext w:val="0"/>
        <w:keepLines w:val="0"/>
        <w:widowControl w:val="0"/>
        <w:shd w:val="clear" w:color="auto" w:fill="auto"/>
        <w:bidi w:val="0"/>
        <w:spacing w:before="0" w:after="380" w:line="240" w:lineRule="auto"/>
        <w:ind w:left="0" w:right="0" w:firstLine="0"/>
        <w:jc w:val="center"/>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13"/>
        <w:keepNext w:val="0"/>
        <w:keepLines w:val="0"/>
        <w:widowControl w:val="0"/>
        <w:shd w:val="clear" w:color="auto" w:fill="auto"/>
        <w:bidi w:val="0"/>
        <w:spacing w:before="0" w:after="0" w:line="240" w:lineRule="auto"/>
        <w:ind w:left="24" w:right="0" w:firstLine="0"/>
        <w:jc w:val="left"/>
        <w:rPr>
          <w:sz w:val="20"/>
          <w:szCs w:val="20"/>
        </w:rPr>
      </w:pPr>
      <w:r>
        <w:rPr>
          <w:i/>
          <w:iCs/>
          <w:color w:val="000000"/>
          <w:spacing w:val="0"/>
          <w:w w:val="100"/>
          <w:position w:val="0"/>
          <w:sz w:val="20"/>
          <w:szCs w:val="20"/>
          <w:shd w:val="clear" w:color="auto" w:fill="auto"/>
          <w:lang w:val="cs-CZ" w:eastAsia="cs-CZ" w:bidi="cs-CZ"/>
        </w:rPr>
        <w:t>Číslo smlouvy objednatele:</w:t>
      </w:r>
    </w:p>
    <w:p>
      <w:pPr>
        <w:pStyle w:val="Style13"/>
        <w:keepNext w:val="0"/>
        <w:keepLines w:val="0"/>
        <w:widowControl w:val="0"/>
        <w:shd w:val="clear" w:color="auto" w:fill="auto"/>
        <w:bidi w:val="0"/>
        <w:spacing w:before="0" w:after="0" w:line="240" w:lineRule="auto"/>
        <w:ind w:left="24" w:right="0" w:firstLine="0"/>
        <w:jc w:val="left"/>
        <w:rPr>
          <w:sz w:val="20"/>
          <w:szCs w:val="20"/>
        </w:rPr>
      </w:pPr>
      <w:r>
        <w:rPr>
          <w:i/>
          <w:iCs/>
          <w:color w:val="000000"/>
          <w:spacing w:val="0"/>
          <w:w w:val="100"/>
          <w:position w:val="0"/>
          <w:sz w:val="20"/>
          <w:szCs w:val="20"/>
          <w:shd w:val="clear" w:color="auto" w:fill="auto"/>
          <w:lang w:val="cs-CZ" w:eastAsia="cs-CZ" w:bidi="cs-CZ"/>
        </w:rPr>
        <w:t>Číslo smlouvy dodavatele:</w:t>
      </w:r>
    </w:p>
    <w:tbl>
      <w:tblPr>
        <w:tblOverlap w:val="never"/>
        <w:jc w:val="center"/>
        <w:tblLayout w:type="fixed"/>
      </w:tblPr>
      <w:tblGrid>
        <w:gridCol w:w="1910"/>
        <w:gridCol w:w="8222"/>
      </w:tblGrid>
      <w:tr>
        <w:trPr>
          <w:trHeight w:val="6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2700" w:right="0" w:firstLine="0"/>
              <w:jc w:val="left"/>
            </w:pPr>
            <w:r>
              <w:rPr>
                <w:b/>
                <w:bCs/>
                <w:color w:val="000000"/>
                <w:spacing w:val="0"/>
                <w:w w:val="100"/>
                <w:position w:val="0"/>
                <w:shd w:val="clear" w:color="auto" w:fill="auto"/>
                <w:lang w:val="cs-CZ" w:eastAsia="cs-CZ" w:bidi="cs-CZ"/>
              </w:rPr>
              <w:t>Článek 1</w:t>
            </w:r>
          </w:p>
          <w:p>
            <w:pPr>
              <w:pStyle w:val="Style16"/>
              <w:keepNext w:val="0"/>
              <w:keepLines w:val="0"/>
              <w:widowControl w:val="0"/>
              <w:shd w:val="clear" w:color="auto" w:fill="auto"/>
              <w:bidi w:val="0"/>
              <w:spacing w:before="0" w:after="0" w:line="240" w:lineRule="auto"/>
              <w:ind w:left="2400" w:right="0" w:firstLine="0"/>
              <w:jc w:val="left"/>
            </w:pPr>
            <w:r>
              <w:rPr>
                <w:b/>
                <w:bCs/>
                <w:color w:val="000000"/>
                <w:spacing w:val="0"/>
                <w:w w:val="100"/>
                <w:position w:val="0"/>
                <w:shd w:val="clear" w:color="auto" w:fill="auto"/>
                <w:lang w:val="cs-CZ" w:eastAsia="cs-CZ" w:bidi="cs-CZ"/>
              </w:rPr>
              <w:t>Smluvní strany</w:t>
            </w:r>
          </w:p>
        </w:tc>
      </w:tr>
      <w:tr>
        <w:trPr>
          <w:trHeight w:val="36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Kosovská 1122/16, 586 01 Jihlava</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13"/>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Osoby pověřené jednat jménem objednatele ve věcech technických:</w:t>
      </w:r>
    </w:p>
    <w:tbl>
      <w:tblPr>
        <w:tblOverlap w:val="never"/>
        <w:jc w:val="center"/>
        <w:tblLayout w:type="fixed"/>
      </w:tblPr>
      <w:tblGrid>
        <w:gridCol w:w="1910"/>
        <w:gridCol w:w="8222"/>
      </w:tblGrid>
      <w:tr>
        <w:trPr>
          <w:trHeight w:val="30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2240" w:right="0" w:firstLine="0"/>
              <w:jc w:val="left"/>
            </w:pPr>
            <w:r>
              <w:rPr>
                <w:color w:val="000000"/>
                <w:spacing w:val="0"/>
                <w:w w:val="100"/>
                <w:position w:val="0"/>
                <w:shd w:val="clear" w:color="auto" w:fill="auto"/>
                <w:lang w:val="cs-CZ" w:eastAsia="cs-CZ" w:bidi="cs-CZ"/>
              </w:rPr>
              <w:t>ředitel organizace</w:t>
            </w:r>
          </w:p>
        </w:tc>
      </w:tr>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Komerční banka, a.s.</w:t>
            </w:r>
          </w:p>
        </w:tc>
      </w:tr>
    </w:tbl>
    <w:p>
      <w:pPr>
        <w:widowControl w:val="0"/>
        <w:spacing w:line="1" w:lineRule="exact"/>
      </w:pPr>
    </w:p>
    <w:p>
      <w:pPr>
        <w:pStyle w:val="Style13"/>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1910"/>
        <w:gridCol w:w="8222"/>
      </w:tblGrid>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00090450</w:t>
            </w:r>
          </w:p>
        </w:tc>
      </w:tr>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13"/>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1910"/>
        <w:gridCol w:w="8222"/>
      </w:tblGrid>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Kraj Vysočina</w:t>
            </w:r>
          </w:p>
        </w:tc>
      </w:tr>
    </w:tbl>
    <w:p>
      <w:pPr>
        <w:pStyle w:val="Style13"/>
        <w:keepNext w:val="0"/>
        <w:keepLines w:val="0"/>
        <w:widowControl w:val="0"/>
        <w:shd w:val="clear" w:color="auto" w:fill="auto"/>
        <w:bidi w:val="0"/>
        <w:spacing w:before="0" w:after="0" w:line="334" w:lineRule="auto"/>
        <w:ind w:left="19"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line="1" w:lineRule="exact"/>
      </w:pPr>
    </w:p>
    <w:tbl>
      <w:tblPr>
        <w:tblOverlap w:val="never"/>
        <w:jc w:val="center"/>
        <w:tblLayout w:type="fixed"/>
      </w:tblPr>
      <w:tblGrid>
        <w:gridCol w:w="1910"/>
        <w:gridCol w:w="8222"/>
      </w:tblGrid>
      <w:tr>
        <w:trPr>
          <w:trHeight w:val="259"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Ladislav Bacil</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Pod Baštou 40, 391 43 Mladá Vožice</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Ladislavem Bacilem</w:t>
            </w:r>
          </w:p>
        </w:tc>
      </w:tr>
    </w:tbl>
    <w:p>
      <w:pPr>
        <w:widowControl w:val="0"/>
        <w:spacing w:line="1" w:lineRule="exact"/>
      </w:pPr>
    </w:p>
    <w:p>
      <w:pPr>
        <w:pStyle w:val="Style13"/>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zapsán v obchodním rejstříku --</w:t>
        <w:softHyphen/>
      </w:r>
    </w:p>
    <w:p>
      <w:pPr>
        <w:pStyle w:val="Style13"/>
        <w:keepNext w:val="0"/>
        <w:keepLines w:val="0"/>
        <w:widowControl w:val="0"/>
        <w:shd w:val="clear" w:color="auto" w:fill="auto"/>
        <w:bidi w:val="0"/>
        <w:spacing w:before="0" w:after="0" w:line="240" w:lineRule="auto"/>
        <w:ind w:left="19" w:right="0" w:firstLine="0"/>
        <w:jc w:val="left"/>
      </w:pPr>
      <w:r>
        <w:rPr>
          <w:color w:val="000000"/>
          <w:spacing w:val="0"/>
          <w:w w:val="100"/>
          <w:position w:val="0"/>
          <w:shd w:val="clear" w:color="auto" w:fill="auto"/>
          <w:lang w:val="cs-CZ" w:eastAsia="cs-CZ" w:bidi="cs-CZ"/>
        </w:rPr>
        <w:t>Osoby pověřené jednat jménem zhotovitele ve věcech</w:t>
      </w:r>
    </w:p>
    <w:tbl>
      <w:tblPr>
        <w:tblOverlap w:val="never"/>
        <w:jc w:val="center"/>
        <w:tblLayout w:type="fixed"/>
      </w:tblPr>
      <w:tblGrid>
        <w:gridCol w:w="1910"/>
        <w:gridCol w:w="8222"/>
      </w:tblGrid>
      <w:tr>
        <w:trPr>
          <w:trHeight w:val="595"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Česká spořitelna a.s.</w:t>
            </w:r>
          </w:p>
        </w:tc>
      </w:tr>
    </w:tbl>
    <w:p>
      <w:pPr>
        <w:widowControl w:val="0"/>
        <w:spacing w:line="1" w:lineRule="exact"/>
      </w:pPr>
    </w:p>
    <w:p>
      <w:pPr>
        <w:pStyle w:val="Style13"/>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1910"/>
        <w:gridCol w:w="8222"/>
      </w:tblGrid>
      <w:tr>
        <w:trPr>
          <w:trHeight w:val="3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47616253</w:t>
            </w:r>
          </w:p>
        </w:tc>
      </w:tr>
    </w:tbl>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(společně také jako „</w:t>
      </w:r>
      <w:r>
        <w:rPr>
          <w:b/>
          <w:bCs/>
          <w:i/>
          <w:i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i/>
          <w:i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w:t>
      </w:r>
    </w:p>
    <w:p>
      <w:pPr>
        <w:pStyle w:val="Style23"/>
        <w:keepNext/>
        <w:keepLines/>
        <w:widowControl w:val="0"/>
        <w:shd w:val="clear" w:color="auto" w:fill="auto"/>
        <w:bidi w:val="0"/>
        <w:spacing w:before="0" w:after="0" w:line="240" w:lineRule="auto"/>
        <w:ind w:left="0" w:right="0" w:firstLine="0"/>
        <w:jc w:val="center"/>
      </w:pPr>
      <w:bookmarkStart w:id="0" w:name="bookmark0"/>
      <w:bookmarkStart w:id="1" w:name="bookmark1"/>
      <w:r>
        <w:rPr>
          <w:spacing w:val="0"/>
          <w:w w:val="100"/>
          <w:position w:val="0"/>
          <w:shd w:val="clear" w:color="auto" w:fill="auto"/>
          <w:lang w:val="cs-CZ" w:eastAsia="cs-CZ" w:bidi="cs-CZ"/>
        </w:rPr>
        <w:t>Qsfdi</w:t>
      </w:r>
      <w:bookmarkEnd w:id="0"/>
      <w:bookmarkEnd w:id="1"/>
    </w:p>
    <w:p>
      <w:pPr>
        <w:pStyle w:val="Style25"/>
        <w:keepNext w:val="0"/>
        <w:keepLines w:val="0"/>
        <w:widowControl w:val="0"/>
        <w:shd w:val="clear" w:color="auto" w:fill="auto"/>
        <w:bidi w:val="0"/>
        <w:spacing w:before="0" w:line="252" w:lineRule="auto"/>
        <w:ind w:left="4880" w:right="0" w:firstLine="0"/>
        <w:jc w:val="both"/>
      </w:pPr>
      <w:r>
        <w:rPr>
          <w:spacing w:val="0"/>
          <w:w w:val="100"/>
          <w:position w:val="0"/>
          <w:shd w:val="clear" w:color="auto" w:fill="auto"/>
          <w:lang w:val="cs-CZ" w:eastAsia="cs-CZ" w:bidi="cs-CZ"/>
        </w:rPr>
        <w:t>STATNI FOND DOFRAVNI INFRASTRUKTURY</w:t>
      </w:r>
    </w:p>
    <w:p>
      <w:pPr>
        <w:pStyle w:val="Style6"/>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k jejich převzetí a k zaplacení sjednané odměny za jejich provedení a obě strany se zavazují plnit podmínky obsažené v následujících ustanoveních této smlouvy.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7"/>
        <w:keepNext/>
        <w:keepLines/>
        <w:widowControl w:val="0"/>
        <w:shd w:val="clear" w:color="auto" w:fill="auto"/>
        <w:bidi w:val="0"/>
        <w:spacing w:before="0" w:after="12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6"/>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 důvodu nutnosti navýšení počtu hodin výkonu TDS na staveništi a s tím spojené práce v kanceláři v rámci realizace stavby II/128 křiž. I/19 - Černovice TDS oproti původnímu předpokladu, se smluvní strany dohodly na uzavření této smlouvy a TDS se zavazuje pro objednatele vykonávat funkci technického dozoru stavebníka na staveništi počínaje měsícem září 2021 do ukončení realizace stavby.</w:t>
      </w:r>
    </w:p>
    <w:p>
      <w:pPr>
        <w:pStyle w:val="Style6"/>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6"/>
        <w:keepNext w:val="0"/>
        <w:keepLines w:val="0"/>
        <w:widowControl w:val="0"/>
        <w:numPr>
          <w:ilvl w:val="0"/>
          <w:numId w:val="1"/>
        </w:numPr>
        <w:shd w:val="clear" w:color="auto" w:fill="auto"/>
        <w:tabs>
          <w:tab w:pos="710" w:val="left"/>
        </w:tabs>
        <w:bidi w:val="0"/>
        <w:spacing w:before="0" w:after="58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7"/>
        <w:keepNext/>
        <w:keepLines/>
        <w:widowControl w:val="0"/>
        <w:shd w:val="clear" w:color="auto" w:fill="auto"/>
        <w:bidi w:val="0"/>
        <w:spacing w:before="0" w:after="12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Rozsah a obsah předmětu plnění</w:t>
      </w:r>
      <w:bookmarkEnd w:id="4"/>
      <w:bookmarkEnd w:id="5"/>
    </w:p>
    <w:p>
      <w:pPr>
        <w:pStyle w:val="Style6"/>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7"/>
        <w:keepNext/>
        <w:keepLines/>
        <w:widowControl w:val="0"/>
        <w:numPr>
          <w:ilvl w:val="1"/>
          <w:numId w:val="1"/>
        </w:numPr>
        <w:shd w:val="clear" w:color="auto" w:fill="auto"/>
        <w:tabs>
          <w:tab w:pos="710" w:val="left"/>
        </w:tabs>
        <w:bidi w:val="0"/>
        <w:spacing w:before="0" w:after="12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Práce spojené s prováděním stavby spočívající zejména v činnostech:</w:t>
      </w:r>
      <w:bookmarkEnd w:id="6"/>
      <w:bookmarkEnd w:id="7"/>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212121"/>
          <w:spacing w:val="0"/>
          <w:w w:val="100"/>
          <w:position w:val="0"/>
          <w:shd w:val="clear" w:color="auto" w:fill="auto"/>
          <w:lang w:val="cs-CZ" w:eastAsia="cs-CZ" w:bidi="cs-CZ"/>
        </w:rPr>
        <w:t>fyzická přítomnost a výkon technického dozoru stavebníka na staveništi při zahájení pokládky asfaltových vrstev</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6"/>
        <w:keepNext w:val="0"/>
        <w:keepLines w:val="0"/>
        <w:widowControl w:val="0"/>
        <w:numPr>
          <w:ilvl w:val="0"/>
          <w:numId w:val="3"/>
        </w:numPr>
        <w:shd w:val="clear" w:color="auto" w:fill="auto"/>
        <w:tabs>
          <w:tab w:pos="1164" w:val="left"/>
        </w:tabs>
        <w:bidi w:val="0"/>
        <w:spacing w:before="0" w:after="120" w:line="240" w:lineRule="auto"/>
        <w:ind w:left="1140" w:right="0" w:hanging="400"/>
        <w:jc w:val="both"/>
        <w:sectPr>
          <w:footnotePr>
            <w:pos w:val="pageBottom"/>
            <w:numFmt w:val="decimal"/>
            <w:numRestart w:val="continuous"/>
          </w:footnotePr>
          <w:type w:val="continuous"/>
          <w:pgSz w:w="12240" w:h="15840"/>
          <w:pgMar w:top="55" w:left="1130" w:right="977" w:bottom="1003" w:header="0" w:footer="3" w:gutter="0"/>
          <w:cols w:space="720"/>
          <w:noEndnote/>
          <w:rtlGutter w:val="0"/>
          <w:docGrid w:linePitch="360"/>
        </w:sectPr>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widowControl w:val="0"/>
        <w:jc w:val="center"/>
        <w:rPr>
          <w:sz w:val="2"/>
          <w:szCs w:val="2"/>
        </w:rPr>
      </w:pPr>
      <w:r>
        <w:drawing>
          <wp:inline>
            <wp:extent cx="1090930" cy="61595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1090930" cy="615950"/>
                    </a:xfrm>
                    <a:prstGeom prst="rect"/>
                  </pic:spPr>
                </pic:pic>
              </a:graphicData>
            </a:graphic>
          </wp:inline>
        </w:drawing>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 xml:space="preserve">shromažďování, kontrola a zajištění všech dokladů o provedených předepsaných zkouškách a revizích, evidence všech protokolů a zápisů </w:t>
      </w:r>
      <w:r>
        <w:rPr>
          <w:color w:val="000000"/>
          <w:spacing w:val="0"/>
          <w:w w:val="100"/>
          <w:position w:val="0"/>
          <w:shd w:val="clear" w:color="auto" w:fill="auto"/>
          <w:lang w:val="cs-CZ" w:eastAsia="cs-CZ" w:bidi="cs-CZ"/>
        </w:rPr>
        <w:t>kontrola dodržení časového postupu prací a návrhy na řešení vzniklých prodlev</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 xml:space="preserve">provedení soupisu vad a případných nedodělků a kontrola jejich odstraňování, zápis o předání a převzetí dokončené stavby investorem </w:t>
      </w:r>
      <w:r>
        <w:rPr>
          <w:color w:val="000000"/>
          <w:spacing w:val="0"/>
          <w:w w:val="100"/>
          <w:position w:val="0"/>
          <w:shd w:val="clear" w:color="auto" w:fill="auto"/>
          <w:lang w:val="cs-CZ" w:eastAsia="cs-CZ" w:bidi="cs-CZ"/>
        </w:rPr>
        <w:t>kontrola vyklizení staveniště zhotovitelem</w:t>
      </w:r>
    </w:p>
    <w:p>
      <w:pPr>
        <w:pStyle w:val="Style6"/>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6"/>
        <w:keepNext w:val="0"/>
        <w:keepLines w:val="0"/>
        <w:widowControl w:val="0"/>
        <w:shd w:val="clear" w:color="auto" w:fill="auto"/>
        <w:bidi w:val="0"/>
        <w:spacing w:before="0" w:after="40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7"/>
        <w:keepNext/>
        <w:keepLines/>
        <w:widowControl w:val="0"/>
        <w:shd w:val="clear" w:color="auto" w:fill="auto"/>
        <w:bidi w:val="0"/>
        <w:spacing w:before="0" w:after="1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Čas plnění</w:t>
      </w:r>
      <w:bookmarkEnd w:id="8"/>
      <w:bookmarkEnd w:id="9"/>
    </w:p>
    <w:p>
      <w:pPr>
        <w:pStyle w:val="Style6"/>
        <w:keepNext w:val="0"/>
        <w:keepLines w:val="0"/>
        <w:widowControl w:val="0"/>
        <w:numPr>
          <w:ilvl w:val="0"/>
          <w:numId w:val="5"/>
        </w:numPr>
        <w:shd w:val="clear" w:color="auto" w:fill="auto"/>
        <w:tabs>
          <w:tab w:pos="57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TDS zahájí svoji činnost dnem prvního zápisu ve stavebním deníku v měsíci září 2021.</w:t>
      </w:r>
    </w:p>
    <w:p>
      <w:pPr>
        <w:pStyle w:val="Style6"/>
        <w:keepNext w:val="0"/>
        <w:keepLines w:val="0"/>
        <w:widowControl w:val="0"/>
        <w:numPr>
          <w:ilvl w:val="0"/>
          <w:numId w:val="5"/>
        </w:numPr>
        <w:shd w:val="clear" w:color="auto" w:fill="auto"/>
        <w:tabs>
          <w:tab w:pos="574" w:val="left"/>
        </w:tabs>
        <w:bidi w:val="0"/>
        <w:spacing w:before="0" w:after="400" w:line="240" w:lineRule="auto"/>
        <w:ind w:left="0" w:right="0" w:firstLine="0"/>
        <w:jc w:val="both"/>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7"/>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Odměna TDS, platební podmínky</w:t>
      </w:r>
      <w:bookmarkEnd w:id="10"/>
      <w:bookmarkEnd w:id="11"/>
    </w:p>
    <w:p>
      <w:pPr>
        <w:pStyle w:val="Style6"/>
        <w:keepNext w:val="0"/>
        <w:keepLines w:val="0"/>
        <w:widowControl w:val="0"/>
        <w:numPr>
          <w:ilvl w:val="0"/>
          <w:numId w:val="7"/>
        </w:numPr>
        <w:shd w:val="clear" w:color="auto" w:fill="auto"/>
        <w:tabs>
          <w:tab w:pos="574" w:val="left"/>
        </w:tabs>
        <w:bidi w:val="0"/>
        <w:spacing w:before="0" w:after="120" w:line="240" w:lineRule="auto"/>
        <w:ind w:left="0" w:right="0" w:firstLine="0"/>
        <w:jc w:val="both"/>
      </w:pPr>
      <w:r>
        <w:rPr>
          <w:color w:val="000000"/>
          <w:spacing w:val="0"/>
          <w:w w:val="100"/>
          <w:position w:val="0"/>
          <w:shd w:val="clear" w:color="auto" w:fill="auto"/>
          <w:lang w:val="cs-CZ" w:eastAsia="cs-CZ" w:bidi="cs-CZ"/>
        </w:rPr>
        <w:t>Objednatel se zavazuje zaplatit TDS za práce spojené s prováděním stavby podle této smlouvy smluvní dohodnutou odměnu ve výši:</w:t>
      </w:r>
    </w:p>
    <w:p>
      <w:pPr>
        <w:widowControl w:val="0"/>
        <w:jc w:val="center"/>
        <w:rPr>
          <w:sz w:val="2"/>
          <w:szCs w:val="2"/>
        </w:rPr>
      </w:pPr>
      <w:r>
        <w:drawing>
          <wp:inline>
            <wp:extent cx="1090930" cy="6159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1090930" cy="615950"/>
                    </a:xfrm>
                    <a:prstGeom prst="rect"/>
                  </pic:spPr>
                </pic:pic>
              </a:graphicData>
            </a:graphic>
          </wp:inline>
        </w:drawing>
      </w:r>
    </w:p>
    <w:p>
      <w:pPr>
        <w:widowControl w:val="0"/>
        <w:spacing w:after="99" w:line="1" w:lineRule="exact"/>
      </w:pPr>
    </w:p>
    <w:p>
      <w:pPr>
        <w:widowControl w:val="0"/>
        <w:spacing w:line="1" w:lineRule="exact"/>
      </w:pPr>
    </w:p>
    <w:tbl>
      <w:tblPr>
        <w:tblOverlap w:val="never"/>
        <w:jc w:val="center"/>
        <w:tblLayout w:type="fixed"/>
      </w:tblPr>
      <w:tblGrid>
        <w:gridCol w:w="4627"/>
        <w:gridCol w:w="2453"/>
      </w:tblGrid>
      <w:tr>
        <w:trPr>
          <w:trHeight w:val="658" w:hRule="exact"/>
        </w:trPr>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800,- Kč bez DPH</w:t>
            </w:r>
          </w:p>
        </w:tc>
      </w:tr>
      <w:tr>
        <w:trPr>
          <w:trHeight w:val="47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Předpoklad 22 hodin práce v kanceláři</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17 600 Kč bez DPH</w:t>
            </w:r>
          </w:p>
        </w:tc>
      </w:tr>
      <w:tr>
        <w:trPr>
          <w:trHeight w:val="73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cs-CZ" w:eastAsia="cs-CZ" w:bidi="cs-CZ"/>
              </w:rPr>
              <w:t>1 100,- Kč bez DPH</w:t>
            </w:r>
          </w:p>
        </w:tc>
      </w:tr>
      <w:tr>
        <w:trPr>
          <w:trHeight w:val="350"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Předpoklad 44 hodin na staveništi</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48 400 Kč bez DPH</w:t>
            </w:r>
          </w:p>
        </w:tc>
      </w:tr>
    </w:tbl>
    <w:p>
      <w:pPr>
        <w:widowControl w:val="0"/>
        <w:spacing w:after="279" w:line="1" w:lineRule="exact"/>
      </w:pP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vč. cestovného na místo výkonu TDS a konzultačních dnů.</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6"/>
        <w:keepNext w:val="0"/>
        <w:keepLines w:val="0"/>
        <w:widowControl w:val="0"/>
        <w:numPr>
          <w:ilvl w:val="0"/>
          <w:numId w:val="7"/>
        </w:numPr>
        <w:shd w:val="clear" w:color="auto" w:fill="auto"/>
        <w:tabs>
          <w:tab w:pos="571" w:val="left"/>
        </w:tabs>
        <w:bidi w:val="0"/>
        <w:spacing w:before="0" w:line="209"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6"/>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6"/>
        <w:keepNext w:val="0"/>
        <w:keepLines w:val="0"/>
        <w:widowControl w:val="0"/>
        <w:numPr>
          <w:ilvl w:val="0"/>
          <w:numId w:val="7"/>
        </w:numPr>
        <w:shd w:val="clear" w:color="auto" w:fill="auto"/>
        <w:tabs>
          <w:tab w:pos="571" w:val="left"/>
        </w:tabs>
        <w:bidi w:val="0"/>
        <w:spacing w:before="0" w:line="211"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6"/>
        <w:keepNext w:val="0"/>
        <w:keepLines w:val="0"/>
        <w:widowControl w:val="0"/>
        <w:numPr>
          <w:ilvl w:val="0"/>
          <w:numId w:val="7"/>
        </w:numPr>
        <w:shd w:val="clear" w:color="auto" w:fill="auto"/>
        <w:tabs>
          <w:tab w:pos="571" w:val="left"/>
        </w:tabs>
        <w:bidi w:val="0"/>
        <w:spacing w:before="0" w:line="209"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6"/>
        <w:keepNext w:val="0"/>
        <w:keepLines w:val="0"/>
        <w:widowControl w:val="0"/>
        <w:numPr>
          <w:ilvl w:val="0"/>
          <w:numId w:val="7"/>
        </w:numPr>
        <w:shd w:val="clear" w:color="auto" w:fill="auto"/>
        <w:tabs>
          <w:tab w:pos="640"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6"/>
        <w:keepNext w:val="0"/>
        <w:keepLines w:val="0"/>
        <w:widowControl w:val="0"/>
        <w:numPr>
          <w:ilvl w:val="0"/>
          <w:numId w:val="7"/>
        </w:numPr>
        <w:shd w:val="clear" w:color="auto" w:fill="auto"/>
        <w:tabs>
          <w:tab w:pos="640"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6"/>
        <w:keepNext w:val="0"/>
        <w:keepLines w:val="0"/>
        <w:widowControl w:val="0"/>
        <w:numPr>
          <w:ilvl w:val="0"/>
          <w:numId w:val="7"/>
        </w:numPr>
        <w:shd w:val="clear" w:color="auto" w:fill="auto"/>
        <w:tabs>
          <w:tab w:pos="64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6"/>
        <w:keepNext w:val="0"/>
        <w:keepLines w:val="0"/>
        <w:widowControl w:val="0"/>
        <w:numPr>
          <w:ilvl w:val="0"/>
          <w:numId w:val="7"/>
        </w:numPr>
        <w:shd w:val="clear" w:color="auto" w:fill="auto"/>
        <w:tabs>
          <w:tab w:pos="640"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6"/>
        <w:keepNext w:val="0"/>
        <w:keepLines w:val="0"/>
        <w:widowControl w:val="0"/>
        <w:numPr>
          <w:ilvl w:val="0"/>
          <w:numId w:val="7"/>
        </w:numPr>
        <w:shd w:val="clear" w:color="auto" w:fill="auto"/>
        <w:tabs>
          <w:tab w:pos="640" w:val="left"/>
        </w:tabs>
        <w:bidi w:val="0"/>
        <w:spacing w:before="0" w:line="240" w:lineRule="auto"/>
        <w:ind w:left="0" w:right="0" w:firstLine="0"/>
        <w:jc w:val="both"/>
        <w:sectPr>
          <w:footerReference w:type="default" r:id="rId13"/>
          <w:footnotePr>
            <w:pos w:val="pageBottom"/>
            <w:numFmt w:val="decimal"/>
            <w:numRestart w:val="continuous"/>
          </w:footnotePr>
          <w:type w:val="continuous"/>
          <w:pgSz w:w="12240" w:h="15840"/>
          <w:pgMar w:top="55" w:left="1130" w:right="977" w:bottom="1003" w:header="0" w:footer="3" w:gutter="0"/>
          <w:cols w:space="720"/>
          <w:noEndnote/>
          <w:rtlGutter w:val="0"/>
          <w:docGrid w:linePitch="360"/>
        </w:sectPr>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3"/>
        <w:keepNext/>
        <w:keepLines/>
        <w:widowControl w:val="0"/>
        <w:shd w:val="clear" w:color="auto" w:fill="auto"/>
        <w:bidi w:val="0"/>
        <w:spacing w:before="0" w:after="0" w:line="240" w:lineRule="auto"/>
        <w:ind w:left="0" w:right="0" w:firstLine="0"/>
        <w:jc w:val="center"/>
      </w:pPr>
      <w:bookmarkStart w:id="12" w:name="bookmark12"/>
      <w:bookmarkStart w:id="13" w:name="bookmark13"/>
      <w:r>
        <w:rPr>
          <w:spacing w:val="0"/>
          <w:w w:val="100"/>
          <w:position w:val="0"/>
          <w:shd w:val="clear" w:color="auto" w:fill="auto"/>
          <w:lang w:val="cs-CZ" w:eastAsia="cs-CZ" w:bidi="cs-CZ"/>
        </w:rPr>
        <w:t>Qsfdi</w:t>
      </w:r>
      <w:bookmarkEnd w:id="12"/>
      <w:bookmarkEnd w:id="13"/>
    </w:p>
    <w:p>
      <w:pPr>
        <w:pStyle w:val="Style25"/>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STATNI FOND DOFRAVNI</w:t>
      </w:r>
    </w:p>
    <w:p>
      <w:pPr>
        <w:pStyle w:val="Style25"/>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INFRASTRUKTURY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7"/>
        <w:keepNext/>
        <w:keepLines/>
        <w:widowControl w:val="0"/>
        <w:shd w:val="clear" w:color="auto" w:fill="auto"/>
        <w:bidi w:val="0"/>
        <w:spacing w:before="0" w:after="10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Práva a povinnosti smluvních stran</w:t>
      </w:r>
      <w:bookmarkEnd w:id="14"/>
      <w:bookmarkEnd w:id="15"/>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r>
        <w:rPr>
          <w:b/>
          <w:bCs/>
          <w:color w:val="000000"/>
          <w:spacing w:val="0"/>
          <w:w w:val="100"/>
          <w:position w:val="0"/>
          <w:shd w:val="clear" w:color="auto" w:fill="auto"/>
          <w:lang w:val="cs-CZ" w:eastAsia="cs-CZ" w:bidi="cs-CZ"/>
        </w:rPr>
        <w:t>.</w:t>
      </w:r>
    </w:p>
    <w:p>
      <w:pPr>
        <w:pStyle w:val="Style6"/>
        <w:keepNext w:val="0"/>
        <w:keepLines w:val="0"/>
        <w:widowControl w:val="0"/>
        <w:numPr>
          <w:ilvl w:val="0"/>
          <w:numId w:val="9"/>
        </w:numPr>
        <w:shd w:val="clear" w:color="auto" w:fill="auto"/>
        <w:tabs>
          <w:tab w:pos="5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6"/>
        <w:keepNext w:val="0"/>
        <w:keepLines w:val="0"/>
        <w:widowControl w:val="0"/>
        <w:shd w:val="clear" w:color="auto" w:fill="auto"/>
        <w:bidi w:val="0"/>
        <w:spacing w:before="0" w:after="0" w:line="240" w:lineRule="auto"/>
        <w:ind w:left="2620" w:right="0" w:firstLine="0"/>
        <w:jc w:val="left"/>
      </w:pP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číslo autorizace ČKAIT</w:t>
      </w:r>
    </w:p>
    <w:p>
      <w:pPr>
        <w:pStyle w:val="Style6"/>
        <w:keepNext w:val="0"/>
        <w:keepLines w:val="0"/>
        <w:widowControl w:val="0"/>
        <w:numPr>
          <w:ilvl w:val="0"/>
          <w:numId w:val="11"/>
        </w:numPr>
        <w:shd w:val="clear" w:color="auto" w:fill="auto"/>
        <w:tabs>
          <w:tab w:pos="1572" w:val="left"/>
        </w:tabs>
        <w:bidi w:val="0"/>
        <w:spacing w:before="0" w:after="0" w:line="240" w:lineRule="auto"/>
        <w:ind w:left="1300" w:right="0" w:firstLine="0"/>
        <w:jc w:val="both"/>
      </w:pPr>
      <w:r>
        <w:rPr>
          <w:color w:val="000000"/>
          <w:spacing w:val="0"/>
          <w:w w:val="100"/>
          <w:position w:val="0"/>
          <w:shd w:val="clear" w:color="auto" w:fill="auto"/>
          <w:lang w:val="cs-CZ" w:eastAsia="cs-CZ" w:bidi="cs-CZ"/>
        </w:rPr>
        <w:t xml:space="preserve">autorizovaný stavitel v oboru </w:t>
      </w:r>
      <w:r>
        <w:rPr>
          <w:b/>
          <w:bCs/>
          <w:color w:val="000000"/>
          <w:spacing w:val="0"/>
          <w:w w:val="100"/>
          <w:position w:val="0"/>
          <w:shd w:val="clear" w:color="auto" w:fill="auto"/>
          <w:lang w:val="cs-CZ" w:eastAsia="cs-CZ" w:bidi="cs-CZ"/>
        </w:rPr>
        <w:t>dopravní stavby</w:t>
      </w:r>
      <w:r>
        <w:rPr>
          <w:color w:val="000000"/>
          <w:spacing w:val="0"/>
          <w:w w:val="100"/>
          <w:position w:val="0"/>
          <w:shd w:val="clear" w:color="auto" w:fill="auto"/>
          <w:lang w:val="cs-CZ" w:eastAsia="cs-CZ" w:bidi="cs-CZ"/>
        </w:rPr>
        <w:t>, specializace nekolejová doprava</w:t>
      </w:r>
    </w:p>
    <w:p>
      <w:pPr>
        <w:pStyle w:val="Style6"/>
        <w:keepNext w:val="0"/>
        <w:keepLines w:val="0"/>
        <w:widowControl w:val="0"/>
        <w:numPr>
          <w:ilvl w:val="0"/>
          <w:numId w:val="11"/>
        </w:numPr>
        <w:shd w:val="clear" w:color="auto" w:fill="auto"/>
        <w:tabs>
          <w:tab w:pos="1572" w:val="left"/>
        </w:tabs>
        <w:bidi w:val="0"/>
        <w:spacing w:before="0" w:after="220" w:line="240" w:lineRule="auto"/>
        <w:ind w:left="1300" w:right="0" w:firstLine="0"/>
        <w:jc w:val="both"/>
      </w:pPr>
      <w:r>
        <w:rPr>
          <w:color w:val="000000"/>
          <w:spacing w:val="0"/>
          <w:w w:val="100"/>
          <w:position w:val="0"/>
          <w:shd w:val="clear" w:color="auto" w:fill="auto"/>
          <w:lang w:val="cs-CZ" w:eastAsia="cs-CZ" w:bidi="cs-CZ"/>
        </w:rPr>
        <w:t xml:space="preserve">autorizovaný stavitel v oboru </w:t>
      </w:r>
      <w:r>
        <w:rPr>
          <w:b/>
          <w:bCs/>
          <w:color w:val="000000"/>
          <w:spacing w:val="0"/>
          <w:w w:val="100"/>
          <w:position w:val="0"/>
          <w:shd w:val="clear" w:color="auto" w:fill="auto"/>
          <w:lang w:val="cs-CZ" w:eastAsia="cs-CZ" w:bidi="cs-CZ"/>
        </w:rPr>
        <w:t>mosty a inženýrské konstrukce</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b/>
          <w:bCs/>
          <w:color w:val="000000"/>
          <w:spacing w:val="0"/>
          <w:w w:val="100"/>
          <w:position w:val="0"/>
          <w:shd w:val="clear" w:color="auto" w:fill="auto"/>
          <w:lang w:val="cs-CZ" w:eastAsia="cs-CZ" w:bidi="cs-CZ"/>
        </w:rPr>
        <w:t>Dodavatel odpovídá za plnění těchto osob tak, jako by plnil sám</w:t>
      </w:r>
      <w:r>
        <w:rPr>
          <w:color w:val="000000"/>
          <w:spacing w:val="0"/>
          <w:w w:val="100"/>
          <w:position w:val="0"/>
          <w:shd w:val="clear" w:color="auto" w:fill="auto"/>
          <w:lang w:val="cs-CZ" w:eastAsia="cs-CZ" w:bidi="cs-CZ"/>
        </w:rPr>
        <w:t xml:space="preserve">. 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6"/>
        <w:keepNext w:val="0"/>
        <w:keepLines w:val="0"/>
        <w:widowControl w:val="0"/>
        <w:numPr>
          <w:ilvl w:val="0"/>
          <w:numId w:val="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6"/>
        <w:keepNext w:val="0"/>
        <w:keepLines w:val="0"/>
        <w:widowControl w:val="0"/>
        <w:numPr>
          <w:ilvl w:val="0"/>
          <w:numId w:val="9"/>
        </w:numPr>
        <w:shd w:val="clear" w:color="auto" w:fill="auto"/>
        <w:tabs>
          <w:tab w:pos="574" w:val="left"/>
        </w:tabs>
        <w:bidi w:val="0"/>
        <w:spacing w:before="0" w:after="52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7"/>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Změna závazku</w:t>
      </w:r>
      <w:bookmarkEnd w:id="16"/>
      <w:bookmarkEnd w:id="17"/>
    </w:p>
    <w:p>
      <w:pPr>
        <w:pStyle w:val="Style6"/>
        <w:keepNext w:val="0"/>
        <w:keepLines w:val="0"/>
        <w:widowControl w:val="0"/>
        <w:numPr>
          <w:ilvl w:val="0"/>
          <w:numId w:val="13"/>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6"/>
        <w:keepNext w:val="0"/>
        <w:keepLines w:val="0"/>
        <w:widowControl w:val="0"/>
        <w:numPr>
          <w:ilvl w:val="0"/>
          <w:numId w:val="13"/>
        </w:numPr>
        <w:shd w:val="clear" w:color="auto" w:fill="auto"/>
        <w:tabs>
          <w:tab w:pos="574" w:val="left"/>
        </w:tabs>
        <w:bidi w:val="0"/>
        <w:spacing w:before="0" w:after="4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7"/>
        <w:keepNext/>
        <w:keepLines/>
        <w:widowControl w:val="0"/>
        <w:shd w:val="clear" w:color="auto" w:fill="auto"/>
        <w:bidi w:val="0"/>
        <w:spacing w:before="0" w:after="10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Sankce</w:t>
      </w:r>
      <w:bookmarkEnd w:id="18"/>
      <w:bookmarkEnd w:id="19"/>
    </w:p>
    <w:p>
      <w:pPr>
        <w:pStyle w:val="Style6"/>
        <w:keepNext w:val="0"/>
        <w:keepLines w:val="0"/>
        <w:widowControl w:val="0"/>
        <w:numPr>
          <w:ilvl w:val="0"/>
          <w:numId w:val="15"/>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 je možné ukládat opakovaně, dokud nedojde ke zjednání nápravy.</w:t>
      </w:r>
    </w:p>
    <w:p>
      <w:pPr>
        <w:pStyle w:val="Style23"/>
        <w:keepNext/>
        <w:keepLines/>
        <w:widowControl w:val="0"/>
        <w:shd w:val="clear" w:color="auto" w:fill="auto"/>
        <w:bidi w:val="0"/>
        <w:spacing w:before="0" w:after="0" w:line="240" w:lineRule="auto"/>
        <w:ind w:left="0" w:right="0" w:firstLine="0"/>
        <w:jc w:val="center"/>
      </w:pPr>
      <w:bookmarkStart w:id="20" w:name="bookmark20"/>
      <w:bookmarkStart w:id="21" w:name="bookmark21"/>
      <w:r>
        <w:rPr>
          <w:spacing w:val="0"/>
          <w:w w:val="100"/>
          <w:position w:val="0"/>
          <w:shd w:val="clear" w:color="auto" w:fill="auto"/>
          <w:lang w:val="cs-CZ" w:eastAsia="cs-CZ" w:bidi="cs-CZ"/>
        </w:rPr>
        <w:t>© sfdi</w:t>
      </w:r>
      <w:bookmarkEnd w:id="20"/>
      <w:bookmarkEnd w:id="21"/>
    </w:p>
    <w:p>
      <w:pPr>
        <w:pStyle w:val="Style25"/>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STATNI FOND DOFRAVNI</w:t>
      </w:r>
    </w:p>
    <w:p>
      <w:pPr>
        <w:pStyle w:val="Style25"/>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INFRASTRUKTURY</w:t>
      </w:r>
    </w:p>
    <w:p>
      <w:pPr>
        <w:pStyle w:val="Style6"/>
        <w:keepNext w:val="0"/>
        <w:keepLines w:val="0"/>
        <w:widowControl w:val="0"/>
        <w:numPr>
          <w:ilvl w:val="0"/>
          <w:numId w:val="1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6"/>
        <w:keepNext w:val="0"/>
        <w:keepLines w:val="0"/>
        <w:widowControl w:val="0"/>
        <w:numPr>
          <w:ilvl w:val="0"/>
          <w:numId w:val="1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6"/>
        <w:keepNext w:val="0"/>
        <w:keepLines w:val="0"/>
        <w:widowControl w:val="0"/>
        <w:numPr>
          <w:ilvl w:val="0"/>
          <w:numId w:val="15"/>
        </w:numPr>
        <w:shd w:val="clear" w:color="auto" w:fill="auto"/>
        <w:tabs>
          <w:tab w:pos="572" w:val="left"/>
        </w:tabs>
        <w:bidi w:val="0"/>
        <w:spacing w:before="0" w:after="70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7"/>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9</w:t>
        <w:br/>
        <w:t>Odpovědnost za škodu</w:t>
      </w:r>
      <w:bookmarkEnd w:id="22"/>
      <w:bookmarkEnd w:id="23"/>
    </w:p>
    <w:p>
      <w:pPr>
        <w:pStyle w:val="Style6"/>
        <w:keepNext w:val="0"/>
        <w:keepLines w:val="0"/>
        <w:widowControl w:val="0"/>
        <w:numPr>
          <w:ilvl w:val="0"/>
          <w:numId w:val="17"/>
        </w:numPr>
        <w:shd w:val="clear" w:color="auto" w:fill="auto"/>
        <w:tabs>
          <w:tab w:pos="572"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6"/>
        <w:keepNext w:val="0"/>
        <w:keepLines w:val="0"/>
        <w:widowControl w:val="0"/>
        <w:numPr>
          <w:ilvl w:val="0"/>
          <w:numId w:val="17"/>
        </w:numPr>
        <w:shd w:val="clear" w:color="auto" w:fill="auto"/>
        <w:tabs>
          <w:tab w:pos="572"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6"/>
        <w:keepNext w:val="0"/>
        <w:keepLines w:val="0"/>
        <w:widowControl w:val="0"/>
        <w:numPr>
          <w:ilvl w:val="0"/>
          <w:numId w:val="17"/>
        </w:numPr>
        <w:shd w:val="clear" w:color="auto" w:fill="auto"/>
        <w:tabs>
          <w:tab w:pos="572" w:val="left"/>
        </w:tabs>
        <w:bidi w:val="0"/>
        <w:spacing w:before="0" w:after="40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7"/>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Ostatní ujednání, závěrečná ustanovení</w:t>
      </w:r>
      <w:bookmarkEnd w:id="24"/>
      <w:bookmarkEnd w:id="25"/>
    </w:p>
    <w:p>
      <w:pPr>
        <w:pStyle w:val="Style6"/>
        <w:keepNext w:val="0"/>
        <w:keepLines w:val="0"/>
        <w:widowControl w:val="0"/>
        <w:numPr>
          <w:ilvl w:val="0"/>
          <w:numId w:val="19"/>
        </w:numPr>
        <w:shd w:val="clear" w:color="auto" w:fill="auto"/>
        <w:tabs>
          <w:tab w:pos="653"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6"/>
        <w:keepNext w:val="0"/>
        <w:keepLines w:val="0"/>
        <w:widowControl w:val="0"/>
        <w:numPr>
          <w:ilvl w:val="0"/>
          <w:numId w:val="19"/>
        </w:numPr>
        <w:shd w:val="clear" w:color="auto" w:fill="auto"/>
        <w:tabs>
          <w:tab w:pos="653" w:val="left"/>
        </w:tabs>
        <w:bidi w:val="0"/>
        <w:spacing w:before="0" w:line="240"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6"/>
        <w:keepNext w:val="0"/>
        <w:keepLines w:val="0"/>
        <w:widowControl w:val="0"/>
        <w:numPr>
          <w:ilvl w:val="0"/>
          <w:numId w:val="19"/>
        </w:numPr>
        <w:shd w:val="clear" w:color="auto" w:fill="auto"/>
        <w:tabs>
          <w:tab w:pos="653" w:val="left"/>
        </w:tabs>
        <w:bidi w:val="0"/>
        <w:spacing w:before="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6"/>
        <w:keepNext w:val="0"/>
        <w:keepLines w:val="0"/>
        <w:widowControl w:val="0"/>
        <w:numPr>
          <w:ilvl w:val="0"/>
          <w:numId w:val="19"/>
        </w:numPr>
        <w:shd w:val="clear" w:color="auto" w:fill="auto"/>
        <w:tabs>
          <w:tab w:pos="65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6"/>
        <w:keepNext w:val="0"/>
        <w:keepLines w:val="0"/>
        <w:widowControl w:val="0"/>
        <w:numPr>
          <w:ilvl w:val="0"/>
          <w:numId w:val="19"/>
        </w:numPr>
        <w:shd w:val="clear" w:color="auto" w:fill="auto"/>
        <w:tabs>
          <w:tab w:pos="653"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r>
        <w:br w:type="page"/>
      </w:r>
    </w:p>
    <w:p>
      <w:pPr>
        <w:widowControl w:val="0"/>
        <w:spacing w:line="1" w:lineRule="exact"/>
      </w:pPr>
      <w:r>
        <w:drawing>
          <wp:anchor distT="0" distB="38100" distL="0" distR="0" simplePos="0" relativeHeight="125829378" behindDoc="0" locked="0" layoutInCell="1" allowOverlap="1">
            <wp:simplePos x="0" y="0"/>
            <wp:positionH relativeFrom="page">
              <wp:posOffset>3413760</wp:posOffset>
            </wp:positionH>
            <wp:positionV relativeFrom="paragraph">
              <wp:posOffset>0</wp:posOffset>
            </wp:positionV>
            <wp:extent cx="1029970" cy="396240"/>
            <wp:wrapTopAndBottom/>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4"/>
                    <a:stretch/>
                  </pic:blipFill>
                  <pic:spPr>
                    <a:xfrm>
                      <a:ext cx="1029970" cy="396240"/>
                    </a:xfrm>
                    <a:prstGeom prst="rect"/>
                  </pic:spPr>
                </pic:pic>
              </a:graphicData>
            </a:graphic>
          </wp:anchor>
        </w:drawing>
      </w:r>
    </w:p>
    <w:p>
      <w:pPr>
        <w:pStyle w:val="Style6"/>
        <w:keepNext w:val="0"/>
        <w:keepLines w:val="0"/>
        <w:widowControl w:val="0"/>
        <w:numPr>
          <w:ilvl w:val="0"/>
          <w:numId w:val="1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6"/>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10.1. </w:t>
      </w: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6"/>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6"/>
        <w:keepNext w:val="0"/>
        <w:keepLines w:val="0"/>
        <w:widowControl w:val="0"/>
        <w:numPr>
          <w:ilvl w:val="0"/>
          <w:numId w:val="2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Smlouvu bude dle vůle smluvních stran v souladu s příslušnými právními předpisy, zejména ve lhůtách stanovených příslušnými právními předpisy, zveřejňovat Objednatel.</w:t>
      </w:r>
    </w:p>
    <w:p>
      <w:pPr>
        <w:pStyle w:val="Style6"/>
        <w:keepNext w:val="0"/>
        <w:keepLines w:val="0"/>
        <w:widowControl w:val="0"/>
        <w:numPr>
          <w:ilvl w:val="0"/>
          <w:numId w:val="21"/>
        </w:numPr>
        <w:shd w:val="clear" w:color="auto" w:fill="auto"/>
        <w:tabs>
          <w:tab w:pos="61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6"/>
        <w:keepNext w:val="0"/>
        <w:keepLines w:val="0"/>
        <w:widowControl w:val="0"/>
        <w:numPr>
          <w:ilvl w:val="0"/>
          <w:numId w:val="21"/>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6"/>
        <w:keepNext w:val="0"/>
        <w:keepLines w:val="0"/>
        <w:widowControl w:val="0"/>
        <w:numPr>
          <w:ilvl w:val="0"/>
          <w:numId w:val="21"/>
        </w:numPr>
        <w:shd w:val="clear" w:color="auto" w:fill="auto"/>
        <w:tabs>
          <w:tab w:pos="606" w:val="left"/>
        </w:tabs>
        <w:bidi w:val="0"/>
        <w:spacing w:before="0" w:after="40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6"/>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6"/>
        <w:keepNext w:val="0"/>
        <w:keepLines w:val="0"/>
        <w:widowControl w:val="0"/>
        <w:shd w:val="clear" w:color="auto" w:fill="auto"/>
        <w:bidi w:val="0"/>
        <w:spacing w:before="0" w:line="240" w:lineRule="auto"/>
        <w:ind w:left="4280" w:right="0" w:firstLine="0"/>
        <w:jc w:val="both"/>
      </w:pPr>
      <w:r>
        <mc:AlternateContent>
          <mc:Choice Requires="wps">
            <w:drawing>
              <wp:anchor distT="0" distB="0" distL="114300" distR="114300" simplePos="0" relativeHeight="125829379" behindDoc="0" locked="0" layoutInCell="1" allowOverlap="1">
                <wp:simplePos x="0" y="0"/>
                <wp:positionH relativeFrom="page">
                  <wp:posOffset>731520</wp:posOffset>
                </wp:positionH>
                <wp:positionV relativeFrom="paragraph">
                  <wp:posOffset>12700</wp:posOffset>
                </wp:positionV>
                <wp:extent cx="328930" cy="213360"/>
                <wp:wrapSquare wrapText="right"/>
                <wp:docPr id="20" name="Shape 20"/>
                <a:graphic xmlns:a="http://schemas.openxmlformats.org/drawingml/2006/main">
                  <a:graphicData uri="http://schemas.microsoft.com/office/word/2010/wordprocessingShape">
                    <wps:wsp>
                      <wps:cNvSpPr txBox="1"/>
                      <wps:spPr>
                        <a:xfrm>
                          <a:ext cx="32893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46" type="#_x0000_t202" style="position:absolute;margin-left:57.600000000000001pt;margin-top:1.pt;width:25.899999999999999pt;height:16.800000000000001pt;z-index:-12582937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pStyle w:val="Style6"/>
        <w:keepNext w:val="0"/>
        <w:keepLines w:val="0"/>
        <w:widowControl w:val="0"/>
        <w:shd w:val="clear" w:color="auto" w:fill="auto"/>
        <w:bidi w:val="0"/>
        <w:spacing w:before="0" w:after="2040" w:line="240" w:lineRule="auto"/>
        <w:ind w:left="0" w:right="0" w:firstLine="0"/>
        <w:jc w:val="both"/>
      </w:pPr>
      <w:r>
        <mc:AlternateContent>
          <mc:Choice Requires="wps">
            <w:drawing>
              <wp:anchor distT="0" distB="0" distL="114300" distR="114300" simplePos="0" relativeHeight="125829381" behindDoc="0" locked="0" layoutInCell="1" allowOverlap="1">
                <wp:simplePos x="0" y="0"/>
                <wp:positionH relativeFrom="page">
                  <wp:posOffset>3855720</wp:posOffset>
                </wp:positionH>
                <wp:positionV relativeFrom="paragraph">
                  <wp:posOffset>12700</wp:posOffset>
                </wp:positionV>
                <wp:extent cx="1584960" cy="213360"/>
                <wp:wrapSquare wrapText="left"/>
                <wp:docPr id="22" name="Shape 22"/>
                <a:graphic xmlns:a="http://schemas.openxmlformats.org/drawingml/2006/main">
                  <a:graphicData uri="http://schemas.microsoft.com/office/word/2010/wordprocessingShape">
                    <wps:wsp>
                      <wps:cNvSpPr txBox="1"/>
                      <wps:spPr>
                        <a:xfrm>
                          <a:ext cx="1584960" cy="2133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48" type="#_x0000_t202" style="position:absolute;margin-left:303.60000000000002pt;margin-top:1.pt;width:124.8pt;height:16.800000000000001pt;z-index:-125829372;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square" side="left" anchorx="page"/>
              </v:shape>
            </w:pict>
          </mc:Fallback>
        </mc:AlternateContent>
      </w:r>
      <w:r>
        <mc:AlternateContent>
          <mc:Choice Requires="wps">
            <w:drawing>
              <wp:anchor distT="0" distB="0" distL="114300" distR="114300" simplePos="0" relativeHeight="125829383" behindDoc="0" locked="0" layoutInCell="1" allowOverlap="1">
                <wp:simplePos x="0" y="0"/>
                <wp:positionH relativeFrom="page">
                  <wp:posOffset>1285875</wp:posOffset>
                </wp:positionH>
                <wp:positionV relativeFrom="paragraph">
                  <wp:posOffset>1485900</wp:posOffset>
                </wp:positionV>
                <wp:extent cx="719455" cy="179705"/>
                <wp:wrapSquare wrapText="right"/>
                <wp:docPr id="24" name="Shape 24"/>
                <a:graphic xmlns:a="http://schemas.openxmlformats.org/drawingml/2006/main">
                  <a:graphicData uri="http://schemas.microsoft.com/office/word/2010/wordprocessingShape">
                    <wps:wsp>
                      <wps:cNvSpPr txBox="1"/>
                      <wps:spPr>
                        <a:xfrm>
                          <a:ext cx="71945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wps:txbx>
                      <wps:bodyPr wrap="none" lIns="0" tIns="0" rIns="0" bIns="0">
                        <a:noAutoFit/>
                      </wps:bodyPr>
                    </wps:wsp>
                  </a:graphicData>
                </a:graphic>
              </wp:anchor>
            </w:drawing>
          </mc:Choice>
          <mc:Fallback>
            <w:pict>
              <v:shape id="_x0000_s1050" type="#_x0000_t202" style="position:absolute;margin-left:101.25pt;margin-top:117.pt;width:56.649999999999999pt;height:14.15pt;z-index:-125829370;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txbxContent>
                </v:textbox>
                <w10:wrap type="square" side="right" anchorx="page"/>
              </v:shape>
            </w:pict>
          </mc:Fallback>
        </mc:AlternateContent>
      </w:r>
      <w:r>
        <w:rPr>
          <w:color w:val="000000"/>
          <w:spacing w:val="0"/>
          <w:w w:val="100"/>
          <w:position w:val="0"/>
          <w:shd w:val="clear" w:color="auto" w:fill="auto"/>
          <w:lang w:val="cs-CZ" w:eastAsia="cs-CZ" w:bidi="cs-CZ"/>
        </w:rPr>
        <w:t>V Mladé Vožici, dne: viz podpis</w:t>
      </w:r>
    </w:p>
    <w:p>
      <w:pPr>
        <w:pStyle w:val="Style8"/>
        <w:keepNext w:val="0"/>
        <w:keepLines w:val="0"/>
        <w:widowControl w:val="0"/>
        <w:shd w:val="clear" w:color="auto" w:fill="auto"/>
        <w:bidi w:val="0"/>
        <w:spacing w:before="0" w:after="0" w:line="240" w:lineRule="auto"/>
        <w:ind w:right="0" w:hanging="2180"/>
        <w:jc w:val="left"/>
      </w:pPr>
      <w:r>
        <w:rPr>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100" w:line="240" w:lineRule="auto"/>
        <w:ind w:right="0" w:firstLine="0"/>
        <w:jc w:val="left"/>
      </w:pPr>
      <w:r>
        <w:rPr>
          <w:color w:val="000000"/>
          <w:spacing w:val="0"/>
          <w:w w:val="100"/>
          <w:position w:val="0"/>
          <w:shd w:val="clear" w:color="auto" w:fill="auto"/>
          <w:lang w:val="cs-CZ" w:eastAsia="cs-CZ" w:bidi="cs-CZ"/>
        </w:rPr>
        <w:t>Ing. Radovan Necid, ředitel organizace</w:t>
      </w:r>
    </w:p>
    <w:sectPr>
      <w:footerReference w:type="default" r:id="rId16"/>
      <w:footnotePr>
        <w:pos w:val="pageBottom"/>
        <w:numFmt w:val="decimal"/>
        <w:numRestart w:val="continuous"/>
      </w:footnotePr>
      <w:type w:val="continuous"/>
      <w:pgSz w:w="12240" w:h="15840"/>
      <w:pgMar w:top="55" w:left="1130" w:right="977" w:bottom="10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755650</wp:posOffset>
              </wp:positionH>
              <wp:positionV relativeFrom="page">
                <wp:posOffset>9484995</wp:posOffset>
              </wp:positionV>
              <wp:extent cx="2292350" cy="283210"/>
              <wp:wrapNone/>
              <wp:docPr id="3" name="Shape 3"/>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9.5pt;margin-top:746.85000000000002pt;width:180.5pt;height:22.300000000000001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v:textbox>
              <w10:wrap anchorx="page" anchory="page"/>
            </v:shape>
          </w:pict>
        </mc:Fallback>
      </mc:AlternateContent>
    </w:r>
    <w:r>
      <mc:AlternateContent>
        <mc:Choice Requires="wps">
          <w:drawing>
            <wp:anchor distT="0" distB="0" distL="0" distR="0" simplePos="0" relativeHeight="62914693" behindDoc="1" locked="0" layoutInCell="1" allowOverlap="1">
              <wp:simplePos x="0" y="0"/>
              <wp:positionH relativeFrom="page">
                <wp:posOffset>6062345</wp:posOffset>
              </wp:positionH>
              <wp:positionV relativeFrom="page">
                <wp:posOffset>9484995</wp:posOffset>
              </wp:positionV>
              <wp:extent cx="658495" cy="113030"/>
              <wp:wrapNone/>
              <wp:docPr id="5" name="Shape 5"/>
              <a:graphic xmlns:a="http://schemas.openxmlformats.org/drawingml/2006/main">
                <a:graphicData uri="http://schemas.microsoft.com/office/word/2010/wordprocessingShape">
                  <wps:wsp>
                    <wps:cNvSpPr txBox="1"/>
                    <wps:spPr>
                      <a:xfrm>
                        <a:ext cx="65849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wps:txbx>
                    <wps:bodyPr wrap="none" lIns="0" tIns="0" rIns="0" bIns="0">
                      <a:spAutoFit/>
                    </wps:bodyPr>
                  </wps:wsp>
                </a:graphicData>
              </a:graphic>
            </wp:anchor>
          </w:drawing>
        </mc:Choice>
        <mc:Fallback>
          <w:pict>
            <v:shape id="_x0000_s1031" type="#_x0000_t202" style="position:absolute;margin-left:477.35000000000002pt;margin-top:746.85000000000002pt;width:51.850000000000001pt;height:8.9000000000000004pt;z-index:-18874406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9443720</wp:posOffset>
              </wp:positionV>
              <wp:extent cx="6397625" cy="0"/>
              <wp:wrapNone/>
              <wp:docPr id="7" name="Shape 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3.60000000000002pt;width:503.7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755650</wp:posOffset>
              </wp:positionH>
              <wp:positionV relativeFrom="page">
                <wp:posOffset>9476105</wp:posOffset>
              </wp:positionV>
              <wp:extent cx="5965190" cy="283210"/>
              <wp:wrapNone/>
              <wp:docPr id="8" name="Shape 8"/>
              <a:graphic xmlns:a="http://schemas.openxmlformats.org/drawingml/2006/main">
                <a:graphicData uri="http://schemas.microsoft.com/office/word/2010/wordprocessingShape">
                  <wps:wsp>
                    <wps:cNvSpPr txBox="1"/>
                    <wps:spPr>
                      <a:xfrm>
                        <a:ext cx="5965190" cy="283210"/>
                      </a:xfrm>
                      <a:prstGeom prst="rect"/>
                      <a:noFill/>
                    </wps:spPr>
                    <wps:txbx>
                      <w:txbxContent>
                        <w:p>
                          <w:pPr>
                            <w:pStyle w:val="Style2"/>
                            <w:keepNext w:val="0"/>
                            <w:keepLines w:val="0"/>
                            <w:widowControl w:val="0"/>
                            <w:shd w:val="clear" w:color="auto" w:fill="auto"/>
                            <w:tabs>
                              <w:tab w:pos="932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tab/>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wps:txbx>
                    <wps:bodyPr lIns="0" tIns="0" rIns="0" bIns="0">
                      <a:spAutoFit/>
                    </wps:bodyPr>
                  </wps:wsp>
                </a:graphicData>
              </a:graphic>
            </wp:anchor>
          </w:drawing>
        </mc:Choice>
        <mc:Fallback>
          <w:pict>
            <v:shape id="_x0000_s1034" type="#_x0000_t202" style="position:absolute;margin-left:59.5pt;margin-top:746.14999999999998pt;width:469.69999999999999pt;height:22.300000000000001pt;z-index:-188744058;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322" w:val="right"/>
                      </w:tabs>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tab/>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9434830</wp:posOffset>
              </wp:positionV>
              <wp:extent cx="6397625" cy="0"/>
              <wp:wrapNone/>
              <wp:docPr id="10" name="Shape 10"/>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2.89999999999998pt;width:503.7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755650</wp:posOffset>
              </wp:positionH>
              <wp:positionV relativeFrom="page">
                <wp:posOffset>9484995</wp:posOffset>
              </wp:positionV>
              <wp:extent cx="2292350" cy="283210"/>
              <wp:wrapNone/>
              <wp:docPr id="13" name="Shape 13"/>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wps:txbx>
                    <wps:bodyPr wrap="none" lIns="0" tIns="0" rIns="0" bIns="0">
                      <a:spAutoFit/>
                    </wps:bodyPr>
                  </wps:wsp>
                </a:graphicData>
              </a:graphic>
            </wp:anchor>
          </w:drawing>
        </mc:Choice>
        <mc:Fallback>
          <w:pict>
            <v:shape id="_x0000_s1039" type="#_x0000_t202" style="position:absolute;margin-left:59.5pt;margin-top:746.85000000000002pt;width:180.5pt;height:22.300000000000001pt;z-index:-18874405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v:textbox>
              <w10:wrap anchorx="page" anchory="page"/>
            </v:shape>
          </w:pict>
        </mc:Fallback>
      </mc:AlternateContent>
    </w:r>
    <w:r>
      <mc:AlternateContent>
        <mc:Choice Requires="wps">
          <w:drawing>
            <wp:anchor distT="0" distB="0" distL="0" distR="0" simplePos="0" relativeHeight="62914699" behindDoc="1" locked="0" layoutInCell="1" allowOverlap="1">
              <wp:simplePos x="0" y="0"/>
              <wp:positionH relativeFrom="page">
                <wp:posOffset>6062345</wp:posOffset>
              </wp:positionH>
              <wp:positionV relativeFrom="page">
                <wp:posOffset>9484995</wp:posOffset>
              </wp:positionV>
              <wp:extent cx="658495" cy="113030"/>
              <wp:wrapNone/>
              <wp:docPr id="15" name="Shape 15"/>
              <a:graphic xmlns:a="http://schemas.openxmlformats.org/drawingml/2006/main">
                <a:graphicData uri="http://schemas.microsoft.com/office/word/2010/wordprocessingShape">
                  <wps:wsp>
                    <wps:cNvSpPr txBox="1"/>
                    <wps:spPr>
                      <a:xfrm>
                        <a:ext cx="65849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wps:txbx>
                    <wps:bodyPr wrap="none" lIns="0" tIns="0" rIns="0" bIns="0">
                      <a:spAutoFit/>
                    </wps:bodyPr>
                  </wps:wsp>
                </a:graphicData>
              </a:graphic>
            </wp:anchor>
          </w:drawing>
        </mc:Choice>
        <mc:Fallback>
          <w:pict>
            <v:shape id="_x0000_s1041" type="#_x0000_t202" style="position:absolute;margin-left:477.35000000000002pt;margin-top:746.85000000000002pt;width:51.850000000000001pt;height:8.9000000000000004pt;z-index:-18874405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9443720</wp:posOffset>
              </wp:positionV>
              <wp:extent cx="6397625" cy="0"/>
              <wp:wrapNone/>
              <wp:docPr id="17" name="Shape 17"/>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3.60000000000002pt;width:503.7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755650</wp:posOffset>
              </wp:positionH>
              <wp:positionV relativeFrom="page">
                <wp:posOffset>9484995</wp:posOffset>
              </wp:positionV>
              <wp:extent cx="2292350" cy="283210"/>
              <wp:wrapNone/>
              <wp:docPr id="26" name="Shape 26"/>
              <a:graphic xmlns:a="http://schemas.openxmlformats.org/drawingml/2006/main">
                <a:graphicData uri="http://schemas.microsoft.com/office/word/2010/wordprocessingShape">
                  <wps:wsp>
                    <wps:cNvSpPr txBox="1"/>
                    <wps:spPr>
                      <a:xfrm>
                        <a:ext cx="2292350"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wps:txbx>
                    <wps:bodyPr wrap="none" lIns="0" tIns="0" rIns="0" bIns="0">
                      <a:spAutoFit/>
                    </wps:bodyPr>
                  </wps:wsp>
                </a:graphicData>
              </a:graphic>
            </wp:anchor>
          </w:drawing>
        </mc:Choice>
        <mc:Fallback>
          <w:pict>
            <v:shape id="_x0000_s1052" type="#_x0000_t202" style="position:absolute;margin-left:59.5pt;margin-top:746.85000000000002pt;width:180.5pt;height:22.300000000000001pt;z-index:-18874405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akce: </w:t>
                    </w:r>
                    <w:r>
                      <w:rPr>
                        <w:rFonts w:ascii="Calibri" w:eastAsia="Calibri" w:hAnsi="Calibri" w:cs="Calibri"/>
                        <w:b/>
                        <w:bCs/>
                        <w:color w:val="000000"/>
                        <w:spacing w:val="0"/>
                        <w:w w:val="100"/>
                        <w:position w:val="0"/>
                        <w:sz w:val="20"/>
                        <w:szCs w:val="20"/>
                        <w:shd w:val="clear" w:color="auto" w:fill="auto"/>
                        <w:lang w:val="cs-CZ" w:eastAsia="cs-CZ" w:bidi="cs-CZ"/>
                      </w:rPr>
                      <w:t>II/128 křiž. I/19 - Černovice</w:t>
                    </w:r>
                  </w:p>
                </w:txbxContent>
              </v:textbox>
              <w10:wrap anchorx="page" anchory="page"/>
            </v:shape>
          </w:pict>
        </mc:Fallback>
      </mc:AlternateContent>
    </w:r>
    <w:r>
      <mc:AlternateContent>
        <mc:Choice Requires="wps">
          <w:drawing>
            <wp:anchor distT="0" distB="0" distL="0" distR="0" simplePos="0" relativeHeight="62914703" behindDoc="1" locked="0" layoutInCell="1" allowOverlap="1">
              <wp:simplePos x="0" y="0"/>
              <wp:positionH relativeFrom="page">
                <wp:posOffset>6062345</wp:posOffset>
              </wp:positionH>
              <wp:positionV relativeFrom="page">
                <wp:posOffset>9484995</wp:posOffset>
              </wp:positionV>
              <wp:extent cx="658495" cy="113030"/>
              <wp:wrapNone/>
              <wp:docPr id="28" name="Shape 28"/>
              <a:graphic xmlns:a="http://schemas.openxmlformats.org/drawingml/2006/main">
                <a:graphicData uri="http://schemas.microsoft.com/office/word/2010/wordprocessingShape">
                  <wps:wsp>
                    <wps:cNvSpPr txBox="1"/>
                    <wps:spPr>
                      <a:xfrm>
                        <a:ext cx="65849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wps:txbx>
                    <wps:bodyPr wrap="none" lIns="0" tIns="0" rIns="0" bIns="0">
                      <a:spAutoFit/>
                    </wps:bodyPr>
                  </wps:wsp>
                </a:graphicData>
              </a:graphic>
            </wp:anchor>
          </w:drawing>
        </mc:Choice>
        <mc:Fallback>
          <w:pict>
            <v:shape id="_x0000_s1054" type="#_x0000_t202" style="position:absolute;margin-left:477.35000000000002pt;margin-top:746.85000000000002pt;width:51.850000000000001pt;height:8.9000000000000004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9443720</wp:posOffset>
              </wp:positionV>
              <wp:extent cx="6397625" cy="0"/>
              <wp:wrapNone/>
              <wp:docPr id="30" name="Shape 30"/>
              <a:graphic xmlns:a="http://schemas.openxmlformats.org/drawingml/2006/main">
                <a:graphicData uri="http://schemas.microsoft.com/office/word/2010/wordprocessingShape">
                  <wps:wsp>
                    <wps:cNvCnPr/>
                    <wps:spPr>
                      <a:xfrm>
                        <a:ext cx="6397625" cy="0"/>
                      </a:xfrm>
                      <a:prstGeom prst="straightConnector1"/>
                      <a:ln w="12700">
                        <a:solidFill/>
                      </a:ln>
                    </wps:spPr>
                    <wps:bodyPr/>
                  </wps:wsp>
                </a:graphicData>
              </a:graphic>
            </wp:anchor>
          </w:drawing>
        </mc:Choice>
        <mc:Fallback>
          <w:pict>
            <v:shape o:spt="32" o:oned="true" path="m,l21600,21600e" style="position:absolute;margin-left:57.850000000000001pt;margin-top:743.60000000000002pt;width:503.7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2"/>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_"/>
    <w:basedOn w:val="DefaultParagraphFont"/>
    <w:link w:val="Style6"/>
    <w:rPr>
      <w:rFonts w:ascii="Calibri" w:eastAsia="Calibri" w:hAnsi="Calibri" w:cs="Calibri"/>
      <w:b w:val="0"/>
      <w:bCs w:val="0"/>
      <w:i w:val="0"/>
      <w:iCs w:val="0"/>
      <w:smallCaps w:val="0"/>
      <w:strike w:val="0"/>
      <w:sz w:val="24"/>
      <w:szCs w:val="24"/>
      <w:u w:val="none"/>
    </w:rPr>
  </w:style>
  <w:style w:type="character" w:customStyle="1" w:styleId="CharStyle9">
    <w:name w:val="Základní text (2)_"/>
    <w:basedOn w:val="DefaultParagraphFont"/>
    <w:link w:val="Style8"/>
    <w:rPr>
      <w:rFonts w:ascii="Calibri" w:eastAsia="Calibri" w:hAnsi="Calibri" w:cs="Calibri"/>
      <w:b w:val="0"/>
      <w:bCs w:val="0"/>
      <w:i w:val="0"/>
      <w:iCs w:val="0"/>
      <w:smallCaps w:val="0"/>
      <w:strike w:val="0"/>
      <w:sz w:val="20"/>
      <w:szCs w:val="20"/>
      <w:u w:val="none"/>
    </w:rPr>
  </w:style>
  <w:style w:type="character" w:customStyle="1" w:styleId="CharStyle11">
    <w:name w:val="Základní text (3)_"/>
    <w:basedOn w:val="DefaultParagraphFont"/>
    <w:link w:val="Style10"/>
    <w:rPr>
      <w:rFonts w:ascii="Calibri" w:eastAsia="Calibri" w:hAnsi="Calibri" w:cs="Calibri"/>
      <w:b/>
      <w:bCs/>
      <w:i w:val="0"/>
      <w:iCs w:val="0"/>
      <w:smallCaps w:val="0"/>
      <w:strike w:val="0"/>
      <w:sz w:val="28"/>
      <w:szCs w:val="28"/>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7">
    <w:name w:val="Jiné_"/>
    <w:basedOn w:val="DefaultParagraphFont"/>
    <w:link w:val="Style16"/>
    <w:rPr>
      <w:rFonts w:ascii="Calibri" w:eastAsia="Calibri" w:hAnsi="Calibri" w:cs="Calibri"/>
      <w:b w:val="0"/>
      <w:bCs w:val="0"/>
      <w:i w:val="0"/>
      <w:iCs w:val="0"/>
      <w:smallCaps w:val="0"/>
      <w:strike w:val="0"/>
      <w:sz w:val="24"/>
      <w:szCs w:val="24"/>
      <w:u w:val="none"/>
    </w:rPr>
  </w:style>
  <w:style w:type="character" w:customStyle="1" w:styleId="CharStyle24">
    <w:name w:val="Nadpis #1_"/>
    <w:basedOn w:val="DefaultParagraphFont"/>
    <w:link w:val="Style23"/>
    <w:rPr>
      <w:rFonts w:ascii="Arial" w:eastAsia="Arial" w:hAnsi="Arial" w:cs="Arial"/>
      <w:b w:val="0"/>
      <w:bCs w:val="0"/>
      <w:i w:val="0"/>
      <w:iCs w:val="0"/>
      <w:smallCaps w:val="0"/>
      <w:strike w:val="0"/>
      <w:color w:val="213663"/>
      <w:sz w:val="52"/>
      <w:szCs w:val="52"/>
      <w:u w:val="none"/>
    </w:rPr>
  </w:style>
  <w:style w:type="character" w:customStyle="1" w:styleId="CharStyle26">
    <w:name w:val="Základní text (4)_"/>
    <w:basedOn w:val="DefaultParagraphFont"/>
    <w:link w:val="Style25"/>
    <w:rPr>
      <w:rFonts w:ascii="Arial" w:eastAsia="Arial" w:hAnsi="Arial" w:cs="Arial"/>
      <w:b/>
      <w:bCs/>
      <w:i w:val="0"/>
      <w:iCs w:val="0"/>
      <w:smallCaps w:val="0"/>
      <w:strike w:val="0"/>
      <w:color w:val="838A91"/>
      <w:sz w:val="8"/>
      <w:szCs w:val="8"/>
      <w:u w:val="none"/>
    </w:rPr>
  </w:style>
  <w:style w:type="character" w:customStyle="1" w:styleId="CharStyle28">
    <w:name w:val="Nadpis #2_"/>
    <w:basedOn w:val="DefaultParagraphFont"/>
    <w:link w:val="Style27"/>
    <w:rPr>
      <w:rFonts w:ascii="Calibri" w:eastAsia="Calibri" w:hAnsi="Calibri" w:cs="Calibri"/>
      <w:b/>
      <w:bCs/>
      <w:i w:val="0"/>
      <w:iCs w:val="0"/>
      <w:smallCaps w:val="0"/>
      <w:strike w:val="0"/>
      <w:sz w:val="24"/>
      <w:szCs w:val="2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w:basedOn w:val="Normal"/>
    <w:link w:val="CharStyle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8">
    <w:name w:val="Základní text (2)"/>
    <w:basedOn w:val="Normal"/>
    <w:link w:val="CharStyle9"/>
    <w:pPr>
      <w:widowControl w:val="0"/>
      <w:shd w:val="clear" w:color="auto" w:fill="FFFFFF"/>
      <w:ind w:left="4940" w:hanging="1090"/>
    </w:pPr>
    <w:rPr>
      <w:rFonts w:ascii="Calibri" w:eastAsia="Calibri" w:hAnsi="Calibri" w:cs="Calibri"/>
      <w:b w:val="0"/>
      <w:bCs w:val="0"/>
      <w:i w:val="0"/>
      <w:iCs w:val="0"/>
      <w:smallCaps w:val="0"/>
      <w:strike w:val="0"/>
      <w:sz w:val="20"/>
      <w:szCs w:val="20"/>
      <w:u w:val="none"/>
    </w:rPr>
  </w:style>
  <w:style w:type="paragraph" w:customStyle="1" w:styleId="Style10">
    <w:name w:val="Základní text (3)"/>
    <w:basedOn w:val="Normal"/>
    <w:link w:val="CharStyle11"/>
    <w:pPr>
      <w:widowControl w:val="0"/>
      <w:shd w:val="clear" w:color="auto" w:fill="FFFFFF"/>
      <w:spacing w:line="403" w:lineRule="auto"/>
      <w:jc w:val="center"/>
    </w:pPr>
    <w:rPr>
      <w:rFonts w:ascii="Calibri" w:eastAsia="Calibri" w:hAnsi="Calibri" w:cs="Calibri"/>
      <w:b/>
      <w:bCs/>
      <w:i w:val="0"/>
      <w:iCs w:val="0"/>
      <w:smallCaps w:val="0"/>
      <w:strike w:val="0"/>
      <w:sz w:val="28"/>
      <w:szCs w:val="28"/>
      <w:u w:val="none"/>
    </w:rPr>
  </w:style>
  <w:style w:type="paragraph" w:customStyle="1" w:styleId="Style13">
    <w:name w:val="Titulek tabulky"/>
    <w:basedOn w:val="Normal"/>
    <w:link w:val="CharStyle14"/>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6">
    <w:name w:val="Jiné"/>
    <w:basedOn w:val="Normal"/>
    <w:link w:val="CharStyle1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23">
    <w:name w:val="Nadpis #1"/>
    <w:basedOn w:val="Normal"/>
    <w:link w:val="CharStyle24"/>
    <w:pPr>
      <w:widowControl w:val="0"/>
      <w:shd w:val="clear" w:color="auto" w:fill="FFFFFF"/>
      <w:jc w:val="center"/>
      <w:outlineLvl w:val="0"/>
    </w:pPr>
    <w:rPr>
      <w:rFonts w:ascii="Arial" w:eastAsia="Arial" w:hAnsi="Arial" w:cs="Arial"/>
      <w:b w:val="0"/>
      <w:bCs w:val="0"/>
      <w:i w:val="0"/>
      <w:iCs w:val="0"/>
      <w:smallCaps w:val="0"/>
      <w:strike w:val="0"/>
      <w:color w:val="213663"/>
      <w:sz w:val="52"/>
      <w:szCs w:val="52"/>
      <w:u w:val="none"/>
    </w:rPr>
  </w:style>
  <w:style w:type="paragraph" w:customStyle="1" w:styleId="Style25">
    <w:name w:val="Základní text (4)"/>
    <w:basedOn w:val="Normal"/>
    <w:link w:val="CharStyle26"/>
    <w:pPr>
      <w:widowControl w:val="0"/>
      <w:shd w:val="clear" w:color="auto" w:fill="FFFFFF"/>
      <w:spacing w:after="180"/>
      <w:jc w:val="center"/>
    </w:pPr>
    <w:rPr>
      <w:rFonts w:ascii="Arial" w:eastAsia="Arial" w:hAnsi="Arial" w:cs="Arial"/>
      <w:b/>
      <w:bCs/>
      <w:i w:val="0"/>
      <w:iCs w:val="0"/>
      <w:smallCaps w:val="0"/>
      <w:strike w:val="0"/>
      <w:color w:val="838A91"/>
      <w:sz w:val="8"/>
      <w:szCs w:val="8"/>
      <w:u w:val="none"/>
    </w:rPr>
  </w:style>
  <w:style w:type="paragraph" w:customStyle="1" w:styleId="Style27">
    <w:name w:val="Nadpis #2"/>
    <w:basedOn w:val="Normal"/>
    <w:link w:val="CharStyle28"/>
    <w:pPr>
      <w:widowControl w:val="0"/>
      <w:shd w:val="clear" w:color="auto" w:fill="FFFFFF"/>
      <w:spacing w:after="110"/>
      <w:jc w:val="center"/>
      <w:outlineLvl w:val="1"/>
    </w:pPr>
    <w:rPr>
      <w:rFonts w:ascii="Calibri" w:eastAsia="Calibri" w:hAnsi="Calibri" w:cs="Calibri"/>
      <w:b/>
      <w:bCs/>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kostelecka</dc:creator>
  <cp:keywords/>
</cp:coreProperties>
</file>