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C2C3" w14:textId="77777777" w:rsidR="004068D1" w:rsidRDefault="0000551E" w:rsidP="0073136A">
      <w:pPr>
        <w:tabs>
          <w:tab w:val="left" w:pos="6946"/>
        </w:tabs>
        <w:spacing w:after="0"/>
        <w:jc w:val="center"/>
        <w:rPr>
          <w:rFonts w:cs="Arial"/>
          <w:b/>
          <w:caps/>
          <w:szCs w:val="22"/>
        </w:rPr>
      </w:pPr>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996485" w:rsidRPr="00996485">
        <w:rPr>
          <w:rFonts w:cs="Arial"/>
          <w:b/>
          <w:sz w:val="36"/>
          <w:szCs w:val="36"/>
        </w:rPr>
        <w:t>Z32207</w:t>
      </w:r>
    </w:p>
    <w:p w14:paraId="1DA79FA3" w14:textId="77777777" w:rsidR="0000551E" w:rsidRDefault="0000551E" w:rsidP="00B77624">
      <w:pPr>
        <w:spacing w:after="0"/>
        <w:jc w:val="center"/>
        <w:rPr>
          <w:rFonts w:cs="Arial"/>
          <w:b/>
          <w:caps/>
          <w:szCs w:val="22"/>
        </w:rPr>
      </w:pPr>
    </w:p>
    <w:p w14:paraId="42A4002A" w14:textId="77777777" w:rsidR="0000551E" w:rsidRPr="006C3557" w:rsidRDefault="0000551E" w:rsidP="009B2889">
      <w:pPr>
        <w:rPr>
          <w:rFonts w:cs="Arial"/>
          <w:b/>
          <w:caps/>
          <w:szCs w:val="22"/>
        </w:rPr>
      </w:pPr>
      <w:r w:rsidRPr="006C3557">
        <w:rPr>
          <w:rFonts w:cs="Arial"/>
          <w:b/>
          <w:caps/>
          <w:szCs w:val="22"/>
        </w:rPr>
        <w:t>a – věcné zadání</w:t>
      </w:r>
    </w:p>
    <w:p w14:paraId="28A71DD5" w14:textId="77777777" w:rsidR="0000551E" w:rsidRPr="006C3557" w:rsidRDefault="0000551E" w:rsidP="009B37DE">
      <w:pPr>
        <w:pStyle w:val="Nadpis1"/>
      </w:pPr>
      <w:r w:rsidRPr="006C3557">
        <w:t>Základní informace</w:t>
      </w:r>
    </w:p>
    <w:tbl>
      <w:tblPr>
        <w:tblW w:w="23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739"/>
      </w:tblGrid>
      <w:tr w:rsidR="00110ED2" w:rsidRPr="006C3557" w14:paraId="361D196C" w14:textId="77777777" w:rsidTr="00110ED2">
        <w:trPr>
          <w:trHeight w:val="253"/>
        </w:trPr>
        <w:tc>
          <w:tcPr>
            <w:tcW w:w="1601" w:type="dxa"/>
            <w:tcBorders>
              <w:top w:val="single" w:sz="8" w:space="0" w:color="auto"/>
              <w:left w:val="single" w:sz="8" w:space="0" w:color="auto"/>
              <w:bottom w:val="single" w:sz="8" w:space="0" w:color="auto"/>
            </w:tcBorders>
            <w:vAlign w:val="center"/>
          </w:tcPr>
          <w:p w14:paraId="2E302E4D" w14:textId="77777777" w:rsidR="00110ED2" w:rsidRPr="009D0844" w:rsidRDefault="00110ED2" w:rsidP="00091C53">
            <w:pPr>
              <w:rPr>
                <w:szCs w:val="22"/>
              </w:rPr>
            </w:pPr>
            <w:r w:rsidRPr="009D0844">
              <w:rPr>
                <w:b/>
                <w:szCs w:val="22"/>
              </w:rPr>
              <w:t xml:space="preserve">ID PK </w:t>
            </w:r>
            <w:proofErr w:type="spellStart"/>
            <w:r w:rsidRPr="009D0844">
              <w:rPr>
                <w:b/>
                <w:szCs w:val="22"/>
              </w:rPr>
              <w:t>MZe</w:t>
            </w:r>
            <w:proofErr w:type="spellEnd"/>
            <w:r w:rsidRPr="009D0844">
              <w:rPr>
                <w:szCs w:val="22"/>
              </w:rPr>
              <w:endnoteReference w:id="3"/>
            </w:r>
            <w:r w:rsidRPr="009D0844">
              <w:rPr>
                <w:b/>
                <w:szCs w:val="22"/>
              </w:rPr>
              <w:t>:</w:t>
            </w:r>
          </w:p>
        </w:tc>
        <w:tc>
          <w:tcPr>
            <w:tcW w:w="739" w:type="dxa"/>
            <w:vAlign w:val="center"/>
          </w:tcPr>
          <w:p w14:paraId="096D031D" w14:textId="77777777" w:rsidR="00110ED2" w:rsidRPr="009D0844" w:rsidRDefault="00926C58" w:rsidP="009D0844">
            <w:pPr>
              <w:jc w:val="center"/>
              <w:rPr>
                <w:b/>
              </w:rPr>
            </w:pPr>
            <w:r>
              <w:rPr>
                <w:b/>
              </w:rPr>
              <w:t>627</w:t>
            </w:r>
          </w:p>
        </w:tc>
      </w:tr>
    </w:tbl>
    <w:p w14:paraId="15650C51"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1441"/>
        <w:gridCol w:w="1985"/>
        <w:gridCol w:w="3118"/>
        <w:gridCol w:w="1423"/>
      </w:tblGrid>
      <w:tr w:rsidR="00B73A7D" w:rsidRPr="006C3557" w14:paraId="60A869EA" w14:textId="77777777" w:rsidTr="00110ED2">
        <w:tc>
          <w:tcPr>
            <w:tcW w:w="1951" w:type="dxa"/>
            <w:tcBorders>
              <w:top w:val="single" w:sz="8" w:space="0" w:color="auto"/>
              <w:left w:val="single" w:sz="8" w:space="0" w:color="auto"/>
            </w:tcBorders>
            <w:shd w:val="clear" w:color="auto" w:fill="auto"/>
            <w:vAlign w:val="center"/>
          </w:tcPr>
          <w:p w14:paraId="60964F39" w14:textId="77777777" w:rsidR="00B73A7D" w:rsidRPr="009D0844" w:rsidRDefault="00B73A7D" w:rsidP="007141C2">
            <w:pPr>
              <w:rPr>
                <w:b/>
                <w:szCs w:val="22"/>
              </w:rPr>
            </w:pPr>
            <w:r w:rsidRPr="009D0844">
              <w:rPr>
                <w:b/>
                <w:szCs w:val="22"/>
              </w:rPr>
              <w:t>Název změny</w:t>
            </w:r>
            <w:r w:rsidRPr="009D0844">
              <w:rPr>
                <w:szCs w:val="22"/>
              </w:rPr>
              <w:endnoteReference w:id="4"/>
            </w:r>
            <w:r w:rsidRPr="009D0844">
              <w:rPr>
                <w:b/>
                <w:szCs w:val="22"/>
              </w:rPr>
              <w:t>:</w:t>
            </w:r>
          </w:p>
        </w:tc>
        <w:tc>
          <w:tcPr>
            <w:tcW w:w="7967" w:type="dxa"/>
            <w:gridSpan w:val="4"/>
            <w:tcBorders>
              <w:top w:val="single" w:sz="8" w:space="0" w:color="auto"/>
              <w:right w:val="single" w:sz="8" w:space="0" w:color="auto"/>
            </w:tcBorders>
            <w:shd w:val="clear" w:color="auto" w:fill="auto"/>
            <w:vAlign w:val="center"/>
          </w:tcPr>
          <w:p w14:paraId="016A28B5" w14:textId="77777777" w:rsidR="00B73A7D" w:rsidRPr="009D0844" w:rsidRDefault="00C72F0A" w:rsidP="008D6D0C">
            <w:pPr>
              <w:rPr>
                <w:b/>
                <w:szCs w:val="22"/>
              </w:rPr>
            </w:pPr>
            <w:r>
              <w:rPr>
                <w:b/>
                <w:szCs w:val="22"/>
              </w:rPr>
              <w:t xml:space="preserve">EPH – </w:t>
            </w:r>
            <w:r w:rsidR="00926C58">
              <w:rPr>
                <w:b/>
                <w:szCs w:val="22"/>
              </w:rPr>
              <w:t>úprava funkcionalit ve vazbě na novelu nařízení vlády č. 262/2012 Sb., (nitrátová směrnice)</w:t>
            </w:r>
          </w:p>
        </w:tc>
      </w:tr>
      <w:tr w:rsidR="00B73A7D" w:rsidRPr="006C3557" w14:paraId="6038E74F" w14:textId="77777777" w:rsidTr="009E6887">
        <w:tc>
          <w:tcPr>
            <w:tcW w:w="3392" w:type="dxa"/>
            <w:gridSpan w:val="2"/>
            <w:tcBorders>
              <w:left w:val="single" w:sz="8" w:space="0" w:color="auto"/>
              <w:bottom w:val="single" w:sz="8" w:space="0" w:color="auto"/>
            </w:tcBorders>
            <w:shd w:val="clear" w:color="auto" w:fill="auto"/>
            <w:vAlign w:val="center"/>
          </w:tcPr>
          <w:p w14:paraId="37F41EC2" w14:textId="77777777" w:rsidR="00B73A7D" w:rsidRPr="009D0844" w:rsidRDefault="00B73A7D" w:rsidP="008A4500">
            <w:pPr>
              <w:rPr>
                <w:b/>
                <w:szCs w:val="22"/>
              </w:rPr>
            </w:pPr>
            <w:r w:rsidRPr="009D0844">
              <w:rPr>
                <w:szCs w:val="22"/>
              </w:rPr>
              <w:t>Datum předložení požadavku:</w:t>
            </w:r>
          </w:p>
        </w:tc>
        <w:tc>
          <w:tcPr>
            <w:tcW w:w="1985" w:type="dxa"/>
            <w:tcBorders>
              <w:bottom w:val="single" w:sz="8" w:space="0" w:color="auto"/>
              <w:right w:val="dotted" w:sz="4" w:space="0" w:color="auto"/>
            </w:tcBorders>
            <w:shd w:val="clear" w:color="auto" w:fill="auto"/>
            <w:vAlign w:val="center"/>
          </w:tcPr>
          <w:p w14:paraId="2B4CDB3C" w14:textId="77777777" w:rsidR="00B73A7D" w:rsidRPr="009D0844" w:rsidRDefault="00926C58" w:rsidP="006F6F21">
            <w:pPr>
              <w:rPr>
                <w:szCs w:val="22"/>
              </w:rPr>
            </w:pPr>
            <w:r>
              <w:rPr>
                <w:szCs w:val="22"/>
              </w:rPr>
              <w:t>10</w:t>
            </w:r>
            <w:r w:rsidR="001B0FC9">
              <w:rPr>
                <w:szCs w:val="22"/>
              </w:rPr>
              <w:t>.</w:t>
            </w:r>
            <w:r>
              <w:rPr>
                <w:szCs w:val="22"/>
              </w:rPr>
              <w:t>6.</w:t>
            </w:r>
            <w:r w:rsidR="001B0FC9">
              <w:rPr>
                <w:szCs w:val="22"/>
              </w:rPr>
              <w:t>202</w:t>
            </w:r>
            <w:r w:rsidR="00C51CB5">
              <w:rPr>
                <w:szCs w:val="22"/>
              </w:rPr>
              <w:t>1</w:t>
            </w:r>
          </w:p>
        </w:tc>
        <w:tc>
          <w:tcPr>
            <w:tcW w:w="3118" w:type="dxa"/>
            <w:tcBorders>
              <w:left w:val="dotted" w:sz="4" w:space="0" w:color="auto"/>
              <w:bottom w:val="single" w:sz="8" w:space="0" w:color="auto"/>
            </w:tcBorders>
            <w:shd w:val="clear" w:color="auto" w:fill="auto"/>
            <w:vAlign w:val="center"/>
          </w:tcPr>
          <w:p w14:paraId="3E834FB5" w14:textId="77777777" w:rsidR="00B73A7D" w:rsidRPr="009D0844" w:rsidRDefault="00B73A7D" w:rsidP="008A4500">
            <w:pPr>
              <w:rPr>
                <w:b/>
                <w:szCs w:val="22"/>
              </w:rPr>
            </w:pPr>
            <w:r w:rsidRPr="009D0844">
              <w:rPr>
                <w:szCs w:val="22"/>
              </w:rPr>
              <w:t>Požadované datum nasazení:</w:t>
            </w:r>
          </w:p>
        </w:tc>
        <w:tc>
          <w:tcPr>
            <w:tcW w:w="1423" w:type="dxa"/>
            <w:tcBorders>
              <w:bottom w:val="single" w:sz="8" w:space="0" w:color="auto"/>
              <w:right w:val="single" w:sz="8" w:space="0" w:color="auto"/>
            </w:tcBorders>
            <w:shd w:val="clear" w:color="auto" w:fill="auto"/>
            <w:vAlign w:val="center"/>
          </w:tcPr>
          <w:p w14:paraId="4E95B476" w14:textId="77777777" w:rsidR="00CE24DC" w:rsidRPr="009D0844" w:rsidRDefault="00926C58" w:rsidP="0037452C">
            <w:pPr>
              <w:rPr>
                <w:szCs w:val="22"/>
              </w:rPr>
            </w:pPr>
            <w:r>
              <w:rPr>
                <w:szCs w:val="22"/>
              </w:rPr>
              <w:t>30.11</w:t>
            </w:r>
            <w:r w:rsidR="00C72F0A">
              <w:rPr>
                <w:szCs w:val="22"/>
              </w:rPr>
              <w:t>.202</w:t>
            </w:r>
            <w:r>
              <w:rPr>
                <w:szCs w:val="22"/>
              </w:rPr>
              <w:t>1</w:t>
            </w:r>
          </w:p>
        </w:tc>
      </w:tr>
    </w:tbl>
    <w:p w14:paraId="020EB6BE" w14:textId="77777777" w:rsidR="0000551E" w:rsidRPr="00CE24DC" w:rsidRDefault="0000551E" w:rsidP="00CE24DC">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10ED2" w:rsidRPr="006C3557" w14:paraId="1A8F460C" w14:textId="77777777" w:rsidTr="00110ED2">
        <w:tc>
          <w:tcPr>
            <w:tcW w:w="2258" w:type="dxa"/>
            <w:tcBorders>
              <w:top w:val="single" w:sz="8" w:space="0" w:color="auto"/>
              <w:left w:val="single" w:sz="8" w:space="0" w:color="auto"/>
              <w:bottom w:val="single" w:sz="8" w:space="0" w:color="auto"/>
            </w:tcBorders>
            <w:shd w:val="clear" w:color="auto" w:fill="auto"/>
            <w:vAlign w:val="center"/>
          </w:tcPr>
          <w:p w14:paraId="09853FDD" w14:textId="77777777" w:rsidR="0000551E" w:rsidRPr="009D0844" w:rsidRDefault="0000551E" w:rsidP="00337DDA">
            <w:pPr>
              <w:rPr>
                <w:szCs w:val="22"/>
              </w:rPr>
            </w:pPr>
            <w:r w:rsidRPr="009D0844">
              <w:rPr>
                <w:szCs w:val="22"/>
              </w:rPr>
              <w:t>Kategorie změny</w:t>
            </w:r>
            <w:r w:rsidRPr="009D0844">
              <w:rPr>
                <w:szCs w:val="22"/>
              </w:rPr>
              <w:endnoteReference w:id="5"/>
            </w:r>
            <w:r w:rsidRPr="009D0844">
              <w:rPr>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57EFB48A" w14:textId="77777777" w:rsidR="0000551E" w:rsidRPr="009D0844" w:rsidRDefault="0000551E" w:rsidP="00337DDA">
            <w:pPr>
              <w:rPr>
                <w:sz w:val="20"/>
                <w:szCs w:val="20"/>
              </w:rPr>
            </w:pPr>
            <w:proofErr w:type="gramStart"/>
            <w:r w:rsidRPr="009D0844">
              <w:rPr>
                <w:sz w:val="20"/>
                <w:szCs w:val="20"/>
              </w:rPr>
              <w:t xml:space="preserve">Normální  </w:t>
            </w:r>
            <w:r w:rsidR="00876B57" w:rsidRPr="009D0844">
              <w:rPr>
                <w:rFonts w:ascii="MS Gothic" w:eastAsia="MS Gothic" w:hAnsi="MS Gothic" w:hint="eastAsia"/>
                <w:sz w:val="20"/>
                <w:szCs w:val="20"/>
              </w:rPr>
              <w:t>☒</w:t>
            </w:r>
            <w:proofErr w:type="gramEnd"/>
            <w:r w:rsidRPr="009D0844">
              <w:rPr>
                <w:sz w:val="20"/>
                <w:szCs w:val="20"/>
              </w:rPr>
              <w:t xml:space="preserve">     Urgentní </w:t>
            </w:r>
            <w:r w:rsidR="00876B57" w:rsidRPr="00290A21">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21EDE5E5" w14:textId="77777777" w:rsidR="0000551E" w:rsidRPr="009D0844" w:rsidRDefault="0000551E" w:rsidP="00337DDA">
            <w:pPr>
              <w:rPr>
                <w:b/>
                <w:szCs w:val="22"/>
              </w:rPr>
            </w:pPr>
            <w:r w:rsidRPr="009D0844">
              <w:rPr>
                <w:b/>
                <w:szCs w:val="22"/>
              </w:rPr>
              <w:t>Priorita</w:t>
            </w:r>
            <w:r w:rsidRPr="009D0844">
              <w:rPr>
                <w:szCs w:val="22"/>
              </w:rPr>
              <w:endnoteReference w:id="6"/>
            </w:r>
            <w:r w:rsidRPr="009D0844">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3E994F98" w14:textId="77777777" w:rsidR="0000551E" w:rsidRPr="009D0844" w:rsidRDefault="0000551E" w:rsidP="00337DDA">
            <w:pPr>
              <w:rPr>
                <w:sz w:val="20"/>
                <w:szCs w:val="20"/>
              </w:rPr>
            </w:pPr>
            <w:proofErr w:type="gramStart"/>
            <w:r w:rsidRPr="009D0844">
              <w:rPr>
                <w:sz w:val="20"/>
                <w:szCs w:val="20"/>
              </w:rPr>
              <w:t xml:space="preserve">Vysoká  </w:t>
            </w:r>
            <w:r w:rsidR="006F514F" w:rsidRPr="009D0844">
              <w:rPr>
                <w:rFonts w:ascii="MS Gothic" w:eastAsia="MS Gothic" w:hAnsi="MS Gothic" w:hint="eastAsia"/>
                <w:sz w:val="20"/>
                <w:szCs w:val="20"/>
              </w:rPr>
              <w:t>☒</w:t>
            </w:r>
            <w:proofErr w:type="gramEnd"/>
            <w:r w:rsidRPr="009D0844">
              <w:rPr>
                <w:sz w:val="20"/>
                <w:szCs w:val="20"/>
              </w:rPr>
              <w:t xml:space="preserve">  Střední  </w:t>
            </w:r>
            <w:r w:rsidR="006F514F" w:rsidRPr="009D0844">
              <w:rPr>
                <w:rFonts w:ascii="MS Gothic" w:hAnsi="MS Gothic" w:hint="eastAsia"/>
                <w:sz w:val="20"/>
              </w:rPr>
              <w:t>☐</w:t>
            </w:r>
            <w:r w:rsidRPr="009D0844">
              <w:rPr>
                <w:sz w:val="20"/>
                <w:szCs w:val="20"/>
              </w:rPr>
              <w:t xml:space="preserve">   Nízká </w:t>
            </w:r>
            <w:r w:rsidRPr="009D0844">
              <w:rPr>
                <w:rFonts w:ascii="Segoe UI Symbol" w:eastAsia="MS Gothic" w:hAnsi="Segoe UI Symbol" w:cs="Segoe UI Symbol"/>
                <w:sz w:val="20"/>
                <w:szCs w:val="20"/>
              </w:rPr>
              <w:t>☐</w:t>
            </w:r>
          </w:p>
        </w:tc>
      </w:tr>
    </w:tbl>
    <w:p w14:paraId="057F0D4F"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EB2480" w:rsidRPr="006C3557" w14:paraId="56174508" w14:textId="77777777" w:rsidTr="00110ED2">
        <w:tc>
          <w:tcPr>
            <w:tcW w:w="983" w:type="dxa"/>
            <w:vMerge w:val="restart"/>
            <w:tcBorders>
              <w:top w:val="single" w:sz="8" w:space="0" w:color="auto"/>
              <w:left w:val="single" w:sz="8" w:space="0" w:color="auto"/>
            </w:tcBorders>
            <w:shd w:val="clear" w:color="auto" w:fill="auto"/>
            <w:vAlign w:val="center"/>
          </w:tcPr>
          <w:p w14:paraId="762E4618" w14:textId="77777777" w:rsidR="00EB2480" w:rsidRPr="00290A21" w:rsidRDefault="00EB2480" w:rsidP="00290A21">
            <w:pPr>
              <w:rPr>
                <w:szCs w:val="22"/>
              </w:rPr>
            </w:pPr>
            <w:r w:rsidRPr="00290A21">
              <w:rPr>
                <w:b/>
                <w:szCs w:val="22"/>
              </w:rPr>
              <w:t>Oblas</w:t>
            </w:r>
            <w:r w:rsidRPr="00290A21">
              <w:rPr>
                <w:szCs w:val="22"/>
              </w:rPr>
              <w:t>t</w:t>
            </w:r>
            <w:r w:rsidRPr="00290A21">
              <w:rPr>
                <w:b/>
                <w:szCs w:val="22"/>
              </w:rPr>
              <w:t>:</w:t>
            </w:r>
          </w:p>
        </w:tc>
        <w:tc>
          <w:tcPr>
            <w:tcW w:w="1911" w:type="dxa"/>
            <w:vMerge w:val="restart"/>
            <w:tcBorders>
              <w:top w:val="single" w:sz="8" w:space="0" w:color="auto"/>
            </w:tcBorders>
            <w:shd w:val="clear" w:color="auto" w:fill="auto"/>
            <w:vAlign w:val="center"/>
          </w:tcPr>
          <w:p w14:paraId="684401F9" w14:textId="77777777" w:rsidR="00EB2480" w:rsidRPr="00290A21" w:rsidRDefault="00EB2480" w:rsidP="00290A21">
            <w:pPr>
              <w:rPr>
                <w:szCs w:val="22"/>
              </w:rPr>
            </w:pPr>
            <w:proofErr w:type="gramStart"/>
            <w:r w:rsidRPr="00290A21">
              <w:rPr>
                <w:szCs w:val="22"/>
              </w:rPr>
              <w:t xml:space="preserve">Aplikace  </w:t>
            </w:r>
            <w:r w:rsidRPr="00290A21">
              <w:rPr>
                <w:rFonts w:ascii="MS Gothic" w:eastAsia="MS Gothic" w:hAnsi="MS Gothic" w:hint="eastAsia"/>
                <w:szCs w:val="22"/>
              </w:rPr>
              <w:t>☒</w:t>
            </w:r>
            <w:proofErr w:type="gramEnd"/>
            <w:r w:rsidRPr="00290A21">
              <w:rPr>
                <w:szCs w:val="22"/>
              </w:rPr>
              <w:t xml:space="preserve">       </w:t>
            </w:r>
          </w:p>
        </w:tc>
        <w:tc>
          <w:tcPr>
            <w:tcW w:w="1491" w:type="dxa"/>
            <w:tcBorders>
              <w:top w:val="single" w:sz="8" w:space="0" w:color="auto"/>
            </w:tcBorders>
            <w:shd w:val="clear" w:color="auto" w:fill="auto"/>
            <w:vAlign w:val="center"/>
          </w:tcPr>
          <w:p w14:paraId="140CA605" w14:textId="77777777" w:rsidR="00EB2480" w:rsidRPr="00290A21" w:rsidRDefault="00EB2480" w:rsidP="00290A21">
            <w:pPr>
              <w:rPr>
                <w:szCs w:val="22"/>
              </w:rPr>
            </w:pPr>
            <w:r w:rsidRPr="00290A21">
              <w:rPr>
                <w:b/>
                <w:szCs w:val="22"/>
              </w:rPr>
              <w:t>Zkratka</w:t>
            </w:r>
            <w:r w:rsidRPr="00290A21">
              <w:rPr>
                <w:szCs w:val="22"/>
              </w:rPr>
              <w:endnoteReference w:id="7"/>
            </w:r>
            <w:r w:rsidRPr="00290A21">
              <w:rPr>
                <w:b/>
                <w:szCs w:val="22"/>
              </w:rPr>
              <w:t>:</w:t>
            </w:r>
            <w:r w:rsidRPr="00290A21">
              <w:rPr>
                <w:szCs w:val="22"/>
              </w:rPr>
              <w:t xml:space="preserve"> </w:t>
            </w:r>
          </w:p>
        </w:tc>
        <w:tc>
          <w:tcPr>
            <w:tcW w:w="1654" w:type="dxa"/>
            <w:tcBorders>
              <w:top w:val="single" w:sz="8" w:space="0" w:color="auto"/>
            </w:tcBorders>
            <w:shd w:val="clear" w:color="auto" w:fill="auto"/>
            <w:vAlign w:val="center"/>
          </w:tcPr>
          <w:p w14:paraId="4449CB42" w14:textId="77777777" w:rsidR="00EB2480" w:rsidRPr="00290A21" w:rsidRDefault="00C72F0A" w:rsidP="00290A21">
            <w:pPr>
              <w:rPr>
                <w:szCs w:val="22"/>
              </w:rPr>
            </w:pPr>
            <w:r>
              <w:rPr>
                <w:szCs w:val="22"/>
              </w:rPr>
              <w:t>EPH</w:t>
            </w:r>
          </w:p>
        </w:tc>
        <w:tc>
          <w:tcPr>
            <w:tcW w:w="897" w:type="dxa"/>
            <w:tcBorders>
              <w:top w:val="single" w:sz="8" w:space="0" w:color="auto"/>
            </w:tcBorders>
            <w:shd w:val="clear" w:color="auto" w:fill="auto"/>
            <w:vAlign w:val="center"/>
          </w:tcPr>
          <w:p w14:paraId="5E077AB7" w14:textId="77777777" w:rsidR="00EB2480" w:rsidRPr="00290A21" w:rsidRDefault="00EB2480" w:rsidP="00290A21">
            <w:pPr>
              <w:rPr>
                <w:szCs w:val="22"/>
                <w:highlight w:val="yellow"/>
              </w:rPr>
            </w:pPr>
            <w:r w:rsidRPr="00290A21">
              <w:rPr>
                <w:szCs w:val="22"/>
              </w:rPr>
              <w:t xml:space="preserve">Verze: </w:t>
            </w:r>
          </w:p>
        </w:tc>
        <w:tc>
          <w:tcPr>
            <w:tcW w:w="2982" w:type="dxa"/>
            <w:tcBorders>
              <w:top w:val="single" w:sz="8" w:space="0" w:color="auto"/>
              <w:right w:val="single" w:sz="8" w:space="0" w:color="auto"/>
            </w:tcBorders>
            <w:shd w:val="clear" w:color="auto" w:fill="auto"/>
            <w:vAlign w:val="center"/>
          </w:tcPr>
          <w:p w14:paraId="5FFBB338" w14:textId="77777777" w:rsidR="00EB2480" w:rsidRPr="00290A21" w:rsidRDefault="00EB2480" w:rsidP="00290A21">
            <w:pPr>
              <w:rPr>
                <w:szCs w:val="22"/>
                <w:highlight w:val="yellow"/>
              </w:rPr>
            </w:pPr>
          </w:p>
        </w:tc>
      </w:tr>
      <w:tr w:rsidR="00EB2480" w:rsidRPr="006C3557" w14:paraId="0BDAFFB5" w14:textId="77777777" w:rsidTr="00110ED2">
        <w:tc>
          <w:tcPr>
            <w:tcW w:w="983" w:type="dxa"/>
            <w:vMerge/>
            <w:tcBorders>
              <w:left w:val="single" w:sz="8" w:space="0" w:color="auto"/>
            </w:tcBorders>
            <w:shd w:val="clear" w:color="auto" w:fill="auto"/>
            <w:vAlign w:val="center"/>
          </w:tcPr>
          <w:p w14:paraId="55C02E01" w14:textId="77777777" w:rsidR="00EB2480" w:rsidRPr="00290A21" w:rsidRDefault="00EB2480" w:rsidP="00290A21">
            <w:pPr>
              <w:rPr>
                <w:szCs w:val="22"/>
              </w:rPr>
            </w:pPr>
          </w:p>
        </w:tc>
        <w:tc>
          <w:tcPr>
            <w:tcW w:w="1911" w:type="dxa"/>
            <w:vMerge/>
            <w:tcBorders>
              <w:bottom w:val="dotted" w:sz="4" w:space="0" w:color="auto"/>
            </w:tcBorders>
            <w:shd w:val="clear" w:color="auto" w:fill="auto"/>
            <w:vAlign w:val="center"/>
          </w:tcPr>
          <w:p w14:paraId="48B1BDFF" w14:textId="77777777" w:rsidR="00EB2480" w:rsidRPr="00290A21" w:rsidRDefault="00EB2480" w:rsidP="00290A21">
            <w:pPr>
              <w:rPr>
                <w:szCs w:val="22"/>
              </w:rPr>
            </w:pPr>
          </w:p>
        </w:tc>
        <w:tc>
          <w:tcPr>
            <w:tcW w:w="1491" w:type="dxa"/>
            <w:tcBorders>
              <w:bottom w:val="dotted" w:sz="4" w:space="0" w:color="auto"/>
            </w:tcBorders>
            <w:shd w:val="clear" w:color="auto" w:fill="auto"/>
            <w:vAlign w:val="center"/>
          </w:tcPr>
          <w:p w14:paraId="65D2AD1C" w14:textId="77777777" w:rsidR="00EB2480" w:rsidRPr="00290A21" w:rsidRDefault="00EB2480" w:rsidP="00290A21">
            <w:pPr>
              <w:rPr>
                <w:szCs w:val="22"/>
              </w:rPr>
            </w:pPr>
            <w:r w:rsidRPr="00290A21">
              <w:rPr>
                <w:b/>
                <w:szCs w:val="22"/>
              </w:rPr>
              <w:t>Typ požadavku:</w:t>
            </w:r>
            <w:r w:rsidRPr="00290A2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5E480454" w14:textId="77777777" w:rsidR="00EB2480" w:rsidRPr="00290A21" w:rsidRDefault="00EB2480" w:rsidP="00290A21">
            <w:pPr>
              <w:rPr>
                <w:sz w:val="20"/>
                <w:szCs w:val="20"/>
              </w:rPr>
            </w:pPr>
            <w:r w:rsidRPr="00290A21">
              <w:rPr>
                <w:sz w:val="20"/>
                <w:szCs w:val="20"/>
              </w:rPr>
              <w:t xml:space="preserve">Legislativní </w:t>
            </w:r>
            <w:r w:rsidRPr="00290A21">
              <w:rPr>
                <w:rFonts w:ascii="MS Gothic" w:eastAsia="MS Gothic" w:hAnsi="MS Gothic" w:hint="eastAsia"/>
                <w:sz w:val="20"/>
                <w:szCs w:val="20"/>
              </w:rPr>
              <w:t>☒</w:t>
            </w:r>
            <w:r w:rsidRPr="00290A21">
              <w:rPr>
                <w:sz w:val="20"/>
                <w:szCs w:val="20"/>
              </w:rPr>
              <w:t xml:space="preserve">   Zlepšení </w:t>
            </w:r>
            <w:r w:rsidRPr="00290A21">
              <w:rPr>
                <w:rFonts w:ascii="MS Gothic" w:eastAsia="MS Gothic" w:hAnsi="MS Gothic" w:hint="eastAsia"/>
                <w:sz w:val="20"/>
                <w:szCs w:val="20"/>
              </w:rPr>
              <w:t>☐</w:t>
            </w:r>
            <w:r w:rsidRPr="00290A21">
              <w:rPr>
                <w:sz w:val="20"/>
                <w:szCs w:val="20"/>
              </w:rPr>
              <w:t xml:space="preserve">   Bezpečnost </w:t>
            </w:r>
            <w:r w:rsidRPr="00290A21">
              <w:rPr>
                <w:rFonts w:ascii="MS Gothic" w:eastAsia="MS Gothic" w:hAnsi="MS Gothic" w:hint="eastAsia"/>
                <w:sz w:val="20"/>
                <w:szCs w:val="20"/>
              </w:rPr>
              <w:t>☐</w:t>
            </w:r>
          </w:p>
        </w:tc>
      </w:tr>
      <w:tr w:rsidR="00EB2480" w:rsidRPr="006C3557" w14:paraId="7DE869E1" w14:textId="77777777" w:rsidTr="00110ED2">
        <w:tc>
          <w:tcPr>
            <w:tcW w:w="983" w:type="dxa"/>
            <w:vMerge/>
            <w:tcBorders>
              <w:left w:val="single" w:sz="8" w:space="0" w:color="auto"/>
              <w:bottom w:val="single" w:sz="8" w:space="0" w:color="auto"/>
            </w:tcBorders>
            <w:shd w:val="clear" w:color="auto" w:fill="auto"/>
            <w:vAlign w:val="center"/>
          </w:tcPr>
          <w:p w14:paraId="6B907986" w14:textId="77777777" w:rsidR="00EB2480" w:rsidRPr="00290A21" w:rsidRDefault="00EB2480" w:rsidP="00290A21">
            <w:pPr>
              <w:rPr>
                <w:szCs w:val="22"/>
              </w:rPr>
            </w:pPr>
          </w:p>
        </w:tc>
        <w:tc>
          <w:tcPr>
            <w:tcW w:w="1911" w:type="dxa"/>
            <w:tcBorders>
              <w:top w:val="dotted" w:sz="4" w:space="0" w:color="auto"/>
              <w:bottom w:val="single" w:sz="8" w:space="0" w:color="auto"/>
            </w:tcBorders>
            <w:shd w:val="clear" w:color="auto" w:fill="auto"/>
            <w:vAlign w:val="center"/>
          </w:tcPr>
          <w:p w14:paraId="2093016B" w14:textId="77777777" w:rsidR="00EB2480" w:rsidRPr="00290A21" w:rsidRDefault="00EB2480" w:rsidP="00290A21">
            <w:pPr>
              <w:rPr>
                <w:szCs w:val="22"/>
              </w:rPr>
            </w:pPr>
            <w:proofErr w:type="gramStart"/>
            <w:r w:rsidRPr="00290A21">
              <w:rPr>
                <w:szCs w:val="22"/>
              </w:rPr>
              <w:t xml:space="preserve">Infrastruktura  </w:t>
            </w:r>
            <w:r w:rsidRPr="00290A21">
              <w:rPr>
                <w:rFonts w:ascii="MS Gothic" w:eastAsia="MS Gothic" w:hAnsi="MS Gothic" w:hint="eastAsia"/>
                <w:szCs w:val="22"/>
              </w:rPr>
              <w:t>☐</w:t>
            </w:r>
            <w:proofErr w:type="gramEnd"/>
          </w:p>
        </w:tc>
        <w:tc>
          <w:tcPr>
            <w:tcW w:w="1491" w:type="dxa"/>
            <w:tcBorders>
              <w:top w:val="dotted" w:sz="4" w:space="0" w:color="auto"/>
              <w:bottom w:val="single" w:sz="8" w:space="0" w:color="auto"/>
            </w:tcBorders>
            <w:shd w:val="clear" w:color="auto" w:fill="auto"/>
            <w:vAlign w:val="center"/>
          </w:tcPr>
          <w:p w14:paraId="42AA238A" w14:textId="77777777" w:rsidR="00EB2480" w:rsidRPr="00290A21" w:rsidRDefault="00EB2480" w:rsidP="00290A21">
            <w:pPr>
              <w:rPr>
                <w:szCs w:val="22"/>
              </w:rPr>
            </w:pPr>
            <w:r w:rsidRPr="00290A2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14222B6B" w14:textId="77777777" w:rsidR="00EB2480" w:rsidRPr="00290A21" w:rsidRDefault="00EB2480" w:rsidP="00290A21">
            <w:pPr>
              <w:rPr>
                <w:sz w:val="20"/>
                <w:szCs w:val="20"/>
                <w:highlight w:val="yellow"/>
              </w:rPr>
            </w:pPr>
            <w:r w:rsidRPr="00290A21">
              <w:rPr>
                <w:sz w:val="20"/>
                <w:szCs w:val="20"/>
              </w:rPr>
              <w:t xml:space="preserve">Nová komponenta </w:t>
            </w:r>
            <w:r w:rsidR="00C72F0A" w:rsidRPr="00290A21">
              <w:rPr>
                <w:rFonts w:ascii="MS Gothic" w:eastAsia="MS Gothic" w:hAnsi="MS Gothic" w:hint="eastAsia"/>
                <w:sz w:val="20"/>
                <w:szCs w:val="20"/>
              </w:rPr>
              <w:t>☒</w:t>
            </w:r>
            <w:r w:rsidRPr="00290A21">
              <w:rPr>
                <w:sz w:val="20"/>
                <w:szCs w:val="20"/>
              </w:rPr>
              <w:t xml:space="preserve">   Upgrade </w:t>
            </w:r>
            <w:r w:rsidRPr="00290A21">
              <w:rPr>
                <w:rFonts w:ascii="MS Gothic" w:eastAsia="MS Gothic" w:hAnsi="MS Gothic" w:hint="eastAsia"/>
                <w:sz w:val="20"/>
                <w:szCs w:val="20"/>
              </w:rPr>
              <w:t>☐</w:t>
            </w:r>
            <w:r w:rsidRPr="00290A21">
              <w:rPr>
                <w:sz w:val="20"/>
                <w:szCs w:val="20"/>
              </w:rPr>
              <w:t xml:space="preserve"> Zlepšení    </w:t>
            </w:r>
            <w:r w:rsidR="00876B57" w:rsidRPr="00290A21">
              <w:rPr>
                <w:rFonts w:ascii="MS Gothic" w:eastAsia="MS Gothic" w:hAnsi="MS Gothic" w:hint="eastAsia"/>
                <w:sz w:val="20"/>
                <w:szCs w:val="20"/>
              </w:rPr>
              <w:t>☐</w:t>
            </w:r>
          </w:p>
        </w:tc>
      </w:tr>
    </w:tbl>
    <w:p w14:paraId="5832DDEA"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53"/>
        <w:gridCol w:w="1418"/>
        <w:gridCol w:w="2551"/>
        <w:gridCol w:w="1418"/>
        <w:gridCol w:w="2278"/>
      </w:tblGrid>
      <w:tr w:rsidR="00110ED2" w:rsidRPr="006C3557" w14:paraId="31912DCA" w14:textId="77777777" w:rsidTr="0073136A">
        <w:tc>
          <w:tcPr>
            <w:tcW w:w="2253" w:type="dxa"/>
            <w:tcBorders>
              <w:top w:val="single" w:sz="8" w:space="0" w:color="auto"/>
              <w:left w:val="single" w:sz="8" w:space="0" w:color="auto"/>
              <w:bottom w:val="single" w:sz="8" w:space="0" w:color="auto"/>
            </w:tcBorders>
            <w:shd w:val="clear" w:color="auto" w:fill="auto"/>
            <w:vAlign w:val="center"/>
          </w:tcPr>
          <w:p w14:paraId="3278398B" w14:textId="77777777" w:rsidR="0000551E" w:rsidRPr="009D0844" w:rsidRDefault="0000551E" w:rsidP="00153C10">
            <w:pPr>
              <w:rPr>
                <w:b/>
                <w:szCs w:val="22"/>
              </w:rPr>
            </w:pPr>
            <w:r w:rsidRPr="009D0844">
              <w:rPr>
                <w:b/>
                <w:szCs w:val="22"/>
              </w:rPr>
              <w:t>Role</w:t>
            </w:r>
          </w:p>
        </w:tc>
        <w:tc>
          <w:tcPr>
            <w:tcW w:w="1418" w:type="dxa"/>
            <w:tcBorders>
              <w:top w:val="single" w:sz="8" w:space="0" w:color="auto"/>
              <w:bottom w:val="single" w:sz="8" w:space="0" w:color="auto"/>
            </w:tcBorders>
            <w:shd w:val="clear" w:color="auto" w:fill="auto"/>
            <w:vAlign w:val="center"/>
          </w:tcPr>
          <w:p w14:paraId="494453AD" w14:textId="77777777" w:rsidR="0000551E" w:rsidRPr="009D0844" w:rsidRDefault="0000551E" w:rsidP="004C5DDA">
            <w:pPr>
              <w:rPr>
                <w:b/>
                <w:szCs w:val="22"/>
              </w:rPr>
            </w:pPr>
            <w:r w:rsidRPr="009D0844">
              <w:rPr>
                <w:b/>
                <w:szCs w:val="22"/>
              </w:rPr>
              <w:t xml:space="preserve">Jméno </w:t>
            </w:r>
          </w:p>
        </w:tc>
        <w:tc>
          <w:tcPr>
            <w:tcW w:w="2551" w:type="dxa"/>
            <w:tcBorders>
              <w:top w:val="single" w:sz="8" w:space="0" w:color="auto"/>
              <w:bottom w:val="single" w:sz="8" w:space="0" w:color="auto"/>
            </w:tcBorders>
            <w:shd w:val="clear" w:color="auto" w:fill="auto"/>
            <w:vAlign w:val="center"/>
          </w:tcPr>
          <w:p w14:paraId="5D4AE6F1" w14:textId="77777777" w:rsidR="0000551E" w:rsidRPr="009D0844" w:rsidRDefault="0000551E" w:rsidP="00153C10">
            <w:pPr>
              <w:rPr>
                <w:b/>
                <w:szCs w:val="22"/>
              </w:rPr>
            </w:pPr>
            <w:r w:rsidRPr="009D0844">
              <w:rPr>
                <w:b/>
                <w:szCs w:val="22"/>
              </w:rPr>
              <w:t>Organizace /útvar</w:t>
            </w:r>
          </w:p>
        </w:tc>
        <w:tc>
          <w:tcPr>
            <w:tcW w:w="1418" w:type="dxa"/>
            <w:tcBorders>
              <w:top w:val="single" w:sz="8" w:space="0" w:color="auto"/>
              <w:bottom w:val="single" w:sz="8" w:space="0" w:color="auto"/>
            </w:tcBorders>
            <w:shd w:val="clear" w:color="auto" w:fill="auto"/>
            <w:vAlign w:val="center"/>
          </w:tcPr>
          <w:p w14:paraId="1D8A9640" w14:textId="77777777" w:rsidR="0000551E" w:rsidRPr="009D0844" w:rsidRDefault="0000551E" w:rsidP="004C5DDA">
            <w:pPr>
              <w:rPr>
                <w:b/>
                <w:szCs w:val="22"/>
              </w:rPr>
            </w:pPr>
            <w:r w:rsidRPr="009D0844">
              <w:rPr>
                <w:b/>
                <w:szCs w:val="22"/>
              </w:rPr>
              <w:t>Telefon</w:t>
            </w:r>
          </w:p>
        </w:tc>
        <w:tc>
          <w:tcPr>
            <w:tcW w:w="2278" w:type="dxa"/>
            <w:tcBorders>
              <w:top w:val="single" w:sz="8" w:space="0" w:color="auto"/>
              <w:bottom w:val="single" w:sz="8" w:space="0" w:color="auto"/>
              <w:right w:val="single" w:sz="8" w:space="0" w:color="auto"/>
            </w:tcBorders>
            <w:shd w:val="clear" w:color="auto" w:fill="auto"/>
            <w:vAlign w:val="center"/>
          </w:tcPr>
          <w:p w14:paraId="68B2E1E6" w14:textId="77777777" w:rsidR="0000551E" w:rsidRPr="009D0844" w:rsidRDefault="0000551E" w:rsidP="00153C10">
            <w:pPr>
              <w:rPr>
                <w:b/>
                <w:szCs w:val="22"/>
              </w:rPr>
            </w:pPr>
            <w:r w:rsidRPr="009D0844">
              <w:rPr>
                <w:b/>
                <w:szCs w:val="22"/>
              </w:rPr>
              <w:t>E-mail</w:t>
            </w:r>
          </w:p>
        </w:tc>
      </w:tr>
      <w:tr w:rsidR="00110ED2" w:rsidRPr="006C3557" w14:paraId="481F00D4" w14:textId="77777777" w:rsidTr="0073136A">
        <w:trPr>
          <w:trHeight w:hRule="exact" w:val="20"/>
        </w:trPr>
        <w:tc>
          <w:tcPr>
            <w:tcW w:w="2253" w:type="dxa"/>
            <w:tcBorders>
              <w:top w:val="single" w:sz="8" w:space="0" w:color="auto"/>
              <w:left w:val="dotted" w:sz="4" w:space="0" w:color="auto"/>
            </w:tcBorders>
            <w:shd w:val="clear" w:color="auto" w:fill="auto"/>
            <w:vAlign w:val="center"/>
          </w:tcPr>
          <w:p w14:paraId="2996742D" w14:textId="77777777" w:rsidR="0000551E" w:rsidRPr="009D0844" w:rsidRDefault="0000551E" w:rsidP="004C5DDA">
            <w:pPr>
              <w:rPr>
                <w:b/>
                <w:szCs w:val="22"/>
              </w:rPr>
            </w:pPr>
          </w:p>
        </w:tc>
        <w:tc>
          <w:tcPr>
            <w:tcW w:w="1418" w:type="dxa"/>
            <w:tcBorders>
              <w:top w:val="single" w:sz="8" w:space="0" w:color="auto"/>
            </w:tcBorders>
            <w:shd w:val="clear" w:color="auto" w:fill="auto"/>
            <w:vAlign w:val="center"/>
          </w:tcPr>
          <w:p w14:paraId="0BF3BB5E" w14:textId="77777777" w:rsidR="0000551E" w:rsidRPr="009D0844" w:rsidRDefault="0000551E" w:rsidP="004C5DDA">
            <w:pPr>
              <w:rPr>
                <w:sz w:val="20"/>
                <w:szCs w:val="20"/>
              </w:rPr>
            </w:pPr>
          </w:p>
        </w:tc>
        <w:tc>
          <w:tcPr>
            <w:tcW w:w="2551" w:type="dxa"/>
            <w:tcBorders>
              <w:top w:val="single" w:sz="8" w:space="0" w:color="auto"/>
            </w:tcBorders>
            <w:shd w:val="clear" w:color="auto" w:fill="auto"/>
            <w:vAlign w:val="center"/>
          </w:tcPr>
          <w:p w14:paraId="2067B089" w14:textId="77777777" w:rsidR="0000551E" w:rsidRPr="009D0844" w:rsidRDefault="0000551E" w:rsidP="004C5DDA">
            <w:pPr>
              <w:rPr>
                <w:b/>
                <w:sz w:val="20"/>
                <w:szCs w:val="20"/>
              </w:rPr>
            </w:pPr>
          </w:p>
        </w:tc>
        <w:tc>
          <w:tcPr>
            <w:tcW w:w="1418" w:type="dxa"/>
            <w:tcBorders>
              <w:top w:val="single" w:sz="8" w:space="0" w:color="auto"/>
            </w:tcBorders>
            <w:shd w:val="clear" w:color="auto" w:fill="auto"/>
            <w:vAlign w:val="center"/>
          </w:tcPr>
          <w:p w14:paraId="44EC31C4" w14:textId="77777777" w:rsidR="0000551E" w:rsidRPr="009D0844" w:rsidRDefault="0000551E" w:rsidP="004C5DDA">
            <w:pPr>
              <w:rPr>
                <w:sz w:val="20"/>
                <w:szCs w:val="20"/>
              </w:rPr>
            </w:pPr>
          </w:p>
        </w:tc>
        <w:tc>
          <w:tcPr>
            <w:tcW w:w="2278" w:type="dxa"/>
            <w:tcBorders>
              <w:top w:val="single" w:sz="8" w:space="0" w:color="auto"/>
              <w:right w:val="dotted" w:sz="4" w:space="0" w:color="auto"/>
            </w:tcBorders>
            <w:shd w:val="clear" w:color="auto" w:fill="auto"/>
            <w:vAlign w:val="center"/>
          </w:tcPr>
          <w:p w14:paraId="343DF64F" w14:textId="77777777" w:rsidR="0000551E" w:rsidRPr="009D0844" w:rsidRDefault="0000551E" w:rsidP="004C5DDA">
            <w:pPr>
              <w:rPr>
                <w:sz w:val="20"/>
                <w:szCs w:val="20"/>
              </w:rPr>
            </w:pPr>
          </w:p>
        </w:tc>
      </w:tr>
      <w:tr w:rsidR="00C51CB5" w:rsidRPr="006C3557" w14:paraId="7C883774" w14:textId="77777777" w:rsidTr="0073136A">
        <w:tc>
          <w:tcPr>
            <w:tcW w:w="2253" w:type="dxa"/>
            <w:tcBorders>
              <w:top w:val="dotted" w:sz="4" w:space="0" w:color="auto"/>
              <w:left w:val="dotted" w:sz="4" w:space="0" w:color="auto"/>
              <w:bottom w:val="dotted" w:sz="4" w:space="0" w:color="auto"/>
              <w:right w:val="dotted" w:sz="4" w:space="0" w:color="auto"/>
            </w:tcBorders>
            <w:shd w:val="clear" w:color="auto" w:fill="auto"/>
            <w:vAlign w:val="center"/>
          </w:tcPr>
          <w:p w14:paraId="686F8D78" w14:textId="77777777" w:rsidR="00C51CB5" w:rsidRPr="009D0844" w:rsidRDefault="00C51CB5" w:rsidP="00C51CB5">
            <w:pPr>
              <w:rPr>
                <w:szCs w:val="22"/>
              </w:rPr>
            </w:pPr>
            <w:r>
              <w:rPr>
                <w:szCs w:val="22"/>
              </w:rPr>
              <w:t>Žadatel/věcný garant</w:t>
            </w:r>
            <w:r w:rsidR="007D344E">
              <w:rPr>
                <w:szCs w:val="22"/>
              </w:rPr>
              <w:t xml:space="preserve"> </w:t>
            </w:r>
            <w:proofErr w:type="spellStart"/>
            <w:r w:rsidR="00C72F0A">
              <w:rPr>
                <w:szCs w:val="22"/>
              </w:rPr>
              <w:t>MZe</w:t>
            </w:r>
            <w:proofErr w:type="spellEnd"/>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1A93273D" w14:textId="77777777" w:rsidR="00C51CB5" w:rsidRPr="009D0844" w:rsidRDefault="00926C58" w:rsidP="00C51CB5">
            <w:pPr>
              <w:jc w:val="center"/>
              <w:rPr>
                <w:sz w:val="20"/>
                <w:szCs w:val="20"/>
              </w:rPr>
            </w:pPr>
            <w:r>
              <w:rPr>
                <w:sz w:val="20"/>
                <w:szCs w:val="20"/>
              </w:rPr>
              <w:t>David Kuna</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1A54FF31" w14:textId="77777777" w:rsidR="00C51CB5" w:rsidRPr="009D0844" w:rsidRDefault="00C72F0A" w:rsidP="00C51CB5">
            <w:pPr>
              <w:jc w:val="center"/>
              <w:rPr>
                <w:b/>
                <w:sz w:val="20"/>
                <w:szCs w:val="20"/>
              </w:rPr>
            </w:pPr>
            <w:proofErr w:type="spellStart"/>
            <w:r>
              <w:rPr>
                <w:sz w:val="20"/>
                <w:szCs w:val="20"/>
              </w:rPr>
              <w:t>Mze</w:t>
            </w:r>
            <w:proofErr w:type="spellEnd"/>
            <w:r>
              <w:rPr>
                <w:sz w:val="20"/>
                <w:szCs w:val="20"/>
              </w:rPr>
              <w:t>/Odbo</w:t>
            </w:r>
            <w:r w:rsidR="00926C58">
              <w:rPr>
                <w:sz w:val="20"/>
                <w:szCs w:val="20"/>
              </w:rPr>
              <w:t xml:space="preserve">r </w:t>
            </w:r>
            <w:r w:rsidR="001D55A8">
              <w:rPr>
                <w:sz w:val="20"/>
                <w:szCs w:val="20"/>
              </w:rPr>
              <w:t>Environmentálních podpor a PRV</w:t>
            </w:r>
            <w:r>
              <w:rPr>
                <w:sz w:val="20"/>
                <w:szCs w:val="20"/>
              </w:rPr>
              <w:t xml:space="preserve"> </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49CEBED6" w14:textId="77777777" w:rsidR="00C51CB5" w:rsidRPr="009D0844" w:rsidRDefault="00C72F0A" w:rsidP="00C51CB5">
            <w:pPr>
              <w:rPr>
                <w:sz w:val="20"/>
                <w:szCs w:val="20"/>
              </w:rPr>
            </w:pPr>
            <w:r>
              <w:rPr>
                <w:sz w:val="20"/>
                <w:szCs w:val="20"/>
              </w:rPr>
              <w:t>221</w:t>
            </w:r>
            <w:r w:rsidR="00196683">
              <w:rPr>
                <w:sz w:val="20"/>
                <w:szCs w:val="20"/>
              </w:rPr>
              <w:t> </w:t>
            </w:r>
            <w:r>
              <w:rPr>
                <w:sz w:val="20"/>
                <w:szCs w:val="20"/>
              </w:rPr>
              <w:t>81</w:t>
            </w:r>
            <w:r w:rsidR="001D55A8">
              <w:rPr>
                <w:sz w:val="20"/>
                <w:szCs w:val="20"/>
              </w:rPr>
              <w:t>2</w:t>
            </w:r>
            <w:r w:rsidR="00196683">
              <w:rPr>
                <w:sz w:val="20"/>
                <w:szCs w:val="20"/>
              </w:rPr>
              <w:t xml:space="preserve"> </w:t>
            </w:r>
            <w:r w:rsidR="001D55A8">
              <w:rPr>
                <w:sz w:val="20"/>
                <w:szCs w:val="20"/>
              </w:rPr>
              <w:t>595</w:t>
            </w:r>
          </w:p>
        </w:tc>
        <w:tc>
          <w:tcPr>
            <w:tcW w:w="2278" w:type="dxa"/>
            <w:tcBorders>
              <w:top w:val="dotted" w:sz="4" w:space="0" w:color="auto"/>
              <w:left w:val="dotted" w:sz="4" w:space="0" w:color="auto"/>
              <w:bottom w:val="dotted" w:sz="4" w:space="0" w:color="auto"/>
              <w:right w:val="dotted" w:sz="4" w:space="0" w:color="auto"/>
            </w:tcBorders>
            <w:shd w:val="clear" w:color="auto" w:fill="auto"/>
            <w:vAlign w:val="center"/>
          </w:tcPr>
          <w:p w14:paraId="1B7BEEE3" w14:textId="77777777" w:rsidR="00C51CB5" w:rsidRPr="00C51CB5" w:rsidRDefault="001D55A8" w:rsidP="00C51CB5">
            <w:r>
              <w:rPr>
                <w:rFonts w:ascii="Verdana" w:hAnsi="Verdana"/>
                <w:color w:val="000000"/>
                <w:sz w:val="18"/>
                <w:szCs w:val="18"/>
                <w:shd w:val="clear" w:color="auto" w:fill="FFFFFF"/>
              </w:rPr>
              <w:t>David.Kuna@mze.cz</w:t>
            </w:r>
          </w:p>
        </w:tc>
      </w:tr>
      <w:tr w:rsidR="00196683" w:rsidRPr="006C3557" w14:paraId="7A975FA2" w14:textId="77777777" w:rsidTr="0073136A">
        <w:tc>
          <w:tcPr>
            <w:tcW w:w="2253" w:type="dxa"/>
            <w:tcBorders>
              <w:left w:val="dotted" w:sz="4" w:space="0" w:color="auto"/>
            </w:tcBorders>
            <w:shd w:val="clear" w:color="auto" w:fill="auto"/>
            <w:vAlign w:val="center"/>
          </w:tcPr>
          <w:p w14:paraId="10C457CD" w14:textId="77777777" w:rsidR="00196683" w:rsidRPr="009D0844" w:rsidRDefault="00196683" w:rsidP="00196683">
            <w:pPr>
              <w:rPr>
                <w:szCs w:val="22"/>
              </w:rPr>
            </w:pPr>
            <w:proofErr w:type="spellStart"/>
            <w:r w:rsidRPr="009D0844">
              <w:rPr>
                <w:szCs w:val="22"/>
              </w:rPr>
              <w:t>Change</w:t>
            </w:r>
            <w:proofErr w:type="spellEnd"/>
            <w:r w:rsidRPr="009D0844">
              <w:rPr>
                <w:szCs w:val="22"/>
              </w:rPr>
              <w:t xml:space="preserve"> koordinátor:</w:t>
            </w:r>
          </w:p>
        </w:tc>
        <w:tc>
          <w:tcPr>
            <w:tcW w:w="1418" w:type="dxa"/>
            <w:shd w:val="clear" w:color="auto" w:fill="auto"/>
            <w:vAlign w:val="center"/>
          </w:tcPr>
          <w:p w14:paraId="57691449" w14:textId="77777777" w:rsidR="00196683" w:rsidRPr="009D0844" w:rsidRDefault="00196683" w:rsidP="00196683">
            <w:pPr>
              <w:jc w:val="center"/>
              <w:rPr>
                <w:sz w:val="20"/>
                <w:szCs w:val="20"/>
              </w:rPr>
            </w:pPr>
            <w:r>
              <w:rPr>
                <w:sz w:val="20"/>
                <w:szCs w:val="20"/>
              </w:rPr>
              <w:t>Jiří Bukovský</w:t>
            </w:r>
          </w:p>
        </w:tc>
        <w:tc>
          <w:tcPr>
            <w:tcW w:w="2551" w:type="dxa"/>
            <w:shd w:val="clear" w:color="auto" w:fill="auto"/>
            <w:vAlign w:val="center"/>
          </w:tcPr>
          <w:p w14:paraId="753C12ED" w14:textId="77777777" w:rsidR="00196683" w:rsidRPr="009D0844" w:rsidRDefault="00196683" w:rsidP="00196683">
            <w:pPr>
              <w:jc w:val="center"/>
              <w:rPr>
                <w:b/>
                <w:sz w:val="20"/>
                <w:szCs w:val="20"/>
              </w:rPr>
            </w:pPr>
            <w:proofErr w:type="spellStart"/>
            <w:r>
              <w:rPr>
                <w:b/>
                <w:sz w:val="20"/>
                <w:szCs w:val="20"/>
              </w:rPr>
              <w:t>Mze</w:t>
            </w:r>
            <w:proofErr w:type="spellEnd"/>
            <w:r>
              <w:rPr>
                <w:b/>
                <w:sz w:val="20"/>
                <w:szCs w:val="20"/>
              </w:rPr>
              <w:t>/Odbor CPR</w:t>
            </w:r>
          </w:p>
        </w:tc>
        <w:tc>
          <w:tcPr>
            <w:tcW w:w="1418" w:type="dxa"/>
            <w:shd w:val="clear" w:color="auto" w:fill="auto"/>
            <w:vAlign w:val="center"/>
          </w:tcPr>
          <w:p w14:paraId="1CAF0935" w14:textId="77777777" w:rsidR="00196683" w:rsidRPr="009D0844" w:rsidRDefault="00196683" w:rsidP="00196683">
            <w:pPr>
              <w:rPr>
                <w:sz w:val="20"/>
                <w:szCs w:val="20"/>
              </w:rPr>
            </w:pPr>
            <w:r>
              <w:rPr>
                <w:sz w:val="20"/>
                <w:szCs w:val="20"/>
              </w:rPr>
              <w:t>221 812 710</w:t>
            </w:r>
          </w:p>
        </w:tc>
        <w:tc>
          <w:tcPr>
            <w:tcW w:w="2278" w:type="dxa"/>
            <w:tcBorders>
              <w:right w:val="dotted" w:sz="4" w:space="0" w:color="auto"/>
            </w:tcBorders>
            <w:shd w:val="clear" w:color="auto" w:fill="auto"/>
            <w:vAlign w:val="center"/>
          </w:tcPr>
          <w:p w14:paraId="0200FA85" w14:textId="77777777" w:rsidR="00196683" w:rsidRPr="009D0844" w:rsidRDefault="00196683" w:rsidP="00196683">
            <w:pPr>
              <w:rPr>
                <w:sz w:val="20"/>
                <w:szCs w:val="20"/>
              </w:rPr>
            </w:pPr>
            <w:r>
              <w:rPr>
                <w:rFonts w:ascii="Verdana" w:hAnsi="Verdana"/>
                <w:color w:val="000000"/>
                <w:sz w:val="18"/>
                <w:szCs w:val="18"/>
                <w:shd w:val="clear" w:color="auto" w:fill="FFFFFF"/>
              </w:rPr>
              <w:t>Jiri.Bukovsky@mze.cz</w:t>
            </w:r>
          </w:p>
        </w:tc>
      </w:tr>
      <w:tr w:rsidR="00196683" w:rsidRPr="006C3557" w14:paraId="3D3DA3CE" w14:textId="77777777" w:rsidTr="0073136A">
        <w:tc>
          <w:tcPr>
            <w:tcW w:w="2253" w:type="dxa"/>
            <w:tcBorders>
              <w:left w:val="dotted" w:sz="4" w:space="0" w:color="auto"/>
            </w:tcBorders>
            <w:shd w:val="clear" w:color="auto" w:fill="auto"/>
            <w:vAlign w:val="center"/>
          </w:tcPr>
          <w:p w14:paraId="1C3CC736" w14:textId="77777777" w:rsidR="00196683" w:rsidRPr="009D0844" w:rsidRDefault="00196683" w:rsidP="00196683">
            <w:pPr>
              <w:rPr>
                <w:szCs w:val="22"/>
              </w:rPr>
            </w:pPr>
            <w:r w:rsidRPr="009D0844">
              <w:rPr>
                <w:szCs w:val="22"/>
              </w:rPr>
              <w:t>Poskytovatel / dodavatel:</w:t>
            </w:r>
          </w:p>
        </w:tc>
        <w:tc>
          <w:tcPr>
            <w:tcW w:w="1418" w:type="dxa"/>
            <w:shd w:val="clear" w:color="auto" w:fill="auto"/>
            <w:vAlign w:val="center"/>
          </w:tcPr>
          <w:p w14:paraId="62B328AC" w14:textId="19A8FE50" w:rsidR="00196683" w:rsidRPr="009D0844" w:rsidRDefault="00B97294" w:rsidP="00196683">
            <w:pPr>
              <w:jc w:val="center"/>
              <w:rPr>
                <w:sz w:val="20"/>
                <w:szCs w:val="20"/>
              </w:rPr>
            </w:pPr>
            <w:proofErr w:type="spellStart"/>
            <w:r>
              <w:rPr>
                <w:sz w:val="20"/>
                <w:szCs w:val="20"/>
              </w:rPr>
              <w:t>xxx</w:t>
            </w:r>
            <w:proofErr w:type="spellEnd"/>
          </w:p>
        </w:tc>
        <w:tc>
          <w:tcPr>
            <w:tcW w:w="2551" w:type="dxa"/>
            <w:shd w:val="clear" w:color="auto" w:fill="auto"/>
            <w:vAlign w:val="center"/>
          </w:tcPr>
          <w:p w14:paraId="0E2C4852" w14:textId="77777777" w:rsidR="00196683" w:rsidRPr="009D0844" w:rsidRDefault="00196683" w:rsidP="00196683">
            <w:pPr>
              <w:jc w:val="center"/>
              <w:rPr>
                <w:b/>
                <w:sz w:val="20"/>
                <w:szCs w:val="20"/>
              </w:rPr>
            </w:pPr>
            <w:r w:rsidRPr="009D0844">
              <w:rPr>
                <w:sz w:val="20"/>
                <w:szCs w:val="20"/>
              </w:rPr>
              <w:t>O</w:t>
            </w:r>
            <w:r w:rsidRPr="009D0844">
              <w:rPr>
                <w:sz w:val="20"/>
                <w:szCs w:val="20"/>
                <w:vertAlign w:val="subscript"/>
              </w:rPr>
              <w:t>2</w:t>
            </w:r>
            <w:r w:rsidRPr="009D0844">
              <w:rPr>
                <w:sz w:val="20"/>
                <w:szCs w:val="20"/>
              </w:rPr>
              <w:t>ITS</w:t>
            </w:r>
          </w:p>
        </w:tc>
        <w:tc>
          <w:tcPr>
            <w:tcW w:w="1418" w:type="dxa"/>
            <w:shd w:val="clear" w:color="auto" w:fill="auto"/>
            <w:vAlign w:val="center"/>
          </w:tcPr>
          <w:p w14:paraId="53DF329A" w14:textId="4E5D3BF4" w:rsidR="00196683" w:rsidRPr="009D0844" w:rsidRDefault="00B97294" w:rsidP="00196683">
            <w:pPr>
              <w:rPr>
                <w:sz w:val="20"/>
                <w:szCs w:val="20"/>
              </w:rPr>
            </w:pPr>
            <w:proofErr w:type="spellStart"/>
            <w:r>
              <w:rPr>
                <w:sz w:val="20"/>
                <w:szCs w:val="20"/>
              </w:rPr>
              <w:t>xxx</w:t>
            </w:r>
            <w:proofErr w:type="spellEnd"/>
          </w:p>
        </w:tc>
        <w:tc>
          <w:tcPr>
            <w:tcW w:w="2278" w:type="dxa"/>
            <w:tcBorders>
              <w:right w:val="dotted" w:sz="4" w:space="0" w:color="auto"/>
            </w:tcBorders>
            <w:shd w:val="clear" w:color="auto" w:fill="auto"/>
            <w:vAlign w:val="center"/>
          </w:tcPr>
          <w:p w14:paraId="34A51C5B" w14:textId="736E41F3" w:rsidR="00196683" w:rsidRPr="009D0844" w:rsidRDefault="00B97294" w:rsidP="00196683">
            <w:pPr>
              <w:rPr>
                <w:sz w:val="20"/>
                <w:szCs w:val="20"/>
              </w:rPr>
            </w:pPr>
            <w:proofErr w:type="spellStart"/>
            <w:r>
              <w:rPr>
                <w:sz w:val="20"/>
                <w:szCs w:val="20"/>
              </w:rPr>
              <w:t>xxx</w:t>
            </w:r>
            <w:proofErr w:type="spellEnd"/>
          </w:p>
        </w:tc>
      </w:tr>
    </w:tbl>
    <w:p w14:paraId="00C1DA06"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35484A5B" w14:textId="77777777" w:rsidTr="00110ED2">
        <w:trPr>
          <w:trHeight w:val="397"/>
        </w:trPr>
        <w:tc>
          <w:tcPr>
            <w:tcW w:w="1681" w:type="dxa"/>
            <w:shd w:val="clear" w:color="auto" w:fill="auto"/>
            <w:vAlign w:val="center"/>
          </w:tcPr>
          <w:p w14:paraId="27D5D6E5" w14:textId="77777777" w:rsidR="0000551E" w:rsidRPr="009D0844" w:rsidRDefault="0000551E" w:rsidP="00712804">
            <w:pPr>
              <w:rPr>
                <w:szCs w:val="22"/>
              </w:rPr>
            </w:pPr>
            <w:r w:rsidRPr="009D0844">
              <w:rPr>
                <w:b/>
                <w:szCs w:val="22"/>
              </w:rPr>
              <w:t>Smlouva č.</w:t>
            </w:r>
            <w:r w:rsidRPr="009D0844">
              <w:rPr>
                <w:szCs w:val="22"/>
              </w:rPr>
              <w:endnoteReference w:id="8"/>
            </w:r>
            <w:r w:rsidRPr="009D0844">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51A1EA4E" w14:textId="77777777" w:rsidR="0000551E" w:rsidRPr="009D0844" w:rsidRDefault="007E4EC0" w:rsidP="003B2D72">
            <w:pPr>
              <w:rPr>
                <w:szCs w:val="22"/>
              </w:rPr>
            </w:pPr>
            <w:r w:rsidRPr="009D0844">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4BA692E1" w14:textId="77777777" w:rsidR="0000551E" w:rsidRPr="009D0844" w:rsidRDefault="0000551E" w:rsidP="003B2D72">
            <w:pPr>
              <w:rPr>
                <w:b/>
                <w:szCs w:val="22"/>
              </w:rPr>
            </w:pPr>
            <w:r w:rsidRPr="009D0844">
              <w:rPr>
                <w:szCs w:val="22"/>
              </w:rPr>
              <w:t>KL:</w:t>
            </w:r>
          </w:p>
        </w:tc>
        <w:tc>
          <w:tcPr>
            <w:tcW w:w="3426" w:type="dxa"/>
            <w:shd w:val="clear" w:color="auto" w:fill="auto"/>
            <w:vAlign w:val="center"/>
          </w:tcPr>
          <w:p w14:paraId="505DB07B" w14:textId="77777777" w:rsidR="0000551E" w:rsidRPr="009D0844" w:rsidRDefault="00B73A7D" w:rsidP="009D0844">
            <w:pPr>
              <w:jc w:val="center"/>
              <w:rPr>
                <w:szCs w:val="22"/>
              </w:rPr>
            </w:pPr>
            <w:r w:rsidRPr="009D0844">
              <w:rPr>
                <w:szCs w:val="22"/>
              </w:rPr>
              <w:t>KL HR-001</w:t>
            </w:r>
          </w:p>
        </w:tc>
      </w:tr>
    </w:tbl>
    <w:p w14:paraId="31595F93" w14:textId="77777777" w:rsidR="0000551E" w:rsidRPr="006C3557" w:rsidRDefault="0000551E">
      <w:pPr>
        <w:rPr>
          <w:rFonts w:cs="Arial"/>
          <w:szCs w:val="22"/>
        </w:rPr>
      </w:pPr>
    </w:p>
    <w:p w14:paraId="4CB44E10" w14:textId="77777777" w:rsidR="0000551E" w:rsidRPr="006C3557" w:rsidRDefault="00F46939" w:rsidP="00712804">
      <w:pPr>
        <w:pStyle w:val="Nadpis1"/>
        <w:tabs>
          <w:tab w:val="clear" w:pos="540"/>
        </w:tabs>
        <w:ind w:left="284" w:hanging="284"/>
        <w:rPr>
          <w:rFonts w:cs="Arial"/>
          <w:sz w:val="22"/>
          <w:szCs w:val="22"/>
        </w:rPr>
      </w:pPr>
      <w:r>
        <w:rPr>
          <w:rFonts w:cs="Arial"/>
          <w:sz w:val="22"/>
          <w:szCs w:val="22"/>
        </w:rPr>
        <w:t>P</w:t>
      </w:r>
      <w:r w:rsidR="0000551E" w:rsidRPr="006C3557">
        <w:rPr>
          <w:rFonts w:cs="Arial"/>
          <w:sz w:val="22"/>
          <w:szCs w:val="22"/>
        </w:rPr>
        <w:t xml:space="preserve">opis </w:t>
      </w:r>
      <w:r w:rsidR="00BE6537">
        <w:rPr>
          <w:rFonts w:cs="Arial"/>
          <w:sz w:val="22"/>
          <w:szCs w:val="22"/>
        </w:rPr>
        <w:t xml:space="preserve">a odůvodnění </w:t>
      </w:r>
      <w:r w:rsidR="0000551E" w:rsidRPr="006C3557">
        <w:rPr>
          <w:rFonts w:cs="Arial"/>
          <w:sz w:val="22"/>
          <w:szCs w:val="22"/>
        </w:rPr>
        <w:t>požadavku</w:t>
      </w:r>
    </w:p>
    <w:p w14:paraId="3C23967A" w14:textId="77777777" w:rsidR="0000551E" w:rsidRDefault="0000551E" w:rsidP="00CC7ED5">
      <w:pPr>
        <w:pStyle w:val="Nadpis2"/>
      </w:pPr>
      <w:r w:rsidRPr="006C3557">
        <w:t>Popis požadavku</w:t>
      </w:r>
    </w:p>
    <w:p w14:paraId="3C5097EB" w14:textId="77777777" w:rsidR="00876B57" w:rsidRDefault="00782A84" w:rsidP="001D55A8">
      <w:pPr>
        <w:widowControl w:val="0"/>
        <w:autoSpaceDE w:val="0"/>
        <w:autoSpaceDN w:val="0"/>
        <w:adjustRightInd w:val="0"/>
        <w:jc w:val="both"/>
        <w:rPr>
          <w:rFonts w:cs="Arial"/>
          <w:szCs w:val="22"/>
        </w:rPr>
      </w:pPr>
      <w:r w:rsidRPr="00837AAE">
        <w:rPr>
          <w:rFonts w:cs="Arial"/>
          <w:szCs w:val="22"/>
        </w:rPr>
        <w:t xml:space="preserve">Předmětem požadavku </w:t>
      </w:r>
      <w:r w:rsidR="00876B57" w:rsidRPr="00837AAE">
        <w:rPr>
          <w:rFonts w:cs="Arial"/>
          <w:szCs w:val="22"/>
        </w:rPr>
        <w:t>j</w:t>
      </w:r>
      <w:r w:rsidR="001D55A8">
        <w:rPr>
          <w:rFonts w:cs="Arial"/>
          <w:szCs w:val="22"/>
        </w:rPr>
        <w:t>sou</w:t>
      </w:r>
      <w:r w:rsidR="00876B57" w:rsidRPr="00837AAE">
        <w:rPr>
          <w:rFonts w:cs="Arial"/>
          <w:szCs w:val="22"/>
        </w:rPr>
        <w:t xml:space="preserve"> </w:t>
      </w:r>
      <w:r w:rsidR="001D55A8">
        <w:rPr>
          <w:rFonts w:cs="Arial"/>
          <w:szCs w:val="22"/>
        </w:rPr>
        <w:t>úpravy aplikace EPH související s novelou nařízení vlády č. 262/2012 Sb., (nitrátová směrnice), která vzešla v účinnost 1.7.</w:t>
      </w:r>
      <w:r w:rsidR="00E110CC">
        <w:rPr>
          <w:rFonts w:cs="Arial"/>
          <w:szCs w:val="22"/>
        </w:rPr>
        <w:t>2020</w:t>
      </w:r>
      <w:r w:rsidR="001D55A8">
        <w:rPr>
          <w:rFonts w:cs="Arial"/>
          <w:szCs w:val="22"/>
        </w:rPr>
        <w:t>. Oblasti úprav jsou následující:</w:t>
      </w:r>
    </w:p>
    <w:p w14:paraId="7AE0E4CA" w14:textId="77777777" w:rsidR="001D55A8" w:rsidRDefault="001D55A8" w:rsidP="00A55C35">
      <w:pPr>
        <w:pStyle w:val="Odstavecseseznamem"/>
        <w:widowControl w:val="0"/>
        <w:numPr>
          <w:ilvl w:val="0"/>
          <w:numId w:val="11"/>
        </w:numPr>
        <w:autoSpaceDE w:val="0"/>
        <w:autoSpaceDN w:val="0"/>
        <w:adjustRightInd w:val="0"/>
        <w:jc w:val="both"/>
        <w:rPr>
          <w:rFonts w:cs="Arial"/>
          <w:b/>
          <w:bCs/>
          <w:szCs w:val="22"/>
        </w:rPr>
      </w:pPr>
      <w:r>
        <w:rPr>
          <w:rFonts w:cs="Arial"/>
          <w:b/>
          <w:bCs/>
          <w:szCs w:val="22"/>
        </w:rPr>
        <w:t>Úprava sestavy Zákaz hnojení</w:t>
      </w:r>
    </w:p>
    <w:p w14:paraId="20B61218" w14:textId="77777777" w:rsidR="001D55A8" w:rsidRDefault="001D55A8" w:rsidP="00A55C35">
      <w:pPr>
        <w:pStyle w:val="Odstavecseseznamem"/>
        <w:widowControl w:val="0"/>
        <w:numPr>
          <w:ilvl w:val="0"/>
          <w:numId w:val="11"/>
        </w:numPr>
        <w:autoSpaceDE w:val="0"/>
        <w:autoSpaceDN w:val="0"/>
        <w:adjustRightInd w:val="0"/>
        <w:jc w:val="both"/>
        <w:rPr>
          <w:rFonts w:cs="Arial"/>
          <w:b/>
          <w:bCs/>
          <w:szCs w:val="22"/>
        </w:rPr>
      </w:pPr>
      <w:r>
        <w:rPr>
          <w:rFonts w:cs="Arial"/>
          <w:b/>
          <w:bCs/>
          <w:szCs w:val="22"/>
        </w:rPr>
        <w:t>Úprava sestavy Omezení hnojení</w:t>
      </w:r>
    </w:p>
    <w:p w14:paraId="03E0EE2D" w14:textId="77777777" w:rsidR="00A335D0" w:rsidRDefault="00A335D0" w:rsidP="00A55C35">
      <w:pPr>
        <w:pStyle w:val="Odstavecseseznamem"/>
        <w:widowControl w:val="0"/>
        <w:numPr>
          <w:ilvl w:val="0"/>
          <w:numId w:val="11"/>
        </w:numPr>
        <w:autoSpaceDE w:val="0"/>
        <w:autoSpaceDN w:val="0"/>
        <w:adjustRightInd w:val="0"/>
        <w:jc w:val="both"/>
        <w:rPr>
          <w:rFonts w:cs="Arial"/>
          <w:b/>
          <w:bCs/>
          <w:szCs w:val="22"/>
        </w:rPr>
      </w:pPr>
      <w:r>
        <w:rPr>
          <w:rFonts w:cs="Arial"/>
          <w:b/>
          <w:bCs/>
          <w:szCs w:val="22"/>
        </w:rPr>
        <w:t xml:space="preserve">Úprava sestavy na vyhodnocení celkového přívodu N </w:t>
      </w:r>
    </w:p>
    <w:p w14:paraId="671DE473" w14:textId="77777777" w:rsidR="001D55A8" w:rsidRDefault="001D55A8" w:rsidP="00A55C35">
      <w:pPr>
        <w:pStyle w:val="Odstavecseseznamem"/>
        <w:widowControl w:val="0"/>
        <w:numPr>
          <w:ilvl w:val="0"/>
          <w:numId w:val="11"/>
        </w:numPr>
        <w:autoSpaceDE w:val="0"/>
        <w:autoSpaceDN w:val="0"/>
        <w:adjustRightInd w:val="0"/>
        <w:jc w:val="both"/>
        <w:rPr>
          <w:rFonts w:cs="Arial"/>
          <w:b/>
          <w:bCs/>
          <w:szCs w:val="22"/>
        </w:rPr>
      </w:pPr>
      <w:r>
        <w:rPr>
          <w:rFonts w:cs="Arial"/>
          <w:b/>
          <w:bCs/>
          <w:szCs w:val="22"/>
        </w:rPr>
        <w:t>Vytvoření nové sestavy určené ke kontrole přívodu dusíku k plodině.</w:t>
      </w:r>
    </w:p>
    <w:p w14:paraId="00D20126" w14:textId="77777777" w:rsidR="00220636" w:rsidRDefault="00220636" w:rsidP="00A55C35">
      <w:pPr>
        <w:pStyle w:val="Odstavecseseznamem"/>
        <w:widowControl w:val="0"/>
        <w:numPr>
          <w:ilvl w:val="0"/>
          <w:numId w:val="11"/>
        </w:numPr>
        <w:autoSpaceDE w:val="0"/>
        <w:autoSpaceDN w:val="0"/>
        <w:adjustRightInd w:val="0"/>
        <w:jc w:val="both"/>
        <w:rPr>
          <w:rFonts w:cs="Arial"/>
          <w:b/>
          <w:bCs/>
          <w:szCs w:val="22"/>
        </w:rPr>
      </w:pPr>
      <w:r>
        <w:rPr>
          <w:rFonts w:cs="Arial"/>
          <w:b/>
          <w:bCs/>
          <w:szCs w:val="22"/>
        </w:rPr>
        <w:t>Vytvoření nové kontrolní sestavy pro kontrolu střídání pěstování kukuřice</w:t>
      </w:r>
    </w:p>
    <w:p w14:paraId="1382BB77" w14:textId="77777777" w:rsidR="00D15466" w:rsidRDefault="00D15466" w:rsidP="00A55C35">
      <w:pPr>
        <w:pStyle w:val="Odstavecseseznamem"/>
        <w:widowControl w:val="0"/>
        <w:numPr>
          <w:ilvl w:val="0"/>
          <w:numId w:val="11"/>
        </w:numPr>
        <w:autoSpaceDE w:val="0"/>
        <w:autoSpaceDN w:val="0"/>
        <w:adjustRightInd w:val="0"/>
        <w:jc w:val="both"/>
        <w:rPr>
          <w:rFonts w:cs="Arial"/>
          <w:b/>
          <w:bCs/>
          <w:szCs w:val="22"/>
        </w:rPr>
      </w:pPr>
      <w:r>
        <w:rPr>
          <w:rFonts w:cs="Arial"/>
          <w:b/>
          <w:bCs/>
          <w:szCs w:val="22"/>
        </w:rPr>
        <w:t>Doplnění tabulky limitů k plodinám do kontrolní sestavy „Limity pro plodiny v ZOD“</w:t>
      </w:r>
    </w:p>
    <w:p w14:paraId="195E819A" w14:textId="77777777" w:rsidR="001D55A8" w:rsidRDefault="001D55A8" w:rsidP="001D55A8">
      <w:pPr>
        <w:widowControl w:val="0"/>
        <w:autoSpaceDE w:val="0"/>
        <w:autoSpaceDN w:val="0"/>
        <w:adjustRightInd w:val="0"/>
        <w:jc w:val="both"/>
        <w:rPr>
          <w:rFonts w:cs="Arial"/>
          <w:szCs w:val="22"/>
        </w:rPr>
      </w:pPr>
      <w:r>
        <w:rPr>
          <w:rFonts w:cs="Arial"/>
          <w:szCs w:val="22"/>
        </w:rPr>
        <w:t xml:space="preserve">Pro účely nové </w:t>
      </w:r>
      <w:r w:rsidRPr="001D55A8">
        <w:rPr>
          <w:rFonts w:cs="Arial"/>
          <w:szCs w:val="22"/>
        </w:rPr>
        <w:t>sestavy určené ke kontrole přívodu dusíku k</w:t>
      </w:r>
      <w:r>
        <w:rPr>
          <w:rFonts w:cs="Arial"/>
          <w:szCs w:val="22"/>
        </w:rPr>
        <w:t> </w:t>
      </w:r>
      <w:r w:rsidRPr="001D55A8">
        <w:rPr>
          <w:rFonts w:cs="Arial"/>
          <w:szCs w:val="22"/>
        </w:rPr>
        <w:t>plodině</w:t>
      </w:r>
      <w:r>
        <w:rPr>
          <w:rFonts w:cs="Arial"/>
          <w:szCs w:val="22"/>
        </w:rPr>
        <w:t xml:space="preserve"> bude nezbyt</w:t>
      </w:r>
      <w:r w:rsidR="002C2417">
        <w:rPr>
          <w:rFonts w:cs="Arial"/>
          <w:szCs w:val="22"/>
        </w:rPr>
        <w:t>né vytvořit číselníky, pomocí nichž</w:t>
      </w:r>
      <w:r>
        <w:rPr>
          <w:rFonts w:cs="Arial"/>
          <w:szCs w:val="22"/>
        </w:rPr>
        <w:t xml:space="preserve"> bude možné provádět vyhodnocení. Jedná se o:</w:t>
      </w:r>
    </w:p>
    <w:p w14:paraId="599EA6DB" w14:textId="77777777" w:rsidR="001D55A8" w:rsidRDefault="001D55A8" w:rsidP="00A55C35">
      <w:pPr>
        <w:pStyle w:val="Odstavecseseznamem"/>
        <w:widowControl w:val="0"/>
        <w:numPr>
          <w:ilvl w:val="0"/>
          <w:numId w:val="12"/>
        </w:numPr>
        <w:autoSpaceDE w:val="0"/>
        <w:autoSpaceDN w:val="0"/>
        <w:adjustRightInd w:val="0"/>
        <w:jc w:val="both"/>
        <w:rPr>
          <w:rFonts w:cs="Arial"/>
          <w:szCs w:val="22"/>
        </w:rPr>
      </w:pPr>
      <w:r>
        <w:rPr>
          <w:rFonts w:cs="Arial"/>
          <w:szCs w:val="22"/>
        </w:rPr>
        <w:t>Číselník limitů N ve vztahu k plodině (dle zdrojového číselníku plodin, event. v kombinaci s užitkovým směrem pěstování plodiny řešeným v rámci PZ 506)</w:t>
      </w:r>
    </w:p>
    <w:p w14:paraId="367400B4" w14:textId="77777777" w:rsidR="001D55A8" w:rsidRPr="001D55A8" w:rsidRDefault="001D55A8" w:rsidP="00A55C35">
      <w:pPr>
        <w:pStyle w:val="Odstavecseseznamem"/>
        <w:widowControl w:val="0"/>
        <w:numPr>
          <w:ilvl w:val="0"/>
          <w:numId w:val="12"/>
        </w:numPr>
        <w:autoSpaceDE w:val="0"/>
        <w:autoSpaceDN w:val="0"/>
        <w:adjustRightInd w:val="0"/>
        <w:jc w:val="both"/>
        <w:rPr>
          <w:rFonts w:cs="Arial"/>
          <w:szCs w:val="22"/>
        </w:rPr>
      </w:pPr>
      <w:r>
        <w:rPr>
          <w:rFonts w:cs="Arial"/>
          <w:szCs w:val="22"/>
        </w:rPr>
        <w:t xml:space="preserve">Číselník plodin vážících dusík s rozlišením jednoletých a potenciálně víceletých plodin  </w:t>
      </w:r>
    </w:p>
    <w:p w14:paraId="1B4BD328" w14:textId="77777777" w:rsidR="000B2007" w:rsidRPr="000B2007" w:rsidRDefault="006F6F21" w:rsidP="006F6F21">
      <w:pPr>
        <w:pStyle w:val="Nadpis2"/>
      </w:pPr>
      <w:r>
        <w:t>Odůvodnění změny</w:t>
      </w:r>
    </w:p>
    <w:p w14:paraId="46F0703C" w14:textId="77777777" w:rsidR="00E87833" w:rsidRDefault="008730B4" w:rsidP="00C4078E">
      <w:pPr>
        <w:jc w:val="both"/>
        <w:rPr>
          <w:rFonts w:cs="Arial"/>
          <w:color w:val="000000"/>
          <w:szCs w:val="22"/>
          <w:lang w:eastAsia="cs-CZ"/>
        </w:rPr>
      </w:pPr>
      <w:bookmarkStart w:id="0" w:name="_Hlk74203836"/>
      <w:r>
        <w:rPr>
          <w:rFonts w:cs="Arial"/>
          <w:color w:val="000000"/>
          <w:szCs w:val="22"/>
          <w:lang w:eastAsia="cs-CZ"/>
        </w:rPr>
        <w:t xml:space="preserve">Změny je nutné realizovat s ohledem na </w:t>
      </w:r>
      <w:bookmarkEnd w:id="0"/>
      <w:r w:rsidR="001D55A8">
        <w:rPr>
          <w:rFonts w:cs="Arial"/>
          <w:color w:val="000000"/>
          <w:szCs w:val="22"/>
          <w:lang w:eastAsia="cs-CZ"/>
        </w:rPr>
        <w:t xml:space="preserve">nutnost přizpůsobit EPH </w:t>
      </w:r>
      <w:proofErr w:type="gramStart"/>
      <w:r w:rsidR="001D55A8">
        <w:rPr>
          <w:rFonts w:cs="Arial"/>
          <w:color w:val="000000"/>
          <w:szCs w:val="22"/>
          <w:lang w:eastAsia="cs-CZ"/>
        </w:rPr>
        <w:t xml:space="preserve">novele </w:t>
      </w:r>
      <w:r w:rsidR="00B41DD8">
        <w:rPr>
          <w:rFonts w:cs="Arial"/>
          <w:b/>
          <w:bCs/>
          <w:color w:val="000000"/>
          <w:szCs w:val="22"/>
          <w:lang w:eastAsia="cs-CZ"/>
        </w:rPr>
        <w:t xml:space="preserve"> </w:t>
      </w:r>
      <w:r w:rsidR="001D55A8">
        <w:rPr>
          <w:rFonts w:cs="Arial"/>
          <w:szCs w:val="22"/>
        </w:rPr>
        <w:t>nařízení</w:t>
      </w:r>
      <w:proofErr w:type="gramEnd"/>
      <w:r w:rsidR="001D55A8">
        <w:rPr>
          <w:rFonts w:cs="Arial"/>
          <w:szCs w:val="22"/>
        </w:rPr>
        <w:t xml:space="preserve"> vlády č. 262/2012 Sb., (nitrátová směrnice), která vzešla v účinnost </w:t>
      </w:r>
      <w:r w:rsidR="00814D02">
        <w:rPr>
          <w:rFonts w:cs="Arial"/>
          <w:szCs w:val="22"/>
        </w:rPr>
        <w:t>1. 7. 2020</w:t>
      </w:r>
      <w:r w:rsidR="001D55A8">
        <w:rPr>
          <w:rFonts w:cs="Arial"/>
          <w:szCs w:val="22"/>
        </w:rPr>
        <w:t>.</w:t>
      </w:r>
    </w:p>
    <w:p w14:paraId="110E8B50" w14:textId="77777777" w:rsidR="008730B4" w:rsidRDefault="008730B4" w:rsidP="00FA2A60">
      <w:pPr>
        <w:pStyle w:val="Nadpis1"/>
        <w:tabs>
          <w:tab w:val="clear" w:pos="540"/>
        </w:tabs>
        <w:ind w:left="284" w:hanging="284"/>
        <w:rPr>
          <w:rFonts w:cs="Arial"/>
          <w:sz w:val="22"/>
          <w:szCs w:val="22"/>
        </w:rPr>
      </w:pPr>
      <w:r>
        <w:rPr>
          <w:rFonts w:cs="Arial"/>
          <w:sz w:val="22"/>
          <w:szCs w:val="22"/>
        </w:rPr>
        <w:lastRenderedPageBreak/>
        <w:t>Podrobný popis požadavku</w:t>
      </w:r>
    </w:p>
    <w:p w14:paraId="7603238C" w14:textId="77777777" w:rsidR="00357DAB" w:rsidRDefault="00357DAB" w:rsidP="00357DAB">
      <w:pPr>
        <w:pStyle w:val="Nadpis2"/>
      </w:pPr>
      <w:r>
        <w:t>Implementace nových číselníků</w:t>
      </w:r>
    </w:p>
    <w:p w14:paraId="7177A77E" w14:textId="77777777" w:rsidR="00357DAB" w:rsidRDefault="00357DAB" w:rsidP="00357DAB">
      <w:r>
        <w:t>Na platformě nového modulu EPH – JUDEH (</w:t>
      </w:r>
      <w:r w:rsidRPr="00357DAB">
        <w:t>jednotné úložiště dat evidence hnojiv</w:t>
      </w:r>
      <w:r>
        <w:t>), ve kterém budou primárně spravovány věcné číselníky související s agendou zákona o hnojivech (zejména pak bilancí živin) budou doplněny nové dva číselníky:</w:t>
      </w:r>
    </w:p>
    <w:p w14:paraId="166193DF" w14:textId="77777777" w:rsidR="00357DAB" w:rsidRDefault="00357DAB" w:rsidP="00A55C35">
      <w:pPr>
        <w:pStyle w:val="Odstavecseseznamem"/>
        <w:widowControl w:val="0"/>
        <w:numPr>
          <w:ilvl w:val="0"/>
          <w:numId w:val="12"/>
        </w:numPr>
        <w:autoSpaceDE w:val="0"/>
        <w:autoSpaceDN w:val="0"/>
        <w:adjustRightInd w:val="0"/>
        <w:jc w:val="both"/>
        <w:rPr>
          <w:rFonts w:cs="Arial"/>
          <w:szCs w:val="22"/>
        </w:rPr>
      </w:pPr>
      <w:r w:rsidRPr="00357DAB">
        <w:rPr>
          <w:rFonts w:cs="Arial"/>
          <w:b/>
          <w:bCs/>
          <w:szCs w:val="22"/>
        </w:rPr>
        <w:t>Číselník limitů N ve vztahu k plodině</w:t>
      </w:r>
      <w:r>
        <w:rPr>
          <w:rFonts w:cs="Arial"/>
          <w:szCs w:val="22"/>
        </w:rPr>
        <w:t xml:space="preserve"> </w:t>
      </w:r>
    </w:p>
    <w:p w14:paraId="387298AB" w14:textId="77777777" w:rsidR="00357DAB" w:rsidRPr="00357DAB" w:rsidRDefault="00357DAB" w:rsidP="00A55C35">
      <w:pPr>
        <w:pStyle w:val="Odstavecseseznamem"/>
        <w:widowControl w:val="0"/>
        <w:numPr>
          <w:ilvl w:val="0"/>
          <w:numId w:val="12"/>
        </w:numPr>
        <w:autoSpaceDE w:val="0"/>
        <w:autoSpaceDN w:val="0"/>
        <w:adjustRightInd w:val="0"/>
        <w:jc w:val="both"/>
      </w:pPr>
      <w:r w:rsidRPr="00357DAB">
        <w:rPr>
          <w:rFonts w:cs="Arial"/>
          <w:b/>
          <w:bCs/>
          <w:szCs w:val="22"/>
        </w:rPr>
        <w:t xml:space="preserve">Číselník plodin vážících dusík </w:t>
      </w:r>
    </w:p>
    <w:p w14:paraId="1F57BCFA" w14:textId="77777777" w:rsidR="00357DAB" w:rsidRDefault="00357DAB" w:rsidP="00357DAB">
      <w:pPr>
        <w:widowControl w:val="0"/>
        <w:autoSpaceDE w:val="0"/>
        <w:autoSpaceDN w:val="0"/>
        <w:adjustRightInd w:val="0"/>
        <w:jc w:val="both"/>
      </w:pPr>
      <w:r>
        <w:t xml:space="preserve">Oba číselníky budou publikovány </w:t>
      </w:r>
    </w:p>
    <w:p w14:paraId="03F98908" w14:textId="77777777" w:rsidR="00357DAB" w:rsidRDefault="00357DAB" w:rsidP="00A55C35">
      <w:pPr>
        <w:pStyle w:val="Odstavecseseznamem"/>
        <w:widowControl w:val="0"/>
        <w:numPr>
          <w:ilvl w:val="0"/>
          <w:numId w:val="14"/>
        </w:numPr>
        <w:autoSpaceDE w:val="0"/>
        <w:autoSpaceDN w:val="0"/>
        <w:adjustRightInd w:val="0"/>
        <w:jc w:val="both"/>
      </w:pPr>
      <w:r>
        <w:t>veřejnosti současně s číselníky souvisejícími s předáváním elektronické evidence hnojiv (není předmětem tohoto PZ)</w:t>
      </w:r>
    </w:p>
    <w:p w14:paraId="170AB2F4" w14:textId="77777777" w:rsidR="00357DAB" w:rsidRPr="00357DAB" w:rsidRDefault="00357DAB" w:rsidP="00A55C35">
      <w:pPr>
        <w:pStyle w:val="Odstavecseseznamem"/>
        <w:widowControl w:val="0"/>
        <w:numPr>
          <w:ilvl w:val="0"/>
          <w:numId w:val="14"/>
        </w:numPr>
        <w:autoSpaceDE w:val="0"/>
        <w:autoSpaceDN w:val="0"/>
        <w:adjustRightInd w:val="0"/>
        <w:jc w:val="both"/>
      </w:pPr>
      <w:r>
        <w:t xml:space="preserve">interním systémům (LPIS, modul kontrol UKZUZ) prostřednictvím databázového </w:t>
      </w:r>
      <w:proofErr w:type="spellStart"/>
      <w:r>
        <w:t>view</w:t>
      </w:r>
      <w:proofErr w:type="spellEnd"/>
      <w:r>
        <w:t xml:space="preserve"> aplikace SDB</w:t>
      </w:r>
    </w:p>
    <w:p w14:paraId="107FF337" w14:textId="77777777" w:rsidR="00357DAB" w:rsidRPr="00357DAB" w:rsidRDefault="00357DAB" w:rsidP="00A55C35">
      <w:pPr>
        <w:pStyle w:val="Odstavecseseznamem"/>
        <w:widowControl w:val="0"/>
        <w:numPr>
          <w:ilvl w:val="0"/>
          <w:numId w:val="13"/>
        </w:numPr>
        <w:autoSpaceDE w:val="0"/>
        <w:autoSpaceDN w:val="0"/>
        <w:adjustRightInd w:val="0"/>
        <w:ind w:left="567" w:hanging="567"/>
        <w:jc w:val="both"/>
        <w:rPr>
          <w:b/>
          <w:bCs/>
        </w:rPr>
      </w:pPr>
      <w:r w:rsidRPr="00357DAB">
        <w:rPr>
          <w:rFonts w:cs="Arial"/>
          <w:b/>
          <w:bCs/>
          <w:szCs w:val="22"/>
        </w:rPr>
        <w:t>Číselník limitů N ve vztahu k</w:t>
      </w:r>
      <w:r>
        <w:rPr>
          <w:rFonts w:cs="Arial"/>
          <w:b/>
          <w:bCs/>
          <w:szCs w:val="22"/>
        </w:rPr>
        <w:t> </w:t>
      </w:r>
      <w:r w:rsidRPr="00357DAB">
        <w:rPr>
          <w:rFonts w:cs="Arial"/>
          <w:b/>
          <w:bCs/>
          <w:szCs w:val="22"/>
        </w:rPr>
        <w:t>plodině</w:t>
      </w:r>
    </w:p>
    <w:p w14:paraId="17A23DC7" w14:textId="77777777" w:rsidR="00357DAB" w:rsidRDefault="00357DAB" w:rsidP="00357DAB">
      <w:pPr>
        <w:widowControl w:val="0"/>
        <w:autoSpaceDE w:val="0"/>
        <w:autoSpaceDN w:val="0"/>
        <w:adjustRightInd w:val="0"/>
        <w:jc w:val="both"/>
      </w:pPr>
      <w:r>
        <w:t>Číselník bude obsahovat následující věcné sloupce:</w:t>
      </w:r>
    </w:p>
    <w:p w14:paraId="4628C8FE" w14:textId="77777777" w:rsidR="00357DAB" w:rsidRDefault="00357DAB" w:rsidP="00A55C35">
      <w:pPr>
        <w:pStyle w:val="Odstavecseseznamem"/>
        <w:widowControl w:val="0"/>
        <w:numPr>
          <w:ilvl w:val="0"/>
          <w:numId w:val="15"/>
        </w:numPr>
        <w:autoSpaceDE w:val="0"/>
        <w:autoSpaceDN w:val="0"/>
        <w:adjustRightInd w:val="0"/>
        <w:jc w:val="both"/>
      </w:pPr>
      <w:r>
        <w:t>ID plodiny</w:t>
      </w:r>
    </w:p>
    <w:p w14:paraId="25B39FFA" w14:textId="77777777" w:rsidR="00357DAB" w:rsidRDefault="00357DAB" w:rsidP="00A55C35">
      <w:pPr>
        <w:pStyle w:val="Odstavecseseznamem"/>
        <w:widowControl w:val="0"/>
        <w:numPr>
          <w:ilvl w:val="0"/>
          <w:numId w:val="15"/>
        </w:numPr>
        <w:autoSpaceDE w:val="0"/>
        <w:autoSpaceDN w:val="0"/>
        <w:adjustRightInd w:val="0"/>
        <w:jc w:val="both"/>
      </w:pPr>
      <w:r>
        <w:t>Nepovinná reference na užitkový směr pěstování plodiny (CIS_USP)</w:t>
      </w:r>
    </w:p>
    <w:p w14:paraId="770CFC47" w14:textId="77777777" w:rsidR="00CB2341" w:rsidRDefault="00CB2341" w:rsidP="00A55C35">
      <w:pPr>
        <w:pStyle w:val="Odstavecseseznamem"/>
        <w:widowControl w:val="0"/>
        <w:numPr>
          <w:ilvl w:val="0"/>
          <w:numId w:val="15"/>
        </w:numPr>
        <w:autoSpaceDE w:val="0"/>
        <w:autoSpaceDN w:val="0"/>
        <w:adjustRightInd w:val="0"/>
        <w:jc w:val="both"/>
      </w:pPr>
      <w:r>
        <w:t>Výnosová hladina (hodnoty 1,2,3 nebo bez hodnoty)</w:t>
      </w:r>
    </w:p>
    <w:p w14:paraId="4837346A" w14:textId="77777777" w:rsidR="00357DAB" w:rsidRDefault="00357DAB" w:rsidP="00A55C35">
      <w:pPr>
        <w:pStyle w:val="Odstavecseseznamem"/>
        <w:widowControl w:val="0"/>
        <w:numPr>
          <w:ilvl w:val="0"/>
          <w:numId w:val="15"/>
        </w:numPr>
        <w:autoSpaceDE w:val="0"/>
        <w:autoSpaceDN w:val="0"/>
        <w:adjustRightInd w:val="0"/>
        <w:jc w:val="both"/>
      </w:pPr>
      <w:r>
        <w:t>Limit (hodnota)</w:t>
      </w:r>
    </w:p>
    <w:p w14:paraId="08E2B3D5" w14:textId="77777777" w:rsidR="00357DAB" w:rsidRDefault="00357DAB" w:rsidP="00A55C35">
      <w:pPr>
        <w:pStyle w:val="Odstavecseseznamem"/>
        <w:widowControl w:val="0"/>
        <w:numPr>
          <w:ilvl w:val="0"/>
          <w:numId w:val="15"/>
        </w:numPr>
        <w:autoSpaceDE w:val="0"/>
        <w:autoSpaceDN w:val="0"/>
        <w:adjustRightInd w:val="0"/>
        <w:jc w:val="both"/>
      </w:pPr>
      <w:r>
        <w:t xml:space="preserve">Platnost od </w:t>
      </w:r>
    </w:p>
    <w:p w14:paraId="7C19A660" w14:textId="77777777" w:rsidR="00357DAB" w:rsidRDefault="00357DAB" w:rsidP="00A55C35">
      <w:pPr>
        <w:pStyle w:val="Odstavecseseznamem"/>
        <w:widowControl w:val="0"/>
        <w:numPr>
          <w:ilvl w:val="0"/>
          <w:numId w:val="15"/>
        </w:numPr>
        <w:autoSpaceDE w:val="0"/>
        <w:autoSpaceDN w:val="0"/>
        <w:adjustRightInd w:val="0"/>
        <w:jc w:val="both"/>
      </w:pPr>
      <w:r>
        <w:t>Platnost do</w:t>
      </w:r>
    </w:p>
    <w:p w14:paraId="7F10B352" w14:textId="77777777" w:rsidR="00357DAB" w:rsidRDefault="00357DAB" w:rsidP="00A55C35">
      <w:pPr>
        <w:pStyle w:val="Odstavecseseznamem"/>
        <w:widowControl w:val="0"/>
        <w:numPr>
          <w:ilvl w:val="0"/>
          <w:numId w:val="15"/>
        </w:numPr>
        <w:autoSpaceDE w:val="0"/>
        <w:autoSpaceDN w:val="0"/>
        <w:adjustRightInd w:val="0"/>
        <w:jc w:val="both"/>
      </w:pPr>
      <w:r>
        <w:t>Verze novely NS (rozlišení z jaké novely NS limit vzešel)</w:t>
      </w:r>
    </w:p>
    <w:p w14:paraId="3EBC5A22" w14:textId="77777777" w:rsidR="00357DAB" w:rsidRPr="00357DAB" w:rsidRDefault="00357DAB" w:rsidP="00357DAB">
      <w:pPr>
        <w:widowControl w:val="0"/>
        <w:autoSpaceDE w:val="0"/>
        <w:autoSpaceDN w:val="0"/>
        <w:adjustRightInd w:val="0"/>
        <w:jc w:val="both"/>
        <w:rPr>
          <w:rFonts w:cs="Arial"/>
          <w:szCs w:val="22"/>
        </w:rPr>
      </w:pPr>
      <w:r>
        <w:rPr>
          <w:rFonts w:cs="Arial"/>
          <w:szCs w:val="22"/>
        </w:rPr>
        <w:t>Číselník bude standardně systémově historizován (= musí být dohledatelné změny).</w:t>
      </w:r>
    </w:p>
    <w:p w14:paraId="5ADAA23E" w14:textId="77777777" w:rsidR="00357DAB" w:rsidRPr="00357DAB" w:rsidRDefault="00357DAB" w:rsidP="00A55C35">
      <w:pPr>
        <w:pStyle w:val="Odstavecseseznamem"/>
        <w:widowControl w:val="0"/>
        <w:numPr>
          <w:ilvl w:val="0"/>
          <w:numId w:val="13"/>
        </w:numPr>
        <w:autoSpaceDE w:val="0"/>
        <w:autoSpaceDN w:val="0"/>
        <w:adjustRightInd w:val="0"/>
        <w:ind w:left="567" w:hanging="567"/>
        <w:jc w:val="both"/>
        <w:rPr>
          <w:b/>
          <w:bCs/>
        </w:rPr>
      </w:pPr>
      <w:r w:rsidRPr="00357DAB">
        <w:rPr>
          <w:rFonts w:cs="Arial"/>
          <w:b/>
          <w:bCs/>
          <w:szCs w:val="22"/>
        </w:rPr>
        <w:t>Číselník plodin vážících dusík</w:t>
      </w:r>
    </w:p>
    <w:p w14:paraId="108F00D7" w14:textId="77777777" w:rsidR="00357DAB" w:rsidRDefault="00357DAB" w:rsidP="00357DAB">
      <w:pPr>
        <w:widowControl w:val="0"/>
        <w:autoSpaceDE w:val="0"/>
        <w:autoSpaceDN w:val="0"/>
        <w:adjustRightInd w:val="0"/>
        <w:jc w:val="both"/>
      </w:pPr>
      <w:r>
        <w:t>Číselník bude obsahovat následující věcné sloupce:</w:t>
      </w:r>
    </w:p>
    <w:p w14:paraId="591FE330" w14:textId="77777777" w:rsidR="00357DAB" w:rsidRDefault="00357DAB" w:rsidP="00A55C35">
      <w:pPr>
        <w:pStyle w:val="Odstavecseseznamem"/>
        <w:widowControl w:val="0"/>
        <w:numPr>
          <w:ilvl w:val="0"/>
          <w:numId w:val="15"/>
        </w:numPr>
        <w:autoSpaceDE w:val="0"/>
        <w:autoSpaceDN w:val="0"/>
        <w:adjustRightInd w:val="0"/>
        <w:jc w:val="both"/>
      </w:pPr>
      <w:r>
        <w:t>ID plodiny</w:t>
      </w:r>
    </w:p>
    <w:p w14:paraId="375B9349" w14:textId="77777777" w:rsidR="00357DAB" w:rsidRDefault="00357DAB" w:rsidP="00A55C35">
      <w:pPr>
        <w:pStyle w:val="Odstavecseseznamem"/>
        <w:widowControl w:val="0"/>
        <w:numPr>
          <w:ilvl w:val="0"/>
          <w:numId w:val="15"/>
        </w:numPr>
        <w:autoSpaceDE w:val="0"/>
        <w:autoSpaceDN w:val="0"/>
        <w:adjustRightInd w:val="0"/>
        <w:jc w:val="both"/>
      </w:pPr>
      <w:r>
        <w:t>Limit</w:t>
      </w:r>
      <w:r w:rsidR="00B815C0">
        <w:t xml:space="preserve"> pro odpočet</w:t>
      </w:r>
      <w:r>
        <w:t xml:space="preserve"> (</w:t>
      </w:r>
      <w:r w:rsidR="00B815C0">
        <w:t>25, 50</w:t>
      </w:r>
      <w:r>
        <w:t>)</w:t>
      </w:r>
    </w:p>
    <w:p w14:paraId="4F2E321B" w14:textId="77777777" w:rsidR="00B815C0" w:rsidRDefault="00B815C0" w:rsidP="00A55C35">
      <w:pPr>
        <w:pStyle w:val="Odstavecseseznamem"/>
        <w:widowControl w:val="0"/>
        <w:numPr>
          <w:ilvl w:val="0"/>
          <w:numId w:val="15"/>
        </w:numPr>
        <w:autoSpaceDE w:val="0"/>
        <w:autoSpaceDN w:val="0"/>
        <w:adjustRightInd w:val="0"/>
        <w:jc w:val="both"/>
      </w:pPr>
      <w:r>
        <w:t>Rok zapravení (1,2+, neurčeno)</w:t>
      </w:r>
    </w:p>
    <w:p w14:paraId="3A4526CD" w14:textId="77777777" w:rsidR="00B815C0" w:rsidRDefault="00B815C0" w:rsidP="00A55C35">
      <w:pPr>
        <w:pStyle w:val="Odstavecseseznamem"/>
        <w:widowControl w:val="0"/>
        <w:numPr>
          <w:ilvl w:val="0"/>
          <w:numId w:val="15"/>
        </w:numPr>
        <w:autoSpaceDE w:val="0"/>
        <w:autoSpaceDN w:val="0"/>
        <w:adjustRightInd w:val="0"/>
        <w:jc w:val="both"/>
      </w:pPr>
      <w:r>
        <w:t>Jednoletá (ANO/NE/neurčeno)</w:t>
      </w:r>
    </w:p>
    <w:p w14:paraId="09EE5D05" w14:textId="77777777" w:rsidR="00B815C0" w:rsidRDefault="00B815C0" w:rsidP="00A55C35">
      <w:pPr>
        <w:pStyle w:val="Odstavecseseznamem"/>
        <w:widowControl w:val="0"/>
        <w:numPr>
          <w:ilvl w:val="0"/>
          <w:numId w:val="15"/>
        </w:numPr>
        <w:autoSpaceDE w:val="0"/>
        <w:autoSpaceDN w:val="0"/>
        <w:adjustRightInd w:val="0"/>
        <w:jc w:val="both"/>
      </w:pPr>
      <w:r>
        <w:t>Zapravení hmoty (ANO/NE/neurčeno)</w:t>
      </w:r>
    </w:p>
    <w:p w14:paraId="1873346D" w14:textId="77777777" w:rsidR="00357DAB" w:rsidRDefault="00357DAB" w:rsidP="00A55C35">
      <w:pPr>
        <w:pStyle w:val="Odstavecseseznamem"/>
        <w:widowControl w:val="0"/>
        <w:numPr>
          <w:ilvl w:val="0"/>
          <w:numId w:val="15"/>
        </w:numPr>
        <w:autoSpaceDE w:val="0"/>
        <w:autoSpaceDN w:val="0"/>
        <w:adjustRightInd w:val="0"/>
        <w:jc w:val="both"/>
      </w:pPr>
      <w:r>
        <w:t xml:space="preserve">Platnost od </w:t>
      </w:r>
    </w:p>
    <w:p w14:paraId="16AF0880" w14:textId="77777777" w:rsidR="00357DAB" w:rsidRDefault="00357DAB" w:rsidP="00A55C35">
      <w:pPr>
        <w:pStyle w:val="Odstavecseseznamem"/>
        <w:widowControl w:val="0"/>
        <w:numPr>
          <w:ilvl w:val="0"/>
          <w:numId w:val="15"/>
        </w:numPr>
        <w:autoSpaceDE w:val="0"/>
        <w:autoSpaceDN w:val="0"/>
        <w:adjustRightInd w:val="0"/>
        <w:jc w:val="both"/>
      </w:pPr>
      <w:r>
        <w:t>Platnost do</w:t>
      </w:r>
    </w:p>
    <w:p w14:paraId="53E5D43D" w14:textId="77777777" w:rsidR="00357DAB" w:rsidRDefault="00357DAB" w:rsidP="00A55C35">
      <w:pPr>
        <w:pStyle w:val="Odstavecseseznamem"/>
        <w:widowControl w:val="0"/>
        <w:numPr>
          <w:ilvl w:val="0"/>
          <w:numId w:val="15"/>
        </w:numPr>
        <w:autoSpaceDE w:val="0"/>
        <w:autoSpaceDN w:val="0"/>
        <w:adjustRightInd w:val="0"/>
        <w:jc w:val="both"/>
      </w:pPr>
      <w:r>
        <w:t xml:space="preserve">Verze novely NS (rozlišení z jaké novely NS </w:t>
      </w:r>
      <w:r w:rsidR="00B815C0">
        <w:t xml:space="preserve">záznam </w:t>
      </w:r>
      <w:r>
        <w:t>vzešel)</w:t>
      </w:r>
    </w:p>
    <w:p w14:paraId="330C1BC7" w14:textId="77777777" w:rsidR="00357DAB" w:rsidRPr="00357DAB" w:rsidRDefault="00357DAB" w:rsidP="00357DAB">
      <w:pPr>
        <w:widowControl w:val="0"/>
        <w:autoSpaceDE w:val="0"/>
        <w:autoSpaceDN w:val="0"/>
        <w:adjustRightInd w:val="0"/>
        <w:jc w:val="both"/>
        <w:rPr>
          <w:rFonts w:cs="Arial"/>
          <w:szCs w:val="22"/>
        </w:rPr>
      </w:pPr>
      <w:r w:rsidRPr="00357DAB">
        <w:rPr>
          <w:rFonts w:cs="Arial"/>
          <w:szCs w:val="22"/>
        </w:rPr>
        <w:t>Číselník bude standardně systémově historizován (= musí být dohledatelné změny).</w:t>
      </w:r>
    </w:p>
    <w:p w14:paraId="72925F2E" w14:textId="77777777" w:rsidR="00357DAB" w:rsidRPr="00357DAB" w:rsidRDefault="00357DAB" w:rsidP="00357DAB">
      <w:pPr>
        <w:widowControl w:val="0"/>
        <w:autoSpaceDE w:val="0"/>
        <w:autoSpaceDN w:val="0"/>
        <w:adjustRightInd w:val="0"/>
        <w:jc w:val="both"/>
      </w:pPr>
    </w:p>
    <w:p w14:paraId="745A6942" w14:textId="77777777" w:rsidR="008730B4" w:rsidRPr="00B815C0" w:rsidRDefault="00B815C0" w:rsidP="008730B4">
      <w:pPr>
        <w:pStyle w:val="Nadpis2"/>
      </w:pPr>
      <w:r w:rsidRPr="00B815C0">
        <w:t>Úprava sestavy Zákaz hnojení</w:t>
      </w:r>
    </w:p>
    <w:p w14:paraId="4B850B6D" w14:textId="77777777" w:rsidR="00B815C0" w:rsidRDefault="00B815C0" w:rsidP="00B815C0">
      <w:pPr>
        <w:rPr>
          <w:rFonts w:cs="Arial"/>
          <w:szCs w:val="22"/>
        </w:rPr>
      </w:pPr>
      <w:r>
        <w:rPr>
          <w:rFonts w:cs="Arial"/>
          <w:szCs w:val="22"/>
        </w:rPr>
        <w:t>Sestava zákaz hnojení funguje na principu ověření daného záznamu hnojení vůči referenční tabulce EPH_NIT_ZAKAZ2, podle které může daný záznam být vyhodnocen jako jisté nebo potenciální porušení. Do vyhodnocení vstupují tyto faktory:</w:t>
      </w:r>
    </w:p>
    <w:p w14:paraId="4A143794" w14:textId="77777777" w:rsidR="00B815C0" w:rsidRDefault="00B815C0" w:rsidP="00A55C35">
      <w:pPr>
        <w:pStyle w:val="Odstavecseseznamem"/>
        <w:numPr>
          <w:ilvl w:val="0"/>
          <w:numId w:val="16"/>
        </w:numPr>
        <w:rPr>
          <w:rFonts w:cs="Arial"/>
          <w:szCs w:val="22"/>
        </w:rPr>
      </w:pPr>
      <w:r>
        <w:rPr>
          <w:rFonts w:cs="Arial"/>
          <w:szCs w:val="22"/>
        </w:rPr>
        <w:t>Kód omezení nitrátové směrnice</w:t>
      </w:r>
    </w:p>
    <w:p w14:paraId="04A50096" w14:textId="77777777" w:rsidR="00B815C0" w:rsidRDefault="00B815C0" w:rsidP="00A55C35">
      <w:pPr>
        <w:pStyle w:val="Odstavecseseznamem"/>
        <w:numPr>
          <w:ilvl w:val="0"/>
          <w:numId w:val="16"/>
        </w:numPr>
        <w:rPr>
          <w:rFonts w:cs="Arial"/>
          <w:szCs w:val="22"/>
        </w:rPr>
      </w:pPr>
      <w:r>
        <w:rPr>
          <w:rFonts w:cs="Arial"/>
          <w:szCs w:val="22"/>
        </w:rPr>
        <w:t>Datum aplikace</w:t>
      </w:r>
    </w:p>
    <w:p w14:paraId="49142979" w14:textId="77777777" w:rsidR="00B815C0" w:rsidRDefault="00B815C0" w:rsidP="00A55C35">
      <w:pPr>
        <w:pStyle w:val="Odstavecseseznamem"/>
        <w:numPr>
          <w:ilvl w:val="0"/>
          <w:numId w:val="16"/>
        </w:numPr>
        <w:rPr>
          <w:rFonts w:cs="Arial"/>
          <w:szCs w:val="22"/>
        </w:rPr>
      </w:pPr>
      <w:r>
        <w:rPr>
          <w:rFonts w:cs="Arial"/>
          <w:szCs w:val="22"/>
        </w:rPr>
        <w:t>Kultura</w:t>
      </w:r>
    </w:p>
    <w:p w14:paraId="2587DC87" w14:textId="77777777" w:rsidR="00B815C0" w:rsidRDefault="00B815C0" w:rsidP="00A55C35">
      <w:pPr>
        <w:pStyle w:val="Odstavecseseznamem"/>
        <w:numPr>
          <w:ilvl w:val="0"/>
          <w:numId w:val="16"/>
        </w:numPr>
        <w:rPr>
          <w:rFonts w:cs="Arial"/>
          <w:szCs w:val="22"/>
        </w:rPr>
      </w:pPr>
      <w:r>
        <w:rPr>
          <w:rFonts w:cs="Arial"/>
          <w:szCs w:val="22"/>
        </w:rPr>
        <w:t>Kategorie N aplikovaného hnojiva</w:t>
      </w:r>
    </w:p>
    <w:p w14:paraId="6823EB27" w14:textId="77777777" w:rsidR="00B815C0" w:rsidRDefault="00B815C0" w:rsidP="00A55C35">
      <w:pPr>
        <w:pStyle w:val="Odstavecseseznamem"/>
        <w:numPr>
          <w:ilvl w:val="0"/>
          <w:numId w:val="16"/>
        </w:numPr>
        <w:rPr>
          <w:rFonts w:cs="Arial"/>
          <w:szCs w:val="22"/>
        </w:rPr>
      </w:pPr>
      <w:r>
        <w:rPr>
          <w:rFonts w:cs="Arial"/>
          <w:szCs w:val="22"/>
        </w:rPr>
        <w:t>Cílová plodina</w:t>
      </w:r>
    </w:p>
    <w:p w14:paraId="45011547" w14:textId="77777777" w:rsidR="00B815C0" w:rsidRDefault="00B815C0" w:rsidP="00A55C35">
      <w:pPr>
        <w:pStyle w:val="Odstavecseseznamem"/>
        <w:numPr>
          <w:ilvl w:val="0"/>
          <w:numId w:val="16"/>
        </w:numPr>
        <w:rPr>
          <w:rFonts w:cs="Arial"/>
          <w:szCs w:val="22"/>
        </w:rPr>
      </w:pPr>
      <w:r>
        <w:rPr>
          <w:rFonts w:cs="Arial"/>
          <w:szCs w:val="22"/>
        </w:rPr>
        <w:t>Dávka</w:t>
      </w:r>
    </w:p>
    <w:p w14:paraId="559A2407" w14:textId="77777777" w:rsidR="00B815C0" w:rsidRDefault="00B815C0" w:rsidP="00B815C0">
      <w:pPr>
        <w:rPr>
          <w:rFonts w:cs="Arial"/>
          <w:szCs w:val="22"/>
        </w:rPr>
      </w:pPr>
      <w:r>
        <w:rPr>
          <w:rFonts w:cs="Arial"/>
          <w:szCs w:val="22"/>
        </w:rPr>
        <w:t>Novela předpokládá následující úpravy:</w:t>
      </w:r>
    </w:p>
    <w:p w14:paraId="1564F537" w14:textId="77777777" w:rsidR="00B815C0" w:rsidRPr="00A335D0" w:rsidRDefault="00B815C0" w:rsidP="00A55C35">
      <w:pPr>
        <w:pStyle w:val="Odstavecseseznamem"/>
        <w:numPr>
          <w:ilvl w:val="0"/>
          <w:numId w:val="17"/>
        </w:numPr>
        <w:spacing w:after="160" w:line="259" w:lineRule="auto"/>
        <w:rPr>
          <w:szCs w:val="22"/>
        </w:rPr>
      </w:pPr>
      <w:r w:rsidRPr="00A335D0">
        <w:rPr>
          <w:szCs w:val="22"/>
        </w:rPr>
        <w:t xml:space="preserve">Rozdělení DPB do tří skupin KR </w:t>
      </w:r>
      <w:proofErr w:type="gramStart"/>
      <w:r w:rsidRPr="00A335D0">
        <w:rPr>
          <w:szCs w:val="22"/>
        </w:rPr>
        <w:t>( 0</w:t>
      </w:r>
      <w:proofErr w:type="gramEnd"/>
      <w:r w:rsidRPr="00A335D0">
        <w:rPr>
          <w:szCs w:val="22"/>
        </w:rPr>
        <w:t>-5, 6-7, 8-9), každá skupina vlastní rozmezí období zákazu hnojení. Zároveň hlídat zákaz hnojení na TTP (v LPIS DPB s kódem M 58)</w:t>
      </w:r>
    </w:p>
    <w:p w14:paraId="5D1FFC32" w14:textId="77777777" w:rsidR="00B815C0" w:rsidRPr="006F732E" w:rsidRDefault="00B815C0" w:rsidP="00A335D0">
      <w:pPr>
        <w:pStyle w:val="Nadpis7"/>
        <w:widowControl w:val="0"/>
        <w:numPr>
          <w:ilvl w:val="0"/>
          <w:numId w:val="0"/>
        </w:numPr>
        <w:spacing w:before="120" w:after="80"/>
        <w:ind w:left="1296" w:hanging="1296"/>
        <w:jc w:val="both"/>
        <w:rPr>
          <w:rFonts w:asciiTheme="minorHAnsi" w:hAnsiTheme="minorHAnsi" w:cstheme="minorHAnsi"/>
          <w:color w:val="000000"/>
          <w:szCs w:val="26"/>
        </w:rPr>
      </w:pPr>
      <w:r w:rsidRPr="006F732E">
        <w:rPr>
          <w:rFonts w:asciiTheme="minorHAnsi" w:hAnsiTheme="minorHAnsi" w:cstheme="minorHAnsi"/>
          <w:color w:val="000000"/>
          <w:szCs w:val="26"/>
        </w:rPr>
        <w:lastRenderedPageBreak/>
        <w:t>Období zákazu používání dusíkatých hnojivých látek na orné půdě a trvalých travních porostech</w:t>
      </w:r>
    </w:p>
    <w:tbl>
      <w:tblPr>
        <w:tblW w:w="5000" w:type="pct"/>
        <w:tblCellMar>
          <w:top w:w="15" w:type="dxa"/>
          <w:left w:w="15" w:type="dxa"/>
          <w:bottom w:w="15" w:type="dxa"/>
          <w:right w:w="15" w:type="dxa"/>
        </w:tblCellMar>
        <w:tblLook w:val="04A0" w:firstRow="1" w:lastRow="0" w:firstColumn="1" w:lastColumn="0" w:noHBand="0" w:noVBand="1"/>
      </w:tblPr>
      <w:tblGrid>
        <w:gridCol w:w="1334"/>
        <w:gridCol w:w="1845"/>
        <w:gridCol w:w="1845"/>
        <w:gridCol w:w="2086"/>
        <w:gridCol w:w="2370"/>
      </w:tblGrid>
      <w:tr w:rsidR="00B815C0" w:rsidRPr="006F732E" w14:paraId="6C4359C0" w14:textId="77777777" w:rsidTr="00E110CC">
        <w:trPr>
          <w:trHeight w:val="443"/>
        </w:trPr>
        <w:tc>
          <w:tcPr>
            <w:tcW w:w="703" w:type="pct"/>
            <w:tcBorders>
              <w:top w:val="single" w:sz="6" w:space="0" w:color="000000"/>
              <w:left w:val="single" w:sz="6" w:space="0" w:color="000000"/>
              <w:right w:val="single" w:sz="6" w:space="0" w:color="000000"/>
            </w:tcBorders>
            <w:shd w:val="clear" w:color="auto" w:fill="FFFFFF"/>
            <w:tcMar>
              <w:top w:w="57" w:type="dxa"/>
              <w:bottom w:w="57" w:type="dxa"/>
            </w:tcMar>
            <w:hideMark/>
          </w:tcPr>
          <w:p w14:paraId="2F1AF35D" w14:textId="77777777" w:rsidR="00B815C0" w:rsidRPr="006F732E" w:rsidRDefault="00B815C0" w:rsidP="00E110CC">
            <w:pPr>
              <w:pStyle w:val="Odstavecseseznamem"/>
              <w:widowControl w:val="0"/>
              <w:spacing w:after="0"/>
              <w:ind w:left="0"/>
              <w:jc w:val="center"/>
              <w:rPr>
                <w:rFonts w:cstheme="minorHAnsi"/>
                <w:b/>
                <w:sz w:val="18"/>
                <w:szCs w:val="26"/>
              </w:rPr>
            </w:pPr>
            <w:r w:rsidRPr="006F732E">
              <w:rPr>
                <w:rFonts w:cstheme="minorHAnsi"/>
                <w:b/>
                <w:sz w:val="18"/>
                <w:szCs w:val="26"/>
              </w:rPr>
              <w:t>Klimatický region*</w:t>
            </w:r>
          </w:p>
        </w:tc>
        <w:tc>
          <w:tcPr>
            <w:tcW w:w="973" w:type="pct"/>
            <w:tcBorders>
              <w:top w:val="single" w:sz="6" w:space="0" w:color="000000"/>
              <w:left w:val="single" w:sz="6" w:space="0" w:color="000000"/>
              <w:right w:val="single" w:sz="6" w:space="0" w:color="000000"/>
            </w:tcBorders>
            <w:shd w:val="clear" w:color="auto" w:fill="FFFFFF"/>
          </w:tcPr>
          <w:p w14:paraId="37F71186" w14:textId="77777777" w:rsidR="00B815C0" w:rsidRPr="006F732E" w:rsidRDefault="00B815C0" w:rsidP="00E110CC">
            <w:pPr>
              <w:pStyle w:val="Odstavecseseznamem"/>
              <w:widowControl w:val="0"/>
              <w:spacing w:after="0"/>
              <w:ind w:left="0"/>
              <w:jc w:val="center"/>
              <w:rPr>
                <w:rFonts w:cstheme="minorHAnsi"/>
                <w:b/>
                <w:sz w:val="18"/>
                <w:szCs w:val="26"/>
              </w:rPr>
            </w:pPr>
            <w:r w:rsidRPr="006F732E">
              <w:rPr>
                <w:rFonts w:cstheme="minorHAnsi"/>
                <w:b/>
                <w:sz w:val="18"/>
                <w:szCs w:val="26"/>
              </w:rPr>
              <w:tab/>
            </w:r>
            <w:r w:rsidRPr="006F732E">
              <w:rPr>
                <w:rFonts w:cstheme="minorHAnsi"/>
                <w:b/>
                <w:sz w:val="18"/>
                <w:szCs w:val="26"/>
              </w:rPr>
              <w:tab/>
            </w:r>
          </w:p>
        </w:tc>
        <w:tc>
          <w:tcPr>
            <w:tcW w:w="973" w:type="pct"/>
            <w:tcBorders>
              <w:top w:val="single" w:sz="6" w:space="0" w:color="000000"/>
              <w:left w:val="single" w:sz="6" w:space="0" w:color="000000"/>
              <w:right w:val="single" w:sz="6" w:space="0" w:color="000000"/>
            </w:tcBorders>
            <w:shd w:val="clear" w:color="auto" w:fill="FFFFFF"/>
            <w:tcMar>
              <w:top w:w="57" w:type="dxa"/>
              <w:bottom w:w="57" w:type="dxa"/>
            </w:tcMar>
            <w:hideMark/>
          </w:tcPr>
          <w:p w14:paraId="1C681A3F" w14:textId="77777777" w:rsidR="00B815C0" w:rsidRPr="006F732E" w:rsidRDefault="00B815C0" w:rsidP="00E110CC">
            <w:pPr>
              <w:pStyle w:val="Odstavecseseznamem"/>
              <w:widowControl w:val="0"/>
              <w:spacing w:after="0"/>
              <w:ind w:left="0"/>
              <w:jc w:val="center"/>
              <w:rPr>
                <w:rFonts w:cstheme="minorHAnsi"/>
                <w:b/>
                <w:sz w:val="18"/>
                <w:szCs w:val="26"/>
              </w:rPr>
            </w:pPr>
            <w:r w:rsidRPr="006F732E">
              <w:rPr>
                <w:rFonts w:cstheme="minorHAnsi"/>
                <w:b/>
                <w:sz w:val="18"/>
                <w:szCs w:val="26"/>
              </w:rPr>
              <w:t>Minerální dusíkatá hnojiva</w:t>
            </w:r>
          </w:p>
        </w:tc>
        <w:tc>
          <w:tcPr>
            <w:tcW w:w="1100" w:type="pct"/>
            <w:tcBorders>
              <w:top w:val="single" w:sz="6" w:space="0" w:color="000000"/>
              <w:left w:val="single" w:sz="6" w:space="0" w:color="000000"/>
              <w:right w:val="single" w:sz="6" w:space="0" w:color="000000"/>
            </w:tcBorders>
            <w:shd w:val="clear" w:color="auto" w:fill="FFFFFF"/>
            <w:tcMar>
              <w:top w:w="57" w:type="dxa"/>
              <w:bottom w:w="57" w:type="dxa"/>
            </w:tcMar>
            <w:hideMark/>
          </w:tcPr>
          <w:p w14:paraId="60C3B12F" w14:textId="77777777" w:rsidR="00B815C0" w:rsidRPr="006F732E" w:rsidRDefault="00B815C0" w:rsidP="00E110CC">
            <w:pPr>
              <w:pStyle w:val="Odstavecseseznamem"/>
              <w:widowControl w:val="0"/>
              <w:spacing w:after="0"/>
              <w:ind w:left="0"/>
              <w:jc w:val="center"/>
              <w:rPr>
                <w:rFonts w:cstheme="minorHAnsi"/>
                <w:b/>
                <w:sz w:val="18"/>
                <w:szCs w:val="26"/>
              </w:rPr>
            </w:pPr>
            <w:r w:rsidRPr="006F732E">
              <w:rPr>
                <w:rFonts w:cstheme="minorHAnsi"/>
                <w:b/>
                <w:sz w:val="18"/>
                <w:szCs w:val="26"/>
              </w:rPr>
              <w:t>Hnojiva s rychle uvolnitelným dusíkem</w:t>
            </w:r>
          </w:p>
        </w:tc>
        <w:tc>
          <w:tcPr>
            <w:tcW w:w="1250" w:type="pct"/>
            <w:tcBorders>
              <w:top w:val="single" w:sz="6" w:space="0" w:color="000000"/>
              <w:left w:val="single" w:sz="6" w:space="0" w:color="000000"/>
              <w:right w:val="single" w:sz="6" w:space="0" w:color="000000"/>
            </w:tcBorders>
            <w:shd w:val="clear" w:color="auto" w:fill="FFFFFF"/>
            <w:tcMar>
              <w:top w:w="57" w:type="dxa"/>
              <w:bottom w:w="57" w:type="dxa"/>
            </w:tcMar>
            <w:hideMark/>
          </w:tcPr>
          <w:p w14:paraId="4E715128" w14:textId="77777777" w:rsidR="00B815C0" w:rsidRPr="006F732E" w:rsidRDefault="00B815C0" w:rsidP="00E110CC">
            <w:pPr>
              <w:pStyle w:val="Odstavecseseznamem"/>
              <w:widowControl w:val="0"/>
              <w:spacing w:after="0"/>
              <w:ind w:left="0"/>
              <w:jc w:val="center"/>
              <w:rPr>
                <w:rFonts w:cstheme="minorHAnsi"/>
                <w:b/>
                <w:sz w:val="18"/>
                <w:szCs w:val="26"/>
              </w:rPr>
            </w:pPr>
            <w:r w:rsidRPr="006F732E">
              <w:rPr>
                <w:rFonts w:cstheme="minorHAnsi"/>
                <w:b/>
                <w:sz w:val="18"/>
                <w:szCs w:val="26"/>
              </w:rPr>
              <w:t>Hnojiva s pomalu uvolnitelným dusíkem***</w:t>
            </w:r>
          </w:p>
        </w:tc>
      </w:tr>
      <w:tr w:rsidR="00B815C0" w:rsidRPr="006F732E" w14:paraId="7BB72779" w14:textId="77777777" w:rsidTr="00E110CC">
        <w:trPr>
          <w:trHeight w:val="178"/>
        </w:trPr>
        <w:tc>
          <w:tcPr>
            <w:tcW w:w="70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6ED6FC01"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0–5</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Pr>
          <w:p w14:paraId="488EA9E0"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b/>
                <w:sz w:val="18"/>
                <w:szCs w:val="26"/>
              </w:rPr>
              <w:t>Pozemky převyšující 5°</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2417C56D"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1. 11. – 15. 2.</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3EFDB247"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15. 11. – 15. 2.</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25AD12CE"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15. 12. – 15. 2.</w:t>
            </w:r>
          </w:p>
        </w:tc>
      </w:tr>
      <w:tr w:rsidR="00B815C0" w:rsidRPr="006F732E" w14:paraId="26FA7A71" w14:textId="77777777" w:rsidTr="00E110CC">
        <w:trPr>
          <w:trHeight w:val="410"/>
        </w:trPr>
        <w:tc>
          <w:tcPr>
            <w:tcW w:w="70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3C724777"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0-5</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Pr>
          <w:p w14:paraId="072C7979"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b/>
                <w:sz w:val="18"/>
                <w:szCs w:val="26"/>
              </w:rPr>
              <w:t>Pozemky nepřevyšující 5°</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503CD73F"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1. 11. – 31. 1.</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491A5FE2"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15. 11. – 31. 1.</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13DD2C55"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15. 12. – 15. 2.</w:t>
            </w:r>
          </w:p>
        </w:tc>
      </w:tr>
      <w:tr w:rsidR="00B815C0" w:rsidRPr="006F732E" w14:paraId="16686444" w14:textId="77777777" w:rsidTr="00E110CC">
        <w:tc>
          <w:tcPr>
            <w:tcW w:w="70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7238186A"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6–7</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Pr>
          <w:p w14:paraId="6D0D92C4"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b/>
                <w:sz w:val="18"/>
                <w:szCs w:val="26"/>
              </w:rPr>
              <w:t>Pozemky převyšující 5°</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3CC45793"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1. 11. – 28. 2.</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53606B4F"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15. 11. – 28. 2.</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3501856D"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15. 12. – 28. 2.</w:t>
            </w:r>
          </w:p>
        </w:tc>
      </w:tr>
      <w:tr w:rsidR="00B815C0" w:rsidRPr="006F732E" w14:paraId="7818591B" w14:textId="77777777" w:rsidTr="00E110CC">
        <w:tc>
          <w:tcPr>
            <w:tcW w:w="70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3DDB4AFC"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6-7</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Pr>
          <w:p w14:paraId="20D88DED" w14:textId="77777777" w:rsidR="00B815C0" w:rsidRPr="006F732E" w:rsidRDefault="00B815C0" w:rsidP="00E110CC">
            <w:pPr>
              <w:widowControl w:val="0"/>
              <w:spacing w:after="0"/>
              <w:contextualSpacing/>
              <w:jc w:val="center"/>
              <w:rPr>
                <w:rFonts w:cstheme="minorHAnsi"/>
                <w:b/>
                <w:sz w:val="18"/>
                <w:szCs w:val="26"/>
              </w:rPr>
            </w:pPr>
            <w:r w:rsidRPr="006F732E">
              <w:rPr>
                <w:rFonts w:cstheme="minorHAnsi"/>
                <w:b/>
                <w:sz w:val="18"/>
                <w:szCs w:val="26"/>
              </w:rPr>
              <w:t>Pozemky nepřevyšující 5°</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2EC9718D"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1. 11. – 15. 2.</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0115E766"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15. 11. – 15. 2.</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405AD7DF"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15. 12. – 28. 2.</w:t>
            </w:r>
          </w:p>
        </w:tc>
      </w:tr>
      <w:tr w:rsidR="00B815C0" w:rsidRPr="006F732E" w14:paraId="3ECACAB0" w14:textId="77777777" w:rsidTr="00E110CC">
        <w:tc>
          <w:tcPr>
            <w:tcW w:w="70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591F56F8"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8–9</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Pr>
          <w:p w14:paraId="2258532B"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b/>
                <w:sz w:val="18"/>
                <w:szCs w:val="26"/>
              </w:rPr>
              <w:t>Pozemky převyšující 5°</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317B61C1"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15. 10. – 28. 2.</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6561E760"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5. 11. – 28. 2.</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hideMark/>
          </w:tcPr>
          <w:p w14:paraId="77F64BE7"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15. 12. – 28. 2.</w:t>
            </w:r>
          </w:p>
        </w:tc>
      </w:tr>
      <w:tr w:rsidR="00B815C0" w:rsidRPr="006F732E" w14:paraId="38DC6D2F" w14:textId="77777777" w:rsidTr="00E110CC">
        <w:tc>
          <w:tcPr>
            <w:tcW w:w="70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04CE9FD4"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8-9</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Pr>
          <w:p w14:paraId="05D62BFC" w14:textId="77777777" w:rsidR="00B815C0" w:rsidRPr="006F732E" w:rsidRDefault="00B815C0" w:rsidP="00E110CC">
            <w:pPr>
              <w:widowControl w:val="0"/>
              <w:spacing w:after="0"/>
              <w:contextualSpacing/>
              <w:jc w:val="center"/>
              <w:rPr>
                <w:rFonts w:cstheme="minorHAnsi"/>
                <w:b/>
                <w:sz w:val="18"/>
                <w:szCs w:val="26"/>
              </w:rPr>
            </w:pPr>
            <w:r w:rsidRPr="006F732E">
              <w:rPr>
                <w:rFonts w:cstheme="minorHAnsi"/>
                <w:b/>
                <w:sz w:val="18"/>
                <w:szCs w:val="26"/>
              </w:rPr>
              <w:t>Pozemky nepřevyšující 5°</w:t>
            </w:r>
          </w:p>
        </w:tc>
        <w:tc>
          <w:tcPr>
            <w:tcW w:w="973"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04621D38"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15. 10. – 15. 2.</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4307A970" w14:textId="77777777" w:rsidR="00B815C0" w:rsidRPr="006F732E" w:rsidRDefault="00B815C0" w:rsidP="00E110CC">
            <w:pPr>
              <w:widowControl w:val="0"/>
              <w:spacing w:after="0"/>
              <w:contextualSpacing/>
              <w:jc w:val="center"/>
              <w:rPr>
                <w:rFonts w:cstheme="minorHAnsi"/>
                <w:sz w:val="18"/>
                <w:szCs w:val="26"/>
              </w:rPr>
            </w:pPr>
            <w:r w:rsidRPr="006F732E">
              <w:rPr>
                <w:rFonts w:cstheme="minorHAnsi"/>
                <w:sz w:val="18"/>
                <w:szCs w:val="26"/>
              </w:rPr>
              <w:t>5. 11. – 15. 2.</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57" w:type="dxa"/>
              <w:bottom w:w="57" w:type="dxa"/>
            </w:tcMar>
            <w:vAlign w:val="center"/>
          </w:tcPr>
          <w:p w14:paraId="17FBFB17" w14:textId="77777777" w:rsidR="00B815C0" w:rsidRPr="006F732E" w:rsidRDefault="00B815C0" w:rsidP="00E110CC">
            <w:pPr>
              <w:pStyle w:val="Odstavecseseznamem"/>
              <w:widowControl w:val="0"/>
              <w:spacing w:after="0"/>
              <w:ind w:left="0"/>
              <w:jc w:val="center"/>
              <w:rPr>
                <w:rFonts w:cstheme="minorHAnsi"/>
                <w:sz w:val="18"/>
                <w:szCs w:val="26"/>
              </w:rPr>
            </w:pPr>
            <w:r w:rsidRPr="006F732E">
              <w:rPr>
                <w:rFonts w:cstheme="minorHAnsi"/>
                <w:sz w:val="18"/>
                <w:szCs w:val="26"/>
              </w:rPr>
              <w:t>15. 12. – 28. 2.</w:t>
            </w:r>
          </w:p>
        </w:tc>
      </w:tr>
    </w:tbl>
    <w:p w14:paraId="7B557704" w14:textId="77777777" w:rsidR="00B815C0" w:rsidRPr="006F732E" w:rsidRDefault="00B815C0" w:rsidP="00B815C0">
      <w:pPr>
        <w:widowControl w:val="0"/>
        <w:spacing w:before="120"/>
        <w:contextualSpacing/>
        <w:rPr>
          <w:rFonts w:cstheme="minorHAnsi"/>
          <w:b/>
          <w:sz w:val="20"/>
          <w:szCs w:val="28"/>
        </w:rPr>
      </w:pPr>
      <w:r w:rsidRPr="006F732E">
        <w:rPr>
          <w:rFonts w:cstheme="minorHAnsi"/>
          <w:b/>
          <w:sz w:val="20"/>
          <w:szCs w:val="28"/>
        </w:rPr>
        <w:t>Vysvětlivky: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
        <w:gridCol w:w="8427"/>
      </w:tblGrid>
      <w:tr w:rsidR="00B815C0" w:rsidRPr="006F732E" w14:paraId="19AE6E43" w14:textId="77777777" w:rsidTr="00E110CC">
        <w:trPr>
          <w:tblCellSpacing w:w="15" w:type="dxa"/>
        </w:trPr>
        <w:tc>
          <w:tcPr>
            <w:tcW w:w="522" w:type="dxa"/>
            <w:tcMar>
              <w:top w:w="0" w:type="dxa"/>
              <w:bottom w:w="0" w:type="dxa"/>
            </w:tcMar>
            <w:hideMark/>
          </w:tcPr>
          <w:p w14:paraId="18C3D795" w14:textId="77777777" w:rsidR="00B815C0" w:rsidRPr="006F732E" w:rsidRDefault="00B815C0" w:rsidP="00E110CC">
            <w:pPr>
              <w:widowControl w:val="0"/>
              <w:spacing w:after="40"/>
              <w:contextualSpacing/>
              <w:rPr>
                <w:rFonts w:cstheme="minorHAnsi"/>
                <w:sz w:val="20"/>
                <w:szCs w:val="28"/>
              </w:rPr>
            </w:pPr>
            <w:r w:rsidRPr="006F732E">
              <w:rPr>
                <w:rFonts w:cstheme="minorHAnsi"/>
                <w:sz w:val="20"/>
                <w:szCs w:val="28"/>
              </w:rPr>
              <w:t>*</w:t>
            </w:r>
          </w:p>
        </w:tc>
        <w:tc>
          <w:tcPr>
            <w:tcW w:w="8382" w:type="dxa"/>
            <w:tcMar>
              <w:top w:w="0" w:type="dxa"/>
              <w:bottom w:w="0" w:type="dxa"/>
            </w:tcMar>
            <w:vAlign w:val="center"/>
            <w:hideMark/>
          </w:tcPr>
          <w:p w14:paraId="2C321DD0" w14:textId="77777777" w:rsidR="00B815C0" w:rsidRPr="006F732E" w:rsidRDefault="00B815C0" w:rsidP="00E110CC">
            <w:pPr>
              <w:widowControl w:val="0"/>
              <w:spacing w:after="40"/>
              <w:contextualSpacing/>
              <w:rPr>
                <w:rFonts w:cstheme="minorHAnsi"/>
                <w:sz w:val="20"/>
                <w:szCs w:val="28"/>
              </w:rPr>
            </w:pPr>
            <w:r w:rsidRPr="006F732E">
              <w:rPr>
                <w:rFonts w:cstheme="minorHAnsi"/>
                <w:sz w:val="20"/>
                <w:szCs w:val="28"/>
              </w:rPr>
              <w:t>první číslice kódu bonitované půdně ekologické jednotky.</w:t>
            </w:r>
          </w:p>
        </w:tc>
      </w:tr>
      <w:tr w:rsidR="00B815C0" w:rsidRPr="006F732E" w14:paraId="61D914A0" w14:textId="77777777" w:rsidTr="00E110CC">
        <w:trPr>
          <w:tblCellSpacing w:w="15" w:type="dxa"/>
        </w:trPr>
        <w:tc>
          <w:tcPr>
            <w:tcW w:w="522" w:type="dxa"/>
            <w:tcMar>
              <w:top w:w="0" w:type="dxa"/>
              <w:bottom w:w="0" w:type="dxa"/>
            </w:tcMar>
            <w:hideMark/>
          </w:tcPr>
          <w:p w14:paraId="53C8AE92" w14:textId="77777777" w:rsidR="00B815C0" w:rsidRPr="006F732E" w:rsidRDefault="00B815C0" w:rsidP="00E110CC">
            <w:pPr>
              <w:widowControl w:val="0"/>
              <w:spacing w:after="120"/>
              <w:contextualSpacing/>
              <w:rPr>
                <w:rFonts w:cstheme="minorHAnsi"/>
                <w:sz w:val="20"/>
                <w:szCs w:val="28"/>
              </w:rPr>
            </w:pPr>
            <w:r w:rsidRPr="006F732E">
              <w:rPr>
                <w:rFonts w:cstheme="minorHAnsi"/>
                <w:sz w:val="20"/>
                <w:szCs w:val="28"/>
              </w:rPr>
              <w:t>***</w:t>
            </w:r>
          </w:p>
        </w:tc>
        <w:tc>
          <w:tcPr>
            <w:tcW w:w="8382" w:type="dxa"/>
            <w:tcMar>
              <w:top w:w="0" w:type="dxa"/>
              <w:bottom w:w="0" w:type="dxa"/>
            </w:tcMar>
            <w:vAlign w:val="center"/>
            <w:hideMark/>
          </w:tcPr>
          <w:p w14:paraId="54DDF3A6" w14:textId="77777777" w:rsidR="00B815C0" w:rsidRPr="006F732E" w:rsidRDefault="00B815C0" w:rsidP="00E110CC">
            <w:pPr>
              <w:widowControl w:val="0"/>
              <w:spacing w:after="120"/>
              <w:contextualSpacing/>
              <w:rPr>
                <w:rFonts w:cstheme="minorHAnsi"/>
                <w:sz w:val="20"/>
                <w:szCs w:val="28"/>
              </w:rPr>
            </w:pPr>
            <w:r w:rsidRPr="006F732E">
              <w:rPr>
                <w:rFonts w:cstheme="minorHAnsi"/>
                <w:sz w:val="20"/>
                <w:szCs w:val="28"/>
              </w:rPr>
              <w:t>platí i pro upravené kaly; pokud nedojde k následnému pěstování ozimých plodin nebo meziplodin je zakázáno hnojení také v období od 1. června do 31. července.</w:t>
            </w:r>
          </w:p>
        </w:tc>
      </w:tr>
    </w:tbl>
    <w:p w14:paraId="5FF9187D" w14:textId="77777777" w:rsidR="00B815C0" w:rsidRPr="00B815C0" w:rsidRDefault="00B815C0" w:rsidP="00A55C35">
      <w:pPr>
        <w:pStyle w:val="Odstavecseseznamem"/>
        <w:numPr>
          <w:ilvl w:val="0"/>
          <w:numId w:val="17"/>
        </w:numPr>
        <w:spacing w:after="160" w:line="259" w:lineRule="auto"/>
        <w:rPr>
          <w:szCs w:val="22"/>
        </w:rPr>
      </w:pPr>
      <w:r w:rsidRPr="00B815C0">
        <w:rPr>
          <w:b/>
          <w:szCs w:val="22"/>
        </w:rPr>
        <w:t>Zohlednění výjimky</w:t>
      </w:r>
      <w:r w:rsidRPr="00B815C0">
        <w:rPr>
          <w:szCs w:val="22"/>
        </w:rPr>
        <w:t xml:space="preserve"> možnosti použití hnojiva v období zákazu hnojení </w:t>
      </w:r>
      <w:proofErr w:type="gramStart"/>
      <w:r w:rsidRPr="00B815C0">
        <w:rPr>
          <w:szCs w:val="22"/>
        </w:rPr>
        <w:t>v  aplikační</w:t>
      </w:r>
      <w:proofErr w:type="gramEnd"/>
      <w:r w:rsidRPr="00B815C0">
        <w:rPr>
          <w:szCs w:val="22"/>
        </w:rPr>
        <w:t xml:space="preserve"> dávce </w:t>
      </w:r>
      <w:r w:rsidRPr="00B815C0">
        <w:rPr>
          <w:b/>
          <w:szCs w:val="22"/>
        </w:rPr>
        <w:t>do 5 kg N/ha</w:t>
      </w:r>
      <w:r w:rsidRPr="00B815C0">
        <w:rPr>
          <w:szCs w:val="22"/>
        </w:rPr>
        <w:t>.</w:t>
      </w:r>
    </w:p>
    <w:tbl>
      <w:tblPr>
        <w:tblStyle w:val="Mkatabulky"/>
        <w:tblW w:w="0" w:type="auto"/>
        <w:tblLook w:val="04A0" w:firstRow="1" w:lastRow="0" w:firstColumn="1" w:lastColumn="0" w:noHBand="0" w:noVBand="1"/>
      </w:tblPr>
      <w:tblGrid>
        <w:gridCol w:w="9062"/>
      </w:tblGrid>
      <w:tr w:rsidR="00B815C0" w:rsidRPr="00B815C0" w14:paraId="3C6EDCD8" w14:textId="77777777" w:rsidTr="00E110CC">
        <w:tc>
          <w:tcPr>
            <w:tcW w:w="9062" w:type="dxa"/>
          </w:tcPr>
          <w:p w14:paraId="722D4F7F" w14:textId="77777777" w:rsidR="00B815C0" w:rsidRPr="00B815C0" w:rsidRDefault="00B815C0" w:rsidP="00E110CC">
            <w:pPr>
              <w:rPr>
                <w:szCs w:val="22"/>
              </w:rPr>
            </w:pPr>
            <w:r w:rsidRPr="00B815C0">
              <w:rPr>
                <w:szCs w:val="22"/>
              </w:rPr>
              <w:t>NV 262/2012 § 6 odst. 2</w:t>
            </w:r>
          </w:p>
          <w:p w14:paraId="4F4F9E0B" w14:textId="77777777" w:rsidR="00B815C0" w:rsidRPr="00B815C0" w:rsidRDefault="00B815C0" w:rsidP="00E110CC">
            <w:pPr>
              <w:widowControl w:val="0"/>
              <w:autoSpaceDE w:val="0"/>
              <w:autoSpaceDN w:val="0"/>
              <w:adjustRightInd w:val="0"/>
              <w:spacing w:after="80"/>
              <w:contextualSpacing/>
              <w:jc w:val="both"/>
              <w:rPr>
                <w:szCs w:val="22"/>
              </w:rPr>
            </w:pPr>
            <w:r w:rsidRPr="00B815C0">
              <w:rPr>
                <w:szCs w:val="22"/>
              </w:rPr>
              <w:t xml:space="preserve">Období zákazu hnojení podle odstavce 1 se nevztahuje na hnojiva použitá </w:t>
            </w:r>
            <w:r w:rsidRPr="00B815C0">
              <w:rPr>
                <w:szCs w:val="22"/>
              </w:rPr>
              <w:br/>
              <w:t>k ozimým plodinám v aplikační dávce obsahující nejvýše 5 kg N/ha, na výkaly a moč zanechané hospodářskými zvířaty při pastvě nebo při jejich jiném pobytu na zemědělském pozemku a na hnojení ploch ve sklenících, fóliovnících nebo pařeništích.</w:t>
            </w:r>
          </w:p>
        </w:tc>
      </w:tr>
    </w:tbl>
    <w:p w14:paraId="041B23F0" w14:textId="77777777" w:rsidR="00B815C0" w:rsidRPr="00B815C0" w:rsidRDefault="00B815C0" w:rsidP="00B815C0">
      <w:pPr>
        <w:pStyle w:val="Odstavecseseznamem"/>
        <w:rPr>
          <w:szCs w:val="22"/>
        </w:rPr>
      </w:pPr>
    </w:p>
    <w:p w14:paraId="203E5D05" w14:textId="77777777" w:rsidR="00B815C0" w:rsidRPr="00B815C0" w:rsidRDefault="00B815C0" w:rsidP="00A55C35">
      <w:pPr>
        <w:pStyle w:val="Odstavecseseznamem"/>
        <w:numPr>
          <w:ilvl w:val="0"/>
          <w:numId w:val="17"/>
        </w:numPr>
        <w:spacing w:after="160" w:line="259" w:lineRule="auto"/>
        <w:rPr>
          <w:szCs w:val="22"/>
        </w:rPr>
      </w:pPr>
      <w:r w:rsidRPr="00B815C0">
        <w:rPr>
          <w:b/>
          <w:szCs w:val="22"/>
        </w:rPr>
        <w:t>Změna v limitech jednorázové dávky N na TTP</w:t>
      </w:r>
      <w:r w:rsidRPr="00B815C0">
        <w:rPr>
          <w:szCs w:val="22"/>
        </w:rPr>
        <w:t>, na deficitních a svažitých půdách (v LPIS DPB s kódem M59).</w:t>
      </w:r>
    </w:p>
    <w:p w14:paraId="13835073" w14:textId="77777777" w:rsidR="00B815C0" w:rsidRPr="00B815C0" w:rsidRDefault="00B815C0" w:rsidP="00A55C35">
      <w:pPr>
        <w:pStyle w:val="Odstavecseseznamem"/>
        <w:numPr>
          <w:ilvl w:val="0"/>
          <w:numId w:val="18"/>
        </w:numPr>
        <w:spacing w:after="160" w:line="259" w:lineRule="auto"/>
        <w:jc w:val="both"/>
        <w:rPr>
          <w:rFonts w:cstheme="minorHAnsi"/>
          <w:i/>
          <w:szCs w:val="22"/>
        </w:rPr>
      </w:pPr>
      <w:r w:rsidRPr="00B815C0">
        <w:rPr>
          <w:rFonts w:cstheme="minorHAnsi"/>
          <w:i/>
          <w:szCs w:val="22"/>
        </w:rPr>
        <w:t xml:space="preserve">Omezení jednorázové dávky celkového N </w:t>
      </w:r>
      <w:r w:rsidRPr="00B815C0">
        <w:rPr>
          <w:rFonts w:cstheme="minorHAnsi"/>
          <w:b/>
          <w:i/>
          <w:szCs w:val="22"/>
        </w:rPr>
        <w:t>v minerálních hnojivech 60 kg N/ha</w:t>
      </w:r>
    </w:p>
    <w:p w14:paraId="2FB21821" w14:textId="77777777" w:rsidR="00B815C0" w:rsidRPr="00D4451D" w:rsidRDefault="00B815C0" w:rsidP="00A55C35">
      <w:pPr>
        <w:pStyle w:val="Odstavecseseznamem"/>
        <w:numPr>
          <w:ilvl w:val="0"/>
          <w:numId w:val="18"/>
        </w:numPr>
        <w:spacing w:after="160" w:line="259" w:lineRule="auto"/>
        <w:jc w:val="both"/>
        <w:rPr>
          <w:rFonts w:cstheme="minorHAnsi"/>
          <w:i/>
          <w:szCs w:val="22"/>
        </w:rPr>
      </w:pPr>
      <w:r w:rsidRPr="00B815C0">
        <w:rPr>
          <w:rFonts w:cstheme="minorHAnsi"/>
          <w:i/>
          <w:szCs w:val="22"/>
        </w:rPr>
        <w:t xml:space="preserve">Omezení jednorázové dávky celkového N </w:t>
      </w:r>
      <w:r w:rsidRPr="00B815C0">
        <w:rPr>
          <w:rFonts w:cstheme="minorHAnsi"/>
          <w:b/>
          <w:i/>
          <w:szCs w:val="22"/>
        </w:rPr>
        <w:t>ve hnojivech s rychle uvolnitelným N 120 kg N/ha</w:t>
      </w:r>
    </w:p>
    <w:p w14:paraId="5E548759" w14:textId="77777777" w:rsidR="00D4451D" w:rsidRPr="00D4451D" w:rsidRDefault="00D4451D" w:rsidP="00D4451D">
      <w:pPr>
        <w:pStyle w:val="Odstavecseseznamem"/>
        <w:spacing w:after="160" w:line="259" w:lineRule="auto"/>
        <w:jc w:val="both"/>
        <w:rPr>
          <w:rFonts w:cstheme="minorHAnsi"/>
          <w:i/>
          <w:szCs w:val="22"/>
        </w:rPr>
      </w:pPr>
    </w:p>
    <w:p w14:paraId="6BD9479B" w14:textId="77777777" w:rsidR="00D4451D" w:rsidRPr="00D4451D" w:rsidRDefault="00D4451D" w:rsidP="00D4451D">
      <w:pPr>
        <w:pStyle w:val="Odstavecseseznamem"/>
        <w:numPr>
          <w:ilvl w:val="0"/>
          <w:numId w:val="17"/>
        </w:numPr>
        <w:spacing w:after="160" w:line="259" w:lineRule="auto"/>
        <w:rPr>
          <w:szCs w:val="22"/>
        </w:rPr>
      </w:pPr>
      <w:r w:rsidRPr="00B815C0">
        <w:rPr>
          <w:b/>
          <w:szCs w:val="22"/>
        </w:rPr>
        <w:t>Změna v</w:t>
      </w:r>
      <w:r>
        <w:rPr>
          <w:b/>
          <w:szCs w:val="22"/>
        </w:rPr>
        <w:t xml:space="preserve"> rozlišení zákazu ve vztahu k pšenici/řepce (doposud) x ozimé plodině (od </w:t>
      </w:r>
      <w:r w:rsidR="002C2417">
        <w:rPr>
          <w:b/>
          <w:szCs w:val="22"/>
        </w:rPr>
        <w:t>1. 7</w:t>
      </w:r>
      <w:r>
        <w:rPr>
          <w:b/>
          <w:szCs w:val="22"/>
        </w:rPr>
        <w:t>. 2020)</w:t>
      </w:r>
    </w:p>
    <w:p w14:paraId="099D0331" w14:textId="77777777" w:rsidR="00D4451D" w:rsidRDefault="00D4451D" w:rsidP="00D4451D">
      <w:pPr>
        <w:pStyle w:val="Odstavecseseznamem"/>
        <w:numPr>
          <w:ilvl w:val="0"/>
          <w:numId w:val="18"/>
        </w:numPr>
        <w:spacing w:after="160" w:line="259" w:lineRule="auto"/>
        <w:jc w:val="both"/>
        <w:rPr>
          <w:rFonts w:cstheme="minorHAnsi"/>
          <w:i/>
          <w:szCs w:val="22"/>
        </w:rPr>
      </w:pPr>
      <w:r>
        <w:rPr>
          <w:rFonts w:cstheme="minorHAnsi"/>
          <w:i/>
          <w:szCs w:val="22"/>
        </w:rPr>
        <w:t xml:space="preserve">Zákaz hnojení je nově časově vymezen u určitých limitů k ozimé plodině (ID 9999 v referenční tabulce), namísto </w:t>
      </w:r>
      <w:proofErr w:type="gramStart"/>
      <w:r>
        <w:rPr>
          <w:rFonts w:cstheme="minorHAnsi"/>
          <w:i/>
          <w:szCs w:val="22"/>
        </w:rPr>
        <w:t>dosavadních  plodin</w:t>
      </w:r>
      <w:proofErr w:type="gramEnd"/>
      <w:r>
        <w:rPr>
          <w:rFonts w:cstheme="minorHAnsi"/>
          <w:i/>
          <w:szCs w:val="22"/>
        </w:rPr>
        <w:t xml:space="preserve"> řepky a pšenice ozimé.</w:t>
      </w:r>
    </w:p>
    <w:p w14:paraId="67902845" w14:textId="77777777" w:rsidR="00D4451D" w:rsidRPr="00B815C0" w:rsidRDefault="00D4451D" w:rsidP="00D4451D">
      <w:pPr>
        <w:pStyle w:val="Odstavecseseznamem"/>
        <w:numPr>
          <w:ilvl w:val="0"/>
          <w:numId w:val="18"/>
        </w:numPr>
        <w:spacing w:after="160" w:line="259" w:lineRule="auto"/>
        <w:jc w:val="both"/>
        <w:rPr>
          <w:rFonts w:cstheme="minorHAnsi"/>
          <w:i/>
          <w:szCs w:val="22"/>
        </w:rPr>
      </w:pPr>
      <w:r>
        <w:rPr>
          <w:rFonts w:cstheme="minorHAnsi"/>
          <w:i/>
          <w:szCs w:val="22"/>
        </w:rPr>
        <w:t>Za ozimou plodinu se</w:t>
      </w:r>
      <w:r w:rsidR="00F74057">
        <w:rPr>
          <w:rFonts w:cstheme="minorHAnsi"/>
          <w:i/>
          <w:szCs w:val="22"/>
        </w:rPr>
        <w:t xml:space="preserve"> považuje plodina s datem výsevu před </w:t>
      </w:r>
      <w:r w:rsidR="002C2417">
        <w:rPr>
          <w:rFonts w:cstheme="minorHAnsi"/>
          <w:i/>
          <w:szCs w:val="22"/>
        </w:rPr>
        <w:t>1. 12</w:t>
      </w:r>
      <w:r w:rsidR="00F74057">
        <w:rPr>
          <w:rFonts w:cstheme="minorHAnsi"/>
          <w:i/>
          <w:szCs w:val="22"/>
        </w:rPr>
        <w:t xml:space="preserve">. kal. roku a současně v číselníku plodin označená jako potenciálně ozimá plodina </w:t>
      </w:r>
      <w:r>
        <w:rPr>
          <w:rFonts w:cstheme="minorHAnsi"/>
          <w:i/>
          <w:szCs w:val="22"/>
        </w:rPr>
        <w:t xml:space="preserve"> </w:t>
      </w:r>
    </w:p>
    <w:p w14:paraId="2065C51F" w14:textId="77777777" w:rsidR="00D4451D" w:rsidRPr="00D4451D" w:rsidRDefault="00D4451D" w:rsidP="00D4451D">
      <w:pPr>
        <w:pStyle w:val="Odstavecseseznamem"/>
        <w:numPr>
          <w:ilvl w:val="0"/>
          <w:numId w:val="18"/>
        </w:numPr>
        <w:spacing w:after="160" w:line="259" w:lineRule="auto"/>
        <w:jc w:val="both"/>
        <w:rPr>
          <w:rFonts w:cstheme="minorHAnsi"/>
          <w:i/>
          <w:szCs w:val="22"/>
        </w:rPr>
      </w:pPr>
      <w:r w:rsidRPr="00B815C0">
        <w:rPr>
          <w:rFonts w:cstheme="minorHAnsi"/>
          <w:i/>
          <w:szCs w:val="22"/>
        </w:rPr>
        <w:t xml:space="preserve">Omezení jednorázové dávky celkového N </w:t>
      </w:r>
      <w:r w:rsidRPr="00B815C0">
        <w:rPr>
          <w:rFonts w:cstheme="minorHAnsi"/>
          <w:b/>
          <w:i/>
          <w:szCs w:val="22"/>
        </w:rPr>
        <w:t>ve hnojivech s rychle uvolnitelným N 120 kg N/ha</w:t>
      </w:r>
    </w:p>
    <w:p w14:paraId="7B47F8DF" w14:textId="04478A4A" w:rsidR="00B815C0" w:rsidRDefault="00A335D0" w:rsidP="00B815C0">
      <w:pPr>
        <w:rPr>
          <w:rFonts w:cs="Arial"/>
          <w:szCs w:val="22"/>
        </w:rPr>
      </w:pPr>
      <w:r>
        <w:rPr>
          <w:rFonts w:cs="Arial"/>
          <w:szCs w:val="22"/>
        </w:rPr>
        <w:t xml:space="preserve">Výše uvedené změny jsou zapracovány do návrhu referenční tabulky EPH_NIT_ZAKAZ2. </w:t>
      </w:r>
      <w:proofErr w:type="spellStart"/>
      <w:r w:rsidR="00B97294">
        <w:rPr>
          <w:rFonts w:cs="Arial"/>
          <w:szCs w:val="22"/>
        </w:rPr>
        <w:t>xxx</w:t>
      </w:r>
      <w:proofErr w:type="spellEnd"/>
    </w:p>
    <w:p w14:paraId="13236F36" w14:textId="5A9127C8" w:rsidR="004B5340" w:rsidRDefault="004B5340" w:rsidP="00B815C0">
      <w:pPr>
        <w:rPr>
          <w:rFonts w:cs="Arial"/>
          <w:szCs w:val="22"/>
        </w:rPr>
      </w:pPr>
    </w:p>
    <w:p w14:paraId="516E292E" w14:textId="77777777" w:rsidR="00A335D0" w:rsidRPr="00B815C0" w:rsidRDefault="00A335D0" w:rsidP="00A335D0">
      <w:pPr>
        <w:pStyle w:val="Nadpis2"/>
      </w:pPr>
      <w:r w:rsidRPr="00B815C0">
        <w:t xml:space="preserve">Úprava sestavy </w:t>
      </w:r>
      <w:r>
        <w:t>Omezení</w:t>
      </w:r>
      <w:r w:rsidRPr="00B815C0">
        <w:t xml:space="preserve"> hnojení</w:t>
      </w:r>
    </w:p>
    <w:p w14:paraId="0A2EBD41" w14:textId="77777777" w:rsidR="00A335D0" w:rsidRDefault="00A335D0" w:rsidP="0073136A">
      <w:pPr>
        <w:jc w:val="both"/>
        <w:rPr>
          <w:rFonts w:cs="Arial"/>
          <w:szCs w:val="22"/>
        </w:rPr>
      </w:pPr>
      <w:r>
        <w:rPr>
          <w:rFonts w:cs="Arial"/>
          <w:szCs w:val="22"/>
        </w:rPr>
        <w:t xml:space="preserve">Sestava omezení hnojení funguje na principu ověření sumy přísunu </w:t>
      </w:r>
      <w:proofErr w:type="gramStart"/>
      <w:r>
        <w:rPr>
          <w:rFonts w:cs="Arial"/>
          <w:szCs w:val="22"/>
        </w:rPr>
        <w:t>dusíku  v</w:t>
      </w:r>
      <w:proofErr w:type="gramEnd"/>
      <w:r>
        <w:rPr>
          <w:rFonts w:cs="Arial"/>
          <w:szCs w:val="22"/>
        </w:rPr>
        <w:t xml:space="preserve"> rámci určitých záznamů hnojení vůči referenční tabulce EPH_NIT_OMEZENI2.Sestava předpokládá nejprve klasifikaci každého záznamu aplikace hnojiv z hlediska způsobu (hnojení k ozimé plodině, za účelem rozkladu slámy apod.). Dle způsobu hnojení se následně vezme v potaz </w:t>
      </w:r>
    </w:p>
    <w:p w14:paraId="3E1F1D89" w14:textId="77777777" w:rsidR="00A335D0" w:rsidRDefault="00A335D0" w:rsidP="00A55C35">
      <w:pPr>
        <w:pStyle w:val="Odstavecseseznamem"/>
        <w:numPr>
          <w:ilvl w:val="0"/>
          <w:numId w:val="19"/>
        </w:numPr>
        <w:rPr>
          <w:rFonts w:cs="Arial"/>
          <w:szCs w:val="22"/>
        </w:rPr>
      </w:pPr>
      <w:r w:rsidRPr="00A335D0">
        <w:rPr>
          <w:rFonts w:cs="Arial"/>
          <w:szCs w:val="22"/>
        </w:rPr>
        <w:t xml:space="preserve">kategorie N aplikovaného hnojiva, </w:t>
      </w:r>
    </w:p>
    <w:p w14:paraId="4ABCF014" w14:textId="77777777" w:rsidR="00A335D0" w:rsidRDefault="00A335D0" w:rsidP="00A55C35">
      <w:pPr>
        <w:pStyle w:val="Odstavecseseznamem"/>
        <w:numPr>
          <w:ilvl w:val="0"/>
          <w:numId w:val="19"/>
        </w:numPr>
        <w:rPr>
          <w:rFonts w:cs="Arial"/>
          <w:szCs w:val="22"/>
        </w:rPr>
      </w:pPr>
      <w:r>
        <w:rPr>
          <w:rFonts w:cs="Arial"/>
          <w:szCs w:val="22"/>
        </w:rPr>
        <w:lastRenderedPageBreak/>
        <w:t>kód omezení aplikace hnojiv v letně-podzimním období pro příslušnou parcelu</w:t>
      </w:r>
    </w:p>
    <w:p w14:paraId="4D530AE7" w14:textId="77777777" w:rsidR="00A335D0" w:rsidRDefault="00A335D0" w:rsidP="00A55C35">
      <w:pPr>
        <w:pStyle w:val="Odstavecseseznamem"/>
        <w:numPr>
          <w:ilvl w:val="0"/>
          <w:numId w:val="19"/>
        </w:numPr>
        <w:rPr>
          <w:rFonts w:cs="Arial"/>
          <w:szCs w:val="22"/>
        </w:rPr>
      </w:pPr>
      <w:r w:rsidRPr="00A335D0">
        <w:rPr>
          <w:rFonts w:cs="Arial"/>
          <w:szCs w:val="22"/>
        </w:rPr>
        <w:t xml:space="preserve">skutečnost, zda byla provedena v příslušném období </w:t>
      </w:r>
    </w:p>
    <w:p w14:paraId="05D61F61" w14:textId="77777777" w:rsidR="00A335D0" w:rsidRDefault="00A335D0" w:rsidP="00A335D0">
      <w:pPr>
        <w:rPr>
          <w:rFonts w:cs="Arial"/>
          <w:szCs w:val="22"/>
        </w:rPr>
      </w:pPr>
      <w:r w:rsidRPr="00A335D0">
        <w:rPr>
          <w:rFonts w:cs="Arial"/>
          <w:szCs w:val="22"/>
        </w:rPr>
        <w:t xml:space="preserve">a </w:t>
      </w:r>
      <w:r>
        <w:rPr>
          <w:rFonts w:cs="Arial"/>
          <w:szCs w:val="22"/>
        </w:rPr>
        <w:t xml:space="preserve">vše se </w:t>
      </w:r>
      <w:r w:rsidRPr="00A335D0">
        <w:rPr>
          <w:rFonts w:cs="Arial"/>
          <w:szCs w:val="22"/>
        </w:rPr>
        <w:t>porovná s dostupným limitem</w:t>
      </w:r>
      <w:r>
        <w:rPr>
          <w:rFonts w:cs="Arial"/>
          <w:szCs w:val="22"/>
        </w:rPr>
        <w:t xml:space="preserve"> dle referenční tabulky EPH_NIT_OMEZENI2.</w:t>
      </w:r>
    </w:p>
    <w:p w14:paraId="027E8F74" w14:textId="77777777" w:rsidR="00A335D0" w:rsidRDefault="00A335D0" w:rsidP="00A335D0">
      <w:pPr>
        <w:rPr>
          <w:rFonts w:cs="Arial"/>
          <w:szCs w:val="22"/>
        </w:rPr>
      </w:pPr>
      <w:r>
        <w:rPr>
          <w:rFonts w:cs="Arial"/>
          <w:szCs w:val="22"/>
        </w:rPr>
        <w:t>Novela předpokládá následující úpravy:</w:t>
      </w:r>
    </w:p>
    <w:p w14:paraId="4C5205FE" w14:textId="77777777" w:rsidR="00A335D0" w:rsidRPr="00A335D0" w:rsidRDefault="00A335D0" w:rsidP="00A55C35">
      <w:pPr>
        <w:pStyle w:val="Odstavecseseznamem"/>
        <w:numPr>
          <w:ilvl w:val="0"/>
          <w:numId w:val="20"/>
        </w:numPr>
        <w:spacing w:after="160" w:line="259" w:lineRule="auto"/>
        <w:rPr>
          <w:szCs w:val="22"/>
        </w:rPr>
      </w:pPr>
      <w:r w:rsidRPr="00A335D0">
        <w:rPr>
          <w:szCs w:val="22"/>
        </w:rPr>
        <w:t xml:space="preserve">Zvýšení dávky minerálního hnojení dusíkem k ozimé plodině následující po obilnině v aplikačním pásmu </w:t>
      </w:r>
      <w:proofErr w:type="spellStart"/>
      <w:r w:rsidRPr="00A335D0">
        <w:rPr>
          <w:szCs w:val="22"/>
        </w:rPr>
        <w:t>III.b</w:t>
      </w:r>
      <w:proofErr w:type="spellEnd"/>
      <w:r w:rsidRPr="00A335D0">
        <w:rPr>
          <w:szCs w:val="22"/>
        </w:rPr>
        <w:t xml:space="preserve"> z 20 kg N/ha na 40 kg N/ha.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486"/>
      </w:tblGrid>
      <w:tr w:rsidR="00A335D0" w:rsidRPr="001C4782" w14:paraId="6F6BBD74" w14:textId="77777777" w:rsidTr="00E110CC">
        <w:tc>
          <w:tcPr>
            <w:tcW w:w="5000" w:type="pct"/>
            <w:shd w:val="clear" w:color="auto" w:fill="DAEEF3"/>
          </w:tcPr>
          <w:p w14:paraId="75559616" w14:textId="376ED3CE" w:rsidR="00A335D0" w:rsidRPr="001C4782" w:rsidRDefault="00B97294" w:rsidP="00E110CC">
            <w:pPr>
              <w:widowControl w:val="0"/>
              <w:spacing w:after="0"/>
              <w:ind w:left="567" w:hanging="567"/>
              <w:rPr>
                <w:rFonts w:ascii="Calibri" w:hAnsi="Calibri" w:cs="Calibri"/>
                <w:sz w:val="18"/>
                <w:szCs w:val="26"/>
              </w:rPr>
            </w:pPr>
            <w:proofErr w:type="spellStart"/>
            <w:r>
              <w:rPr>
                <w:rFonts w:ascii="Calibri" w:hAnsi="Calibri" w:cs="Calibri"/>
                <w:sz w:val="18"/>
                <w:szCs w:val="26"/>
              </w:rPr>
              <w:t>xxx</w:t>
            </w:r>
            <w:proofErr w:type="spellEnd"/>
          </w:p>
        </w:tc>
      </w:tr>
    </w:tbl>
    <w:p w14:paraId="135007E6" w14:textId="77777777" w:rsidR="00A335D0" w:rsidRDefault="00A335D0" w:rsidP="00A335D0"/>
    <w:p w14:paraId="004BC6AB" w14:textId="77777777" w:rsidR="00A335D0" w:rsidRPr="00A335D0" w:rsidRDefault="00A335D0" w:rsidP="00A55C35">
      <w:pPr>
        <w:pStyle w:val="Odstavecseseznamem"/>
        <w:numPr>
          <w:ilvl w:val="0"/>
          <w:numId w:val="20"/>
        </w:numPr>
        <w:spacing w:after="160" w:line="259" w:lineRule="auto"/>
        <w:rPr>
          <w:szCs w:val="22"/>
        </w:rPr>
      </w:pPr>
      <w:r w:rsidRPr="00A335D0">
        <w:rPr>
          <w:szCs w:val="22"/>
        </w:rPr>
        <w:t xml:space="preserve">Po hnojení ke slámě je možné využít v případě potřeby ještě </w:t>
      </w:r>
      <w:r w:rsidRPr="00A335D0">
        <w:rPr>
          <w:b/>
          <w:szCs w:val="22"/>
        </w:rPr>
        <w:t>max. 30 kg N/ha k řepce nebo max. 20 kg N/ha k ostatním ozimým plodinám</w:t>
      </w:r>
      <w:r w:rsidRPr="00A335D0">
        <w:rPr>
          <w:szCs w:val="22"/>
        </w:rPr>
        <w:t>.</w:t>
      </w:r>
    </w:p>
    <w:p w14:paraId="761145DD" w14:textId="77777777" w:rsidR="009B0F0E" w:rsidRPr="00372BDC" w:rsidRDefault="00A335D0" w:rsidP="0073136A">
      <w:pPr>
        <w:jc w:val="both"/>
        <w:rPr>
          <w:rFonts w:cs="Arial"/>
          <w:color w:val="FF0000"/>
          <w:szCs w:val="22"/>
        </w:rPr>
      </w:pPr>
      <w:r>
        <w:rPr>
          <w:rFonts w:cs="Arial"/>
          <w:szCs w:val="22"/>
        </w:rPr>
        <w:t>Ve struktuře referenční tabulky bude zaveden sloupec DODATECNY_LIMIT_N_REPKA</w:t>
      </w:r>
      <w:r w:rsidR="009B0F0E">
        <w:rPr>
          <w:rFonts w:cs="Arial"/>
          <w:szCs w:val="22"/>
        </w:rPr>
        <w:t xml:space="preserve"> pro plodinu řepka ozimá, stávající sloupec bude používán k </w:t>
      </w:r>
      <w:r w:rsidR="009B0F0E" w:rsidRPr="009B0F0E">
        <w:rPr>
          <w:rFonts w:cs="Arial"/>
          <w:bCs/>
          <w:szCs w:val="22"/>
        </w:rPr>
        <w:t>ostatním ozimým plodinám</w:t>
      </w:r>
      <w:r w:rsidR="009B0F0E">
        <w:rPr>
          <w:rFonts w:cs="Arial"/>
          <w:bCs/>
          <w:szCs w:val="22"/>
        </w:rPr>
        <w:t xml:space="preserve">. </w:t>
      </w:r>
      <w:proofErr w:type="gramStart"/>
      <w:r w:rsidR="009B0F0E">
        <w:rPr>
          <w:rFonts w:cs="Arial"/>
          <w:bCs/>
          <w:szCs w:val="22"/>
        </w:rPr>
        <w:t xml:space="preserve">Úpravy  </w:t>
      </w:r>
      <w:r w:rsidR="009B0F0E">
        <w:rPr>
          <w:rFonts w:cs="Arial"/>
          <w:szCs w:val="22"/>
        </w:rPr>
        <w:t>jsou</w:t>
      </w:r>
      <w:proofErr w:type="gramEnd"/>
      <w:r w:rsidR="009B0F0E">
        <w:rPr>
          <w:rFonts w:cs="Arial"/>
          <w:szCs w:val="22"/>
        </w:rPr>
        <w:t xml:space="preserve"> zapracovány do návrhu referenční tabulky EPH_NIT_OMEZENI2. </w:t>
      </w:r>
      <w:r w:rsidR="00372BDC">
        <w:rPr>
          <w:rFonts w:cs="Arial"/>
          <w:color w:val="FF0000"/>
          <w:szCs w:val="22"/>
        </w:rPr>
        <w:t xml:space="preserve">Zároveň ve výpočetním algoritmu přívodu N musí být zajištěno, že dodatečný limit bude </w:t>
      </w:r>
      <w:r w:rsidR="002C2417">
        <w:rPr>
          <w:rFonts w:cs="Arial"/>
          <w:color w:val="FF0000"/>
          <w:szCs w:val="22"/>
        </w:rPr>
        <w:t>aplikován, jen</w:t>
      </w:r>
      <w:r w:rsidR="00372BDC">
        <w:rPr>
          <w:rFonts w:cs="Arial"/>
          <w:color w:val="FF0000"/>
          <w:szCs w:val="22"/>
        </w:rPr>
        <w:t xml:space="preserve"> pokud proběhlo hnojení za účelem rozkladu slámy (ID typu hnojení 6)</w:t>
      </w:r>
    </w:p>
    <w:p w14:paraId="0FB234E3" w14:textId="75D701E1" w:rsidR="00372BDC" w:rsidRDefault="00B97294" w:rsidP="009B0F0E">
      <w:pPr>
        <w:rPr>
          <w:rFonts w:cs="Arial"/>
          <w:szCs w:val="22"/>
        </w:rPr>
      </w:pPr>
      <w:proofErr w:type="spellStart"/>
      <w:r>
        <w:rPr>
          <w:rFonts w:cs="Arial"/>
          <w:szCs w:val="22"/>
        </w:rPr>
        <w:t>xxx</w:t>
      </w:r>
      <w:proofErr w:type="spellEnd"/>
    </w:p>
    <w:p w14:paraId="42A3A53B" w14:textId="77777777" w:rsidR="00372BDC" w:rsidRPr="00372BDC" w:rsidRDefault="00372BDC" w:rsidP="00A335D0">
      <w:pPr>
        <w:rPr>
          <w:rFonts w:cs="Arial"/>
          <w:szCs w:val="22"/>
        </w:rPr>
      </w:pPr>
      <w:r w:rsidRPr="00372BDC">
        <w:rPr>
          <w:rFonts w:cs="Arial"/>
          <w:szCs w:val="22"/>
        </w:rPr>
        <w:t>Současně bud</w:t>
      </w:r>
      <w:r w:rsidR="00574583">
        <w:rPr>
          <w:rFonts w:cs="Arial"/>
          <w:szCs w:val="22"/>
        </w:rPr>
        <w:t>ou</w:t>
      </w:r>
      <w:r w:rsidRPr="00372BDC">
        <w:rPr>
          <w:rFonts w:cs="Arial"/>
          <w:szCs w:val="22"/>
        </w:rPr>
        <w:t xml:space="preserve"> odstraněn</w:t>
      </w:r>
      <w:r w:rsidR="00574583">
        <w:rPr>
          <w:rFonts w:cs="Arial"/>
          <w:szCs w:val="22"/>
        </w:rPr>
        <w:t>y</w:t>
      </w:r>
      <w:r>
        <w:rPr>
          <w:rFonts w:cs="Arial"/>
          <w:szCs w:val="22"/>
        </w:rPr>
        <w:t xml:space="preserve"> </w:t>
      </w:r>
      <w:r w:rsidRPr="00372BDC">
        <w:rPr>
          <w:rFonts w:cs="Arial"/>
          <w:szCs w:val="22"/>
        </w:rPr>
        <w:t>nedostat</w:t>
      </w:r>
      <w:r w:rsidR="00574583">
        <w:rPr>
          <w:rFonts w:cs="Arial"/>
          <w:szCs w:val="22"/>
        </w:rPr>
        <w:t xml:space="preserve">ky </w:t>
      </w:r>
      <w:r w:rsidRPr="00372BDC">
        <w:rPr>
          <w:rFonts w:cs="Arial"/>
          <w:szCs w:val="22"/>
        </w:rPr>
        <w:t>dosavadní sestavy:</w:t>
      </w:r>
    </w:p>
    <w:p w14:paraId="1B06AE30" w14:textId="77777777" w:rsidR="00372BDC" w:rsidRDefault="00372BDC" w:rsidP="00372BDC">
      <w:pPr>
        <w:pStyle w:val="Odstavecseseznamem"/>
        <w:numPr>
          <w:ilvl w:val="0"/>
          <w:numId w:val="30"/>
        </w:numPr>
        <w:rPr>
          <w:rFonts w:cs="Arial"/>
          <w:color w:val="FF0000"/>
          <w:szCs w:val="22"/>
        </w:rPr>
      </w:pPr>
      <w:r>
        <w:rPr>
          <w:rFonts w:cs="Arial"/>
          <w:color w:val="FF0000"/>
          <w:szCs w:val="22"/>
        </w:rPr>
        <w:t xml:space="preserve">Hnojení k jarní plodině (ID typu hnojení 3) je možné jen po </w:t>
      </w:r>
      <w:r w:rsidR="002C2417">
        <w:rPr>
          <w:rFonts w:cs="Arial"/>
          <w:color w:val="FF0000"/>
          <w:szCs w:val="22"/>
        </w:rPr>
        <w:t>1. 10</w:t>
      </w:r>
      <w:r>
        <w:rPr>
          <w:rFonts w:cs="Arial"/>
          <w:color w:val="FF0000"/>
          <w:szCs w:val="22"/>
        </w:rPr>
        <w:t xml:space="preserve">. – zjištění tohoto typu hnojení před </w:t>
      </w:r>
      <w:r w:rsidR="002C2417">
        <w:rPr>
          <w:rFonts w:cs="Arial"/>
          <w:color w:val="FF0000"/>
          <w:szCs w:val="22"/>
        </w:rPr>
        <w:t>1. 10</w:t>
      </w:r>
      <w:r>
        <w:rPr>
          <w:rFonts w:cs="Arial"/>
          <w:color w:val="FF0000"/>
          <w:szCs w:val="22"/>
        </w:rPr>
        <w:t>. bude vypsáno jako chyba</w:t>
      </w:r>
    </w:p>
    <w:p w14:paraId="6A553489" w14:textId="77777777" w:rsidR="00372BDC" w:rsidRDefault="00372BDC" w:rsidP="00372BDC">
      <w:pPr>
        <w:pStyle w:val="Odstavecseseznamem"/>
        <w:numPr>
          <w:ilvl w:val="0"/>
          <w:numId w:val="30"/>
        </w:numPr>
        <w:rPr>
          <w:rFonts w:cs="Arial"/>
          <w:color w:val="FF0000"/>
          <w:szCs w:val="22"/>
        </w:rPr>
      </w:pPr>
      <w:r>
        <w:rPr>
          <w:rFonts w:cs="Arial"/>
          <w:color w:val="FF0000"/>
          <w:szCs w:val="22"/>
        </w:rPr>
        <w:t>Hnojení minerálními hnojivy (KATN=2) za účelem rozkladu slámy (ID typu hnojení 6) je možné jen pokud bude na pozemku existovat plodina k </w:t>
      </w:r>
      <w:r w:rsidR="002C2417">
        <w:rPr>
          <w:rFonts w:cs="Arial"/>
          <w:color w:val="FF0000"/>
          <w:szCs w:val="22"/>
        </w:rPr>
        <w:t>ozimé</w:t>
      </w:r>
      <w:r>
        <w:rPr>
          <w:rFonts w:cs="Arial"/>
          <w:color w:val="FF0000"/>
          <w:szCs w:val="22"/>
        </w:rPr>
        <w:t xml:space="preserve"> plodina nebo přezimující meziplodina (bude zjišťováno existencí plodiny k </w:t>
      </w:r>
      <w:r w:rsidR="002C2417">
        <w:rPr>
          <w:rFonts w:cs="Arial"/>
          <w:color w:val="FF0000"/>
          <w:szCs w:val="22"/>
        </w:rPr>
        <w:t>31. 12</w:t>
      </w:r>
      <w:r>
        <w:rPr>
          <w:rFonts w:cs="Arial"/>
          <w:color w:val="FF0000"/>
          <w:szCs w:val="22"/>
        </w:rPr>
        <w:t>.  – jestliže bude identifikováno hnojení, které dané podmínky nesplňuje, pak</w:t>
      </w:r>
      <w:r w:rsidR="00574583">
        <w:rPr>
          <w:rFonts w:cs="Arial"/>
          <w:color w:val="FF0000"/>
          <w:szCs w:val="22"/>
        </w:rPr>
        <w:t xml:space="preserve"> bude vypsáno jako chyba.</w:t>
      </w:r>
    </w:p>
    <w:p w14:paraId="61CD6873" w14:textId="77777777" w:rsidR="009B0F0E" w:rsidRDefault="009B0F0E" w:rsidP="009B0F0E">
      <w:pPr>
        <w:pStyle w:val="Nadpis2"/>
      </w:pPr>
      <w:r w:rsidRPr="00B815C0">
        <w:t xml:space="preserve">Úprava sestavy </w:t>
      </w:r>
      <w:r>
        <w:t>Roční limit N</w:t>
      </w:r>
    </w:p>
    <w:p w14:paraId="202CE736" w14:textId="77777777" w:rsidR="009B0F0E" w:rsidRDefault="009B0F0E" w:rsidP="009B0F0E">
      <w:r>
        <w:t xml:space="preserve">Základním podstatou změny výpočtu přívodu ročního limitu N je změna výchozího období. Do novely se jednalo o kalendářní rok, od novely se jedná o hospodářský rok začínající </w:t>
      </w:r>
      <w:r w:rsidR="00475460">
        <w:t>1. 7</w:t>
      </w:r>
      <w:r>
        <w:t xml:space="preserve">. a končící 30.6. </w:t>
      </w:r>
    </w:p>
    <w:p w14:paraId="75AEB783" w14:textId="77777777" w:rsidR="009B0F0E" w:rsidRDefault="009B0F0E" w:rsidP="009B0F0E">
      <w:r>
        <w:t xml:space="preserve">S ohledem na to, že je třeba u původní sestavy zachovat kontinuitu bude vytvořen nový odkaz Roční limit N od 2021 (původní zůstane beze změny, je používán např. pro účely přívodu N v ekologickém zemědělství jakožto povinná sestava při </w:t>
      </w:r>
      <w:r w:rsidR="00475460">
        <w:t>kontrole</w:t>
      </w:r>
      <w:r>
        <w:t>.</w:t>
      </w:r>
    </w:p>
    <w:p w14:paraId="4AC325EF" w14:textId="77777777" w:rsidR="009B0F0E" w:rsidRDefault="009B0F0E" w:rsidP="009B0F0E">
      <w:r>
        <w:t xml:space="preserve">V nabídce období nové </w:t>
      </w:r>
      <w:proofErr w:type="gramStart"/>
      <w:r>
        <w:t>sestavy  Roční</w:t>
      </w:r>
      <w:proofErr w:type="gramEnd"/>
      <w:r>
        <w:t xml:space="preserve"> limit N od </w:t>
      </w:r>
      <w:r w:rsidR="007078B5">
        <w:t xml:space="preserve">2020 </w:t>
      </w:r>
      <w:r>
        <w:t xml:space="preserve">bude vždy období </w:t>
      </w:r>
      <w:r w:rsidR="00475460">
        <w:t>1. 7</w:t>
      </w:r>
      <w:r>
        <w:t xml:space="preserve">. roku N-1 do </w:t>
      </w:r>
      <w:r w:rsidR="00475460">
        <w:t>30. 6</w:t>
      </w:r>
      <w:r>
        <w:t>. roku N (např. 1.</w:t>
      </w:r>
      <w:r w:rsidR="00475460">
        <w:t xml:space="preserve"> </w:t>
      </w:r>
      <w:r>
        <w:t>7.</w:t>
      </w:r>
      <w:r w:rsidR="00475460">
        <w:t xml:space="preserve"> </w:t>
      </w:r>
      <w:r w:rsidR="007078B5">
        <w:t>2020</w:t>
      </w:r>
      <w:r w:rsidR="00475460">
        <w:t xml:space="preserve"> </w:t>
      </w:r>
      <w:r>
        <w:t>-</w:t>
      </w:r>
      <w:r w:rsidR="00475460">
        <w:t xml:space="preserve"> 30. 6. 2021</w:t>
      </w:r>
      <w:r>
        <w:t>) a výsledná sestava bude začínat červencem a končit červnem. Mechanismus výpočtu přívodu N zůstane shodný.</w:t>
      </w:r>
    </w:p>
    <w:p w14:paraId="3B9319B7" w14:textId="77777777" w:rsidR="009B0F0E" w:rsidRDefault="009B0F0E" w:rsidP="009B0F0E">
      <w:pPr>
        <w:pStyle w:val="Nadpis2"/>
      </w:pPr>
      <w:r>
        <w:t>Nová sestava Přívod N k plodině</w:t>
      </w:r>
    </w:p>
    <w:p w14:paraId="154E5DCC" w14:textId="77777777" w:rsidR="009B0F0E" w:rsidRDefault="009B0F0E" w:rsidP="009B0F0E">
      <w:r>
        <w:t>S ohledem na „nejistotu“, respektive „míru jistoty“ výpočtu budou aplikace rozděleny na 3 skupiny:</w:t>
      </w:r>
    </w:p>
    <w:p w14:paraId="7A710631" w14:textId="77777777" w:rsidR="009B0F0E" w:rsidRDefault="009B0F0E" w:rsidP="00A55C35">
      <w:pPr>
        <w:pStyle w:val="Odstavecseseznamem"/>
        <w:numPr>
          <w:ilvl w:val="0"/>
          <w:numId w:val="21"/>
        </w:numPr>
      </w:pPr>
      <w:r>
        <w:t>Jisté aplikace na parcelách, kter</w:t>
      </w:r>
      <w:r w:rsidR="00475460">
        <w:t>é</w:t>
      </w:r>
      <w:r>
        <w:t xml:space="preserve"> platily po celou dobu hospodářského roku a bez identifikace nejisté předplodin z kategorie PVN</w:t>
      </w:r>
    </w:p>
    <w:p w14:paraId="5D0770A6" w14:textId="77777777" w:rsidR="009B0F0E" w:rsidRDefault="009B0F0E" w:rsidP="00A55C35">
      <w:pPr>
        <w:pStyle w:val="Odstavecseseznamem"/>
        <w:numPr>
          <w:ilvl w:val="0"/>
          <w:numId w:val="21"/>
        </w:numPr>
      </w:pPr>
      <w:r>
        <w:t>Jisté aplikace na parcelách, kter</w:t>
      </w:r>
      <w:r w:rsidR="00475460">
        <w:t>é</w:t>
      </w:r>
      <w:r>
        <w:t xml:space="preserve"> platily po celou dobu hospodářského roku </w:t>
      </w:r>
      <w:proofErr w:type="gramStart"/>
      <w:r>
        <w:t>s  identifikací</w:t>
      </w:r>
      <w:proofErr w:type="gramEnd"/>
      <w:r>
        <w:t xml:space="preserve"> nejisté předplodin z kategorie PVN</w:t>
      </w:r>
    </w:p>
    <w:p w14:paraId="01796B0C" w14:textId="77777777" w:rsidR="009B0F0E" w:rsidRDefault="009B0F0E" w:rsidP="00A55C35">
      <w:pPr>
        <w:pStyle w:val="Odstavecseseznamem"/>
        <w:numPr>
          <w:ilvl w:val="0"/>
          <w:numId w:val="21"/>
        </w:numPr>
      </w:pPr>
      <w:r>
        <w:t>Nejisté aplikace na parcelách, které neplatily po celou dobu hospodářského roku</w:t>
      </w:r>
    </w:p>
    <w:p w14:paraId="2A0C5D90" w14:textId="77777777" w:rsidR="009B0F0E" w:rsidRPr="009B0F0E" w:rsidRDefault="009B0F0E" w:rsidP="009B0F0E"/>
    <w:p w14:paraId="376E2B9D" w14:textId="77777777" w:rsidR="009B0F0E" w:rsidRDefault="009B0F0E" w:rsidP="009B0F0E"/>
    <w:p w14:paraId="188C0443" w14:textId="77777777" w:rsidR="009B0F0E" w:rsidRDefault="009B0F0E" w:rsidP="009B0F0E">
      <w:r>
        <w:t>Výsledná sestava bude mít podobu existující sestav Souhrnné aplikace dle období (hnojiva) s tím, že</w:t>
      </w:r>
    </w:p>
    <w:p w14:paraId="4E8C2E71" w14:textId="77777777" w:rsidR="009B0F0E" w:rsidRDefault="009B0F0E" w:rsidP="00A55C35">
      <w:pPr>
        <w:pStyle w:val="Odstavecseseznamem"/>
        <w:numPr>
          <w:ilvl w:val="0"/>
          <w:numId w:val="22"/>
        </w:numPr>
      </w:pPr>
      <w:r>
        <w:t xml:space="preserve">Nebude obsahovat další sloupce s živinami kromě N </w:t>
      </w:r>
    </w:p>
    <w:p w14:paraId="72DE966A" w14:textId="77777777" w:rsidR="00BD530B" w:rsidRDefault="009B0F0E" w:rsidP="00A55C35">
      <w:pPr>
        <w:pStyle w:val="Odstavecseseznamem"/>
        <w:numPr>
          <w:ilvl w:val="0"/>
          <w:numId w:val="22"/>
        </w:numPr>
        <w:rPr>
          <w:b/>
          <w:bCs/>
        </w:rPr>
      </w:pPr>
      <w:r>
        <w:t xml:space="preserve">Bude obsahovat limit N </w:t>
      </w:r>
      <w:r w:rsidR="00BD530B">
        <w:t xml:space="preserve">pro příslušnou plodinu a event. užitkový směr pěstování dle </w:t>
      </w:r>
      <w:r w:rsidR="00475460" w:rsidRPr="00BD530B">
        <w:rPr>
          <w:b/>
          <w:bCs/>
        </w:rPr>
        <w:t>Číselníku</w:t>
      </w:r>
      <w:r w:rsidR="00BD530B" w:rsidRPr="00BD530B">
        <w:rPr>
          <w:b/>
          <w:bCs/>
        </w:rPr>
        <w:t xml:space="preserve"> limitů N ve vztahu k</w:t>
      </w:r>
      <w:r w:rsidR="00CB2341">
        <w:rPr>
          <w:b/>
          <w:bCs/>
        </w:rPr>
        <w:t> </w:t>
      </w:r>
      <w:r w:rsidR="00BD530B" w:rsidRPr="00BD530B">
        <w:rPr>
          <w:b/>
          <w:bCs/>
        </w:rPr>
        <w:t>plodině</w:t>
      </w:r>
      <w:r w:rsidR="00CB2341">
        <w:rPr>
          <w:b/>
          <w:bCs/>
        </w:rPr>
        <w:t xml:space="preserve"> (na základě evidované výnosové hladiny na DPB)</w:t>
      </w:r>
    </w:p>
    <w:p w14:paraId="603D59E4" w14:textId="77777777" w:rsidR="00BD530B" w:rsidRPr="00FD761B" w:rsidRDefault="00BD530B" w:rsidP="0073136A">
      <w:pPr>
        <w:pStyle w:val="Odstavecseseznamem"/>
        <w:numPr>
          <w:ilvl w:val="0"/>
          <w:numId w:val="22"/>
        </w:numPr>
        <w:jc w:val="both"/>
        <w:rPr>
          <w:b/>
          <w:bCs/>
        </w:rPr>
      </w:pPr>
      <w:r>
        <w:lastRenderedPageBreak/>
        <w:t xml:space="preserve">Bude obsahovat sloupec, zda </w:t>
      </w:r>
      <w:r w:rsidR="00963309">
        <w:t xml:space="preserve">s hodnotou </w:t>
      </w:r>
      <w:proofErr w:type="gramStart"/>
      <w:r w:rsidRPr="00FD761B">
        <w:t>odpoč</w:t>
      </w:r>
      <w:r w:rsidR="00963309" w:rsidRPr="00FD761B">
        <w:t>tu</w:t>
      </w:r>
      <w:r w:rsidRPr="00FD761B">
        <w:t xml:space="preserve"> </w:t>
      </w:r>
      <w:r w:rsidR="00963309" w:rsidRPr="00FD761B">
        <w:t xml:space="preserve"> kg</w:t>
      </w:r>
      <w:proofErr w:type="gramEnd"/>
      <w:r w:rsidR="00963309" w:rsidRPr="00FD761B">
        <w:t xml:space="preserve"> </w:t>
      </w:r>
      <w:r w:rsidRPr="00FD761B">
        <w:t>N z důvodu existence předplodiny spadající do číselníku PVN – sloupec bude nabývat hodnot  0,</w:t>
      </w:r>
      <w:r w:rsidR="00963309" w:rsidRPr="00FD761B">
        <w:t xml:space="preserve"> </w:t>
      </w:r>
      <w:r w:rsidRPr="00FD761B">
        <w:t>25,</w:t>
      </w:r>
      <w:r w:rsidR="00963309" w:rsidRPr="00FD761B">
        <w:t xml:space="preserve"> </w:t>
      </w:r>
      <w:r w:rsidRPr="00FD761B">
        <w:t xml:space="preserve">50 nebo </w:t>
      </w:r>
      <w:r w:rsidR="00963309" w:rsidRPr="00FD761B">
        <w:t>„</w:t>
      </w:r>
      <w:r w:rsidRPr="00FD761B">
        <w:t>?</w:t>
      </w:r>
      <w:r w:rsidR="00963309" w:rsidRPr="00FD761B">
        <w:t>“</w:t>
      </w:r>
      <w:r w:rsidRPr="00FD761B">
        <w:t xml:space="preserve"> </w:t>
      </w:r>
    </w:p>
    <w:p w14:paraId="2CAE638F" w14:textId="77777777" w:rsidR="00BD530B" w:rsidRPr="00BD530B" w:rsidRDefault="00BD530B" w:rsidP="0073136A">
      <w:pPr>
        <w:pStyle w:val="Odstavecseseznamem"/>
        <w:numPr>
          <w:ilvl w:val="0"/>
          <w:numId w:val="22"/>
        </w:numPr>
        <w:jc w:val="both"/>
        <w:rPr>
          <w:b/>
          <w:bCs/>
        </w:rPr>
      </w:pPr>
      <w:r>
        <w:t xml:space="preserve">Bude obsahovat sloupec konečný celkový přívod N po zohlednění odpočtu N za předplodinu PVN – ten bude </w:t>
      </w:r>
      <w:r w:rsidR="002C2417">
        <w:t>plněn, jen</w:t>
      </w:r>
      <w:r>
        <w:t xml:space="preserve"> pokud bude odpočet N obsahovat konkrétní hodnotu a nikoliv </w:t>
      </w:r>
      <w:r w:rsidR="00963309">
        <w:t>„</w:t>
      </w:r>
      <w:r>
        <w:t>?</w:t>
      </w:r>
      <w:r w:rsidR="00963309">
        <w:t>“</w:t>
      </w:r>
    </w:p>
    <w:p w14:paraId="392E35B9" w14:textId="77777777" w:rsidR="00BD530B" w:rsidRPr="00BD530B" w:rsidRDefault="00BD530B" w:rsidP="00BD530B">
      <w:pPr>
        <w:jc w:val="both"/>
      </w:pPr>
      <w:r>
        <w:t xml:space="preserve">Pro účely sumace přívodu N se použije shodný </w:t>
      </w:r>
      <w:r w:rsidR="00475460">
        <w:t>aparát, jako</w:t>
      </w:r>
      <w:r>
        <w:t xml:space="preserve"> již dnes se používá pro </w:t>
      </w:r>
      <w:proofErr w:type="spellStart"/>
      <w:r>
        <w:t>nápočet</w:t>
      </w:r>
      <w:proofErr w:type="spellEnd"/>
      <w:r>
        <w:t xml:space="preserve"> sloupce Přepočtený N v sestavě Souhrnné aplikace dle období, tj. zdrojem % zápočtu N je centrální registr hnojiv, v </w:t>
      </w:r>
      <w:proofErr w:type="gramStart"/>
      <w:r>
        <w:t>rámci</w:t>
      </w:r>
      <w:proofErr w:type="gramEnd"/>
      <w:r>
        <w:t xml:space="preserve"> kterého je údaj editován pracovníky ÚKZÚZ. Věcně </w:t>
      </w:r>
      <w:proofErr w:type="gramStart"/>
      <w:r>
        <w:t xml:space="preserve">je </w:t>
      </w:r>
      <w:r w:rsidR="002C2417">
        <w:t xml:space="preserve"> do</w:t>
      </w:r>
      <w:proofErr w:type="gramEnd"/>
      <w:r w:rsidR="002C2417">
        <w:t xml:space="preserve"> přívodu dusíku </w:t>
      </w:r>
      <w:r w:rsidRPr="00BD530B">
        <w:t xml:space="preserve"> započítán </w:t>
      </w:r>
      <w:r w:rsidRPr="00BD530B">
        <w:rPr>
          <w:b/>
        </w:rPr>
        <w:t>celkový dusík z minerálních hnojiv a dusík využitelný</w:t>
      </w:r>
      <w:r w:rsidRPr="00BD530B">
        <w:t xml:space="preserve"> pěstovanou plodinou v prvním roce, a to </w:t>
      </w:r>
    </w:p>
    <w:p w14:paraId="3CCFCCB4" w14:textId="77777777" w:rsidR="00BD530B" w:rsidRPr="00BD530B" w:rsidRDefault="00BD530B" w:rsidP="00BD530B">
      <w:pPr>
        <w:ind w:firstLine="426"/>
        <w:jc w:val="both"/>
        <w:rPr>
          <w:b/>
        </w:rPr>
      </w:pPr>
      <w:r w:rsidRPr="00BD530B">
        <w:rPr>
          <w:b/>
        </w:rPr>
        <w:t xml:space="preserve">1) 30 % z celkového dusíku hnojiv s pomalu uvolnitelným dusíkem a upravených kalů, </w:t>
      </w:r>
    </w:p>
    <w:p w14:paraId="0AECEEB5" w14:textId="77777777" w:rsidR="00BD530B" w:rsidRPr="00BD530B" w:rsidRDefault="00BD530B" w:rsidP="00BD530B">
      <w:pPr>
        <w:ind w:firstLine="426"/>
        <w:jc w:val="both"/>
        <w:rPr>
          <w:b/>
        </w:rPr>
      </w:pPr>
      <w:r w:rsidRPr="00BD530B">
        <w:rPr>
          <w:b/>
        </w:rPr>
        <w:t xml:space="preserve">2) 60 % z celkového dusíku hnojiv s rychle uvolnitelným dusíkem, </w:t>
      </w:r>
    </w:p>
    <w:p w14:paraId="3E8E5D03" w14:textId="77777777" w:rsidR="00BD530B" w:rsidRPr="00BD530B" w:rsidRDefault="00BD530B" w:rsidP="00BD530B">
      <w:pPr>
        <w:ind w:firstLine="426"/>
        <w:jc w:val="both"/>
        <w:rPr>
          <w:b/>
        </w:rPr>
      </w:pPr>
      <w:r w:rsidRPr="00BD530B">
        <w:rPr>
          <w:b/>
        </w:rPr>
        <w:t xml:space="preserve">s výjimkou kejdy prasat, nebo </w:t>
      </w:r>
    </w:p>
    <w:p w14:paraId="76930BF6" w14:textId="77777777" w:rsidR="00BD530B" w:rsidRDefault="00BD530B" w:rsidP="00BD530B">
      <w:pPr>
        <w:ind w:firstLine="426"/>
        <w:jc w:val="both"/>
        <w:rPr>
          <w:b/>
        </w:rPr>
      </w:pPr>
      <w:r w:rsidRPr="00BD530B">
        <w:rPr>
          <w:b/>
        </w:rPr>
        <w:t>3) 70 % z celkového dusíku kejdy prasat</w:t>
      </w:r>
      <w:r w:rsidR="00EA1F60">
        <w:rPr>
          <w:b/>
        </w:rPr>
        <w:t>.</w:t>
      </w:r>
    </w:p>
    <w:p w14:paraId="023ECE56" w14:textId="77777777" w:rsidR="00EA1F60" w:rsidRDefault="00EA1F60" w:rsidP="00EA1F60">
      <w:pPr>
        <w:jc w:val="both"/>
        <w:rPr>
          <w:b/>
        </w:rPr>
      </w:pPr>
    </w:p>
    <w:p w14:paraId="3E7E775C" w14:textId="77777777" w:rsidR="00EA1F60" w:rsidRPr="00BD530B" w:rsidRDefault="00EA1F60" w:rsidP="00EA1F60">
      <w:pPr>
        <w:jc w:val="both"/>
        <w:rPr>
          <w:b/>
        </w:rPr>
      </w:pPr>
      <w:r w:rsidRPr="00EA1F60">
        <w:rPr>
          <w:b/>
        </w:rPr>
        <w:t>Základnou pro výpočet přívodu N je výměra parcely k 31.</w:t>
      </w:r>
      <w:r w:rsidR="00475460">
        <w:rPr>
          <w:b/>
        </w:rPr>
        <w:t xml:space="preserve"> </w:t>
      </w:r>
      <w:r w:rsidRPr="00EA1F60">
        <w:rPr>
          <w:b/>
        </w:rPr>
        <w:t>5.</w:t>
      </w:r>
    </w:p>
    <w:p w14:paraId="14B5CE28" w14:textId="77777777" w:rsidR="00BD530B" w:rsidRDefault="00BD530B" w:rsidP="00BD530B"/>
    <w:p w14:paraId="1DB294D2" w14:textId="77777777" w:rsidR="00BD530B" w:rsidRDefault="00BD530B" w:rsidP="00BD530B">
      <w:pPr>
        <w:spacing w:after="0"/>
      </w:pPr>
      <w:r>
        <w:t>Pokud jde o odpočet N z důvodu existence předplodiny spadající do číselníku PVN bude systém fungovat takto:</w:t>
      </w:r>
    </w:p>
    <w:p w14:paraId="67041048" w14:textId="77777777" w:rsidR="00BD530B" w:rsidRDefault="00BD530B" w:rsidP="00A55C35">
      <w:pPr>
        <w:pStyle w:val="Odstavecseseznamem"/>
        <w:numPr>
          <w:ilvl w:val="0"/>
          <w:numId w:val="23"/>
        </w:numPr>
        <w:spacing w:after="0"/>
      </w:pPr>
      <w:r>
        <w:t xml:space="preserve">Jestliže parcela platí po celou dobu hospodářského roku včetně období alespoň viditelné části hospodářského roku N-1 (tj. období po </w:t>
      </w:r>
      <w:r w:rsidR="00475460">
        <w:t>1. 6</w:t>
      </w:r>
      <w:r>
        <w:t>. roku N-1) lze na takové parcele považovat data pro dohledání předplodiny za spolehlivá</w:t>
      </w:r>
    </w:p>
    <w:p w14:paraId="21F18BC0" w14:textId="77777777" w:rsidR="00AE3498" w:rsidRDefault="00AE3498" w:rsidP="00A55C35">
      <w:pPr>
        <w:pStyle w:val="Odstavecseseznamem"/>
        <w:numPr>
          <w:ilvl w:val="0"/>
          <w:numId w:val="23"/>
        </w:numPr>
        <w:spacing w:after="0"/>
      </w:pPr>
      <w:r>
        <w:t xml:space="preserve">V případě dohledání spolehlivé předplodiny bude vyhodnoceno, zda se jedná o </w:t>
      </w:r>
    </w:p>
    <w:p w14:paraId="4A8B0650" w14:textId="77777777" w:rsidR="00AE3498" w:rsidRDefault="00AE3498" w:rsidP="00A55C35">
      <w:pPr>
        <w:pStyle w:val="Odstavecseseznamem"/>
        <w:numPr>
          <w:ilvl w:val="0"/>
          <w:numId w:val="24"/>
        </w:numPr>
        <w:spacing w:after="0"/>
      </w:pPr>
      <w:r>
        <w:t xml:space="preserve">Jednoletou nebo luskovinu bez zapravení slámy – pak odpočet 25 </w:t>
      </w:r>
      <w:r w:rsidR="00963309">
        <w:t>kg</w:t>
      </w:r>
    </w:p>
    <w:p w14:paraId="527E026E" w14:textId="77777777" w:rsidR="00AE3498" w:rsidRDefault="00AE3498" w:rsidP="00A55C35">
      <w:pPr>
        <w:pStyle w:val="Odstavecseseznamem"/>
        <w:numPr>
          <w:ilvl w:val="0"/>
          <w:numId w:val="24"/>
        </w:numPr>
        <w:spacing w:after="0"/>
      </w:pPr>
      <w:r>
        <w:t>Luskovinu se zapravením slámy – pak odpočet 50</w:t>
      </w:r>
      <w:r w:rsidR="00963309">
        <w:t xml:space="preserve"> kg </w:t>
      </w:r>
    </w:p>
    <w:p w14:paraId="473007DC" w14:textId="77777777" w:rsidR="00AE3498" w:rsidRDefault="00AE3498" w:rsidP="00A55C35">
      <w:pPr>
        <w:pStyle w:val="Odstavecseseznamem"/>
        <w:numPr>
          <w:ilvl w:val="0"/>
          <w:numId w:val="24"/>
        </w:numPr>
        <w:spacing w:after="0"/>
      </w:pPr>
      <w:proofErr w:type="spellStart"/>
      <w:r w:rsidRPr="00FD761B">
        <w:t>Nejednoletou</w:t>
      </w:r>
      <w:proofErr w:type="spellEnd"/>
      <w:r w:rsidRPr="00FD761B">
        <w:t xml:space="preserve"> P</w:t>
      </w:r>
      <w:r>
        <w:t>VN</w:t>
      </w:r>
      <w:r w:rsidR="00963309">
        <w:t xml:space="preserve"> (</w:t>
      </w:r>
      <w:r w:rsidR="00963309" w:rsidRPr="00963309">
        <w:rPr>
          <w:color w:val="FF0000"/>
        </w:rPr>
        <w:t>tj. v číselníku je nastaveno Jednoletá = NE nebo neurčeno</w:t>
      </w:r>
      <w:r w:rsidR="00963309">
        <w:t>)</w:t>
      </w:r>
      <w:r>
        <w:t xml:space="preserve"> – pak pokud k ukončení porostu došlo v nultém nebo prvním roce </w:t>
      </w:r>
      <w:r w:rsidR="00EA1F60">
        <w:t>pěstování pak odpočet 25</w:t>
      </w:r>
      <w:r w:rsidR="00963309">
        <w:t xml:space="preserve"> kg</w:t>
      </w:r>
      <w:r w:rsidR="00EA1F60">
        <w:t>, jinak 50</w:t>
      </w:r>
      <w:r w:rsidR="00963309">
        <w:t xml:space="preserve"> kg</w:t>
      </w:r>
    </w:p>
    <w:p w14:paraId="18AA4ADB" w14:textId="77777777" w:rsidR="00EA1F60" w:rsidRDefault="00EA1F60" w:rsidP="0073136A">
      <w:pPr>
        <w:pStyle w:val="Odstavecseseznamem"/>
        <w:numPr>
          <w:ilvl w:val="0"/>
          <w:numId w:val="25"/>
        </w:numPr>
        <w:spacing w:after="0"/>
        <w:jc w:val="both"/>
      </w:pPr>
      <w:r>
        <w:t xml:space="preserve">Jestliže parcela neplatí po celou dobu hospodářského roku nebo nemá k dispozici ani část hospodářského roku N-1 bude existence předplodiny probíhat přes shodu čtverce a zkráceného kódu, jestliže takový čtverec + </w:t>
      </w:r>
      <w:proofErr w:type="spellStart"/>
      <w:r>
        <w:t>zkód</w:t>
      </w:r>
      <w:proofErr w:type="spellEnd"/>
      <w:r>
        <w:t xml:space="preserve"> k </w:t>
      </w:r>
      <w:r w:rsidR="00FD761B">
        <w:t>31.5 roku</w:t>
      </w:r>
      <w:r>
        <w:t xml:space="preserve"> N-1 existoval. Pokud ano a bude identifikována předplodina z číselníku PVN bude nastavena hodnota limitu odpočtu N jako „?“, tedy potenciální odpočet může existovat a musí být proveden manuálně. Pokud nebude existovat plodina PVN z roku N-1, pak bude nastavena hodnota odpočtu 0. </w:t>
      </w:r>
    </w:p>
    <w:p w14:paraId="5806756B" w14:textId="77777777" w:rsidR="00EA1F60" w:rsidRDefault="00EA1F60" w:rsidP="00A55C35">
      <w:pPr>
        <w:pStyle w:val="Odstavecseseznamem"/>
        <w:numPr>
          <w:ilvl w:val="0"/>
          <w:numId w:val="25"/>
        </w:numPr>
        <w:spacing w:after="0"/>
      </w:pPr>
      <w:r>
        <w:t xml:space="preserve">Ve všech ostatních případech bude nastavena hodnota odpočtu N na „?“ </w:t>
      </w:r>
    </w:p>
    <w:p w14:paraId="0AD37D1D" w14:textId="77777777" w:rsidR="00EA1F60" w:rsidRPr="00BD530B" w:rsidRDefault="00EA1F60" w:rsidP="00EA1F60">
      <w:pPr>
        <w:spacing w:after="0"/>
      </w:pPr>
    </w:p>
    <w:p w14:paraId="6E7382F2" w14:textId="77777777" w:rsidR="00220636" w:rsidRPr="00120BD1" w:rsidRDefault="00220636" w:rsidP="00220636">
      <w:pPr>
        <w:pStyle w:val="Nadpis2"/>
      </w:pPr>
      <w:r w:rsidRPr="00120BD1">
        <w:t>Nová sestava pro kontrolu střídání pěstování kukuřice</w:t>
      </w:r>
    </w:p>
    <w:p w14:paraId="60736DB5" w14:textId="77777777" w:rsidR="009B0F0E" w:rsidRDefault="00CB2341" w:rsidP="00A335D0">
      <w:pPr>
        <w:rPr>
          <w:rFonts w:cs="Arial"/>
          <w:szCs w:val="22"/>
        </w:rPr>
      </w:pPr>
      <w:r>
        <w:rPr>
          <w:rFonts w:cs="Arial"/>
          <w:szCs w:val="22"/>
        </w:rPr>
        <w:t xml:space="preserve">Předmětem kontroly jsou DPB, které se nacházejí ve III. aplikačním pásmu ZOD (dostupné ve </w:t>
      </w:r>
      <w:proofErr w:type="spellStart"/>
      <w:r>
        <w:rPr>
          <w:rFonts w:cs="Arial"/>
          <w:szCs w:val="22"/>
        </w:rPr>
        <w:t>view_eph_pudnibloky</w:t>
      </w:r>
      <w:proofErr w:type="spellEnd"/>
      <w:r>
        <w:rPr>
          <w:rFonts w:cs="Arial"/>
          <w:szCs w:val="22"/>
        </w:rPr>
        <w:t>.</w:t>
      </w:r>
      <w:r w:rsidR="00E54B62">
        <w:rPr>
          <w:rFonts w:cs="Arial"/>
          <w:szCs w:val="22"/>
        </w:rPr>
        <w:t xml:space="preserve"> Principem kontroly je, že se kukuřice nevyskytuje na témže pozemku 3 roky po sobě. Prvním rokem pěstování je rok 2020.</w:t>
      </w:r>
    </w:p>
    <w:p w14:paraId="474492E4" w14:textId="77777777" w:rsidR="00CB2341" w:rsidRDefault="00CB2341" w:rsidP="00A335D0">
      <w:pPr>
        <w:rPr>
          <w:rFonts w:cs="Arial"/>
          <w:szCs w:val="22"/>
        </w:rPr>
      </w:pPr>
      <w:r>
        <w:rPr>
          <w:rFonts w:cs="Arial"/>
          <w:szCs w:val="22"/>
        </w:rPr>
        <w:t xml:space="preserve">Sestava bude parametrizována </w:t>
      </w:r>
      <w:r w:rsidRPr="00CB2341">
        <w:rPr>
          <w:rFonts w:cs="Arial"/>
          <w:b/>
          <w:bCs/>
          <w:szCs w:val="22"/>
        </w:rPr>
        <w:t>rokem</w:t>
      </w:r>
      <w:r>
        <w:rPr>
          <w:rFonts w:cs="Arial"/>
          <w:szCs w:val="22"/>
        </w:rPr>
        <w:t xml:space="preserve"> – algoritmus bude následující:</w:t>
      </w:r>
    </w:p>
    <w:p w14:paraId="2CC42260" w14:textId="77777777" w:rsidR="00CB2341" w:rsidRDefault="00CB2341" w:rsidP="00CB2341">
      <w:pPr>
        <w:pStyle w:val="Odstavecseseznamem"/>
        <w:numPr>
          <w:ilvl w:val="0"/>
          <w:numId w:val="26"/>
        </w:numPr>
        <w:rPr>
          <w:rFonts w:cs="Arial"/>
          <w:szCs w:val="22"/>
        </w:rPr>
      </w:pPr>
      <w:r>
        <w:rPr>
          <w:rFonts w:cs="Arial"/>
          <w:szCs w:val="22"/>
        </w:rPr>
        <w:t>Systém nejprve vybere dotčené DPB nacházející se v III. aplikačním pásmu</w:t>
      </w:r>
    </w:p>
    <w:p w14:paraId="7B6785C7" w14:textId="77777777" w:rsidR="00CB2341" w:rsidRDefault="00CB2341" w:rsidP="00CB2341">
      <w:pPr>
        <w:pStyle w:val="Odstavecseseznamem"/>
        <w:numPr>
          <w:ilvl w:val="0"/>
          <w:numId w:val="26"/>
        </w:numPr>
        <w:rPr>
          <w:rFonts w:cs="Arial"/>
          <w:szCs w:val="22"/>
        </w:rPr>
      </w:pPr>
      <w:r>
        <w:rPr>
          <w:rFonts w:cs="Arial"/>
          <w:szCs w:val="22"/>
        </w:rPr>
        <w:t>Dotazem do SDB – opatření deklarace plodin identifikuje DPB, na kterých se pěstuje v příslušném roce plodina kukuřice</w:t>
      </w:r>
    </w:p>
    <w:p w14:paraId="4D841961" w14:textId="77777777" w:rsidR="00CB2341" w:rsidRDefault="00CB2341" w:rsidP="00CB2341">
      <w:pPr>
        <w:pStyle w:val="Odstavecseseznamem"/>
        <w:numPr>
          <w:ilvl w:val="0"/>
          <w:numId w:val="26"/>
        </w:numPr>
        <w:rPr>
          <w:rFonts w:cs="Arial"/>
          <w:szCs w:val="22"/>
        </w:rPr>
      </w:pPr>
      <w:r>
        <w:rPr>
          <w:rFonts w:cs="Arial"/>
          <w:szCs w:val="22"/>
        </w:rPr>
        <w:t xml:space="preserve">Následně pro tyto DPB bude proveden dotaz do LPIS </w:t>
      </w:r>
      <w:proofErr w:type="gramStart"/>
      <w:r>
        <w:rPr>
          <w:rFonts w:cs="Arial"/>
          <w:szCs w:val="22"/>
        </w:rPr>
        <w:t xml:space="preserve">službou  </w:t>
      </w:r>
      <w:r w:rsidRPr="00CB2341">
        <w:rPr>
          <w:rFonts w:cs="Arial"/>
          <w:szCs w:val="22"/>
        </w:rPr>
        <w:t>LPI</w:t>
      </w:r>
      <w:proofErr w:type="gramEnd"/>
      <w:r w:rsidRPr="00CB2341">
        <w:rPr>
          <w:rFonts w:cs="Arial"/>
          <w:szCs w:val="22"/>
        </w:rPr>
        <w:t>_HPP01A</w:t>
      </w:r>
      <w:r>
        <w:rPr>
          <w:rFonts w:cs="Arial"/>
          <w:szCs w:val="22"/>
        </w:rPr>
        <w:t xml:space="preserve"> – ta vrátí plodiny s překryvy dle jednotné žádosti v předchozích letech. Systém vezme v potaz pouze plodiny v roce N-1</w:t>
      </w:r>
      <w:r w:rsidR="00E54B62">
        <w:rPr>
          <w:rFonts w:cs="Arial"/>
          <w:szCs w:val="22"/>
        </w:rPr>
        <w:t xml:space="preserve"> a v roce N-2</w:t>
      </w:r>
    </w:p>
    <w:p w14:paraId="5FCE8244" w14:textId="77777777" w:rsidR="00CB2341" w:rsidRDefault="00CB2341" w:rsidP="00CB2341">
      <w:pPr>
        <w:pStyle w:val="Odstavecseseznamem"/>
        <w:numPr>
          <w:ilvl w:val="0"/>
          <w:numId w:val="26"/>
        </w:numPr>
        <w:rPr>
          <w:rFonts w:cs="Arial"/>
          <w:szCs w:val="22"/>
        </w:rPr>
      </w:pPr>
      <w:r>
        <w:rPr>
          <w:rFonts w:cs="Arial"/>
          <w:szCs w:val="22"/>
        </w:rPr>
        <w:t>Výsledky budou prezentovány do seznamu v </w:t>
      </w:r>
      <w:proofErr w:type="gramStart"/>
      <w:r>
        <w:rPr>
          <w:rFonts w:cs="Arial"/>
          <w:szCs w:val="22"/>
        </w:rPr>
        <w:t>XLS  a</w:t>
      </w:r>
      <w:proofErr w:type="gramEnd"/>
      <w:r>
        <w:rPr>
          <w:rFonts w:cs="Arial"/>
          <w:szCs w:val="22"/>
        </w:rPr>
        <w:t xml:space="preserve"> potenciální porušení klasifikováno chybou</w:t>
      </w:r>
    </w:p>
    <w:p w14:paraId="1068575A" w14:textId="77777777" w:rsidR="00CB2341" w:rsidRDefault="00CB2341" w:rsidP="00CB2341">
      <w:pPr>
        <w:rPr>
          <w:rFonts w:cs="Arial"/>
          <w:szCs w:val="22"/>
        </w:rPr>
      </w:pPr>
    </w:p>
    <w:p w14:paraId="0DEBD9B6" w14:textId="77777777" w:rsidR="00CB2341" w:rsidRDefault="00CB2341" w:rsidP="00CB2341">
      <w:pPr>
        <w:rPr>
          <w:rFonts w:cs="Arial"/>
          <w:szCs w:val="22"/>
        </w:rPr>
      </w:pPr>
      <w:r>
        <w:rPr>
          <w:rFonts w:cs="Arial"/>
          <w:szCs w:val="22"/>
        </w:rPr>
        <w:t>Výsledná sestava do XLS bude mít následující podobu:</w:t>
      </w:r>
    </w:p>
    <w:p w14:paraId="2C0BCF92" w14:textId="77777777" w:rsidR="00CB2341" w:rsidRDefault="00CB2341" w:rsidP="00CB2341">
      <w:pPr>
        <w:pStyle w:val="Odstavecseseznamem"/>
        <w:numPr>
          <w:ilvl w:val="0"/>
          <w:numId w:val="27"/>
        </w:numPr>
        <w:rPr>
          <w:rFonts w:cs="Arial"/>
          <w:szCs w:val="22"/>
        </w:rPr>
      </w:pPr>
      <w:r>
        <w:rPr>
          <w:rFonts w:cs="Arial"/>
          <w:szCs w:val="22"/>
        </w:rPr>
        <w:lastRenderedPageBreak/>
        <w:t>Standardní záhlaví s hodnoceným rokem</w:t>
      </w:r>
    </w:p>
    <w:p w14:paraId="5C26CD35" w14:textId="77777777" w:rsidR="00CB2341" w:rsidRDefault="00CB2341" w:rsidP="00CB2341">
      <w:pPr>
        <w:pStyle w:val="Odstavecseseznamem"/>
        <w:numPr>
          <w:ilvl w:val="0"/>
          <w:numId w:val="27"/>
        </w:numPr>
        <w:rPr>
          <w:rFonts w:cs="Arial"/>
          <w:szCs w:val="22"/>
        </w:rPr>
      </w:pPr>
      <w:r>
        <w:rPr>
          <w:rFonts w:cs="Arial"/>
          <w:szCs w:val="22"/>
        </w:rPr>
        <w:t>Seznam DPB s </w:t>
      </w:r>
      <w:proofErr w:type="gramStart"/>
      <w:r>
        <w:rPr>
          <w:rFonts w:cs="Arial"/>
          <w:szCs w:val="22"/>
        </w:rPr>
        <w:t>kulturou  R</w:t>
      </w:r>
      <w:proofErr w:type="gramEnd"/>
      <w:r>
        <w:rPr>
          <w:rFonts w:cs="Arial"/>
          <w:szCs w:val="22"/>
        </w:rPr>
        <w:t xml:space="preserve">  v daném roce</w:t>
      </w:r>
      <w:r w:rsidR="00120BD1">
        <w:rPr>
          <w:rFonts w:cs="Arial"/>
          <w:szCs w:val="22"/>
        </w:rPr>
        <w:t xml:space="preserve"> s těmito údaji:</w:t>
      </w:r>
    </w:p>
    <w:p w14:paraId="579B5ACC" w14:textId="77777777" w:rsidR="00120BD1" w:rsidRDefault="00120BD1" w:rsidP="00120BD1">
      <w:pPr>
        <w:pStyle w:val="Odstavecseseznamem"/>
        <w:numPr>
          <w:ilvl w:val="0"/>
          <w:numId w:val="28"/>
        </w:numPr>
        <w:rPr>
          <w:rFonts w:cs="Arial"/>
          <w:szCs w:val="22"/>
        </w:rPr>
      </w:pPr>
      <w:r>
        <w:rPr>
          <w:rFonts w:cs="Arial"/>
          <w:szCs w:val="22"/>
        </w:rPr>
        <w:t xml:space="preserve">Identifikace DPB čtvercem + zkráceným kódem + výměra DPB + plodina + výměra plodiny </w:t>
      </w:r>
    </w:p>
    <w:p w14:paraId="7DF71734" w14:textId="77777777" w:rsidR="00120BD1" w:rsidRDefault="00120BD1" w:rsidP="00120BD1">
      <w:pPr>
        <w:pStyle w:val="Odstavecseseznamem"/>
        <w:numPr>
          <w:ilvl w:val="0"/>
          <w:numId w:val="28"/>
        </w:numPr>
        <w:rPr>
          <w:rFonts w:cs="Arial"/>
          <w:szCs w:val="22"/>
        </w:rPr>
      </w:pPr>
      <w:r>
        <w:rPr>
          <w:rFonts w:cs="Arial"/>
          <w:szCs w:val="22"/>
        </w:rPr>
        <w:t xml:space="preserve">Zařazení do </w:t>
      </w:r>
      <w:proofErr w:type="spellStart"/>
      <w:r>
        <w:rPr>
          <w:rFonts w:cs="Arial"/>
          <w:szCs w:val="22"/>
        </w:rPr>
        <w:t>apl</w:t>
      </w:r>
      <w:proofErr w:type="spellEnd"/>
      <w:r>
        <w:rPr>
          <w:rFonts w:cs="Arial"/>
          <w:szCs w:val="22"/>
        </w:rPr>
        <w:t>. pásma ZOD</w:t>
      </w:r>
    </w:p>
    <w:p w14:paraId="0B421098" w14:textId="77777777" w:rsidR="00120BD1" w:rsidRDefault="005E7524" w:rsidP="00120BD1">
      <w:pPr>
        <w:pStyle w:val="Odstavecseseznamem"/>
        <w:numPr>
          <w:ilvl w:val="0"/>
          <w:numId w:val="28"/>
        </w:numPr>
        <w:rPr>
          <w:rFonts w:cs="Arial"/>
          <w:szCs w:val="22"/>
        </w:rPr>
      </w:pPr>
      <w:r>
        <w:rPr>
          <w:rFonts w:cs="Arial"/>
          <w:szCs w:val="22"/>
        </w:rPr>
        <w:t>Výčet plodin</w:t>
      </w:r>
      <w:r w:rsidR="00120BD1">
        <w:rPr>
          <w:rFonts w:cs="Arial"/>
          <w:szCs w:val="22"/>
        </w:rPr>
        <w:t xml:space="preserve"> z roku N-1 </w:t>
      </w:r>
    </w:p>
    <w:p w14:paraId="00833D83" w14:textId="77777777" w:rsidR="005E7524" w:rsidRDefault="005E7524" w:rsidP="005E7524">
      <w:pPr>
        <w:pStyle w:val="Odstavecseseznamem"/>
        <w:numPr>
          <w:ilvl w:val="0"/>
          <w:numId w:val="28"/>
        </w:numPr>
        <w:rPr>
          <w:rFonts w:cs="Arial"/>
          <w:szCs w:val="22"/>
        </w:rPr>
      </w:pPr>
      <w:r>
        <w:rPr>
          <w:rFonts w:cs="Arial"/>
          <w:szCs w:val="22"/>
        </w:rPr>
        <w:t xml:space="preserve">Výčet plodin z roku N-2 </w:t>
      </w:r>
    </w:p>
    <w:p w14:paraId="45DB7719" w14:textId="77777777" w:rsidR="00120BD1" w:rsidRDefault="00120BD1" w:rsidP="00120BD1">
      <w:pPr>
        <w:pStyle w:val="Odstavecseseznamem"/>
        <w:numPr>
          <w:ilvl w:val="0"/>
          <w:numId w:val="28"/>
        </w:numPr>
        <w:rPr>
          <w:rFonts w:cs="Arial"/>
          <w:szCs w:val="22"/>
        </w:rPr>
      </w:pPr>
      <w:r>
        <w:rPr>
          <w:rFonts w:cs="Arial"/>
          <w:szCs w:val="22"/>
        </w:rPr>
        <w:t xml:space="preserve">Překryv s plodinou kukuřice roku N-1 v ha </w:t>
      </w:r>
    </w:p>
    <w:p w14:paraId="0F74CFE1" w14:textId="77777777" w:rsidR="00120BD1" w:rsidRDefault="00120BD1" w:rsidP="00120BD1">
      <w:pPr>
        <w:pStyle w:val="Odstavecseseznamem"/>
        <w:numPr>
          <w:ilvl w:val="0"/>
          <w:numId w:val="28"/>
        </w:numPr>
        <w:rPr>
          <w:rFonts w:cs="Arial"/>
          <w:szCs w:val="22"/>
        </w:rPr>
      </w:pPr>
      <w:r>
        <w:rPr>
          <w:rFonts w:cs="Arial"/>
          <w:szCs w:val="22"/>
        </w:rPr>
        <w:t xml:space="preserve">% překryvu s plodinou kukuřice roku N-1  </w:t>
      </w:r>
    </w:p>
    <w:p w14:paraId="0F57A8DB" w14:textId="77777777" w:rsidR="00E54B62" w:rsidRDefault="00E54B62" w:rsidP="00E54B62">
      <w:pPr>
        <w:pStyle w:val="Odstavecseseznamem"/>
        <w:numPr>
          <w:ilvl w:val="0"/>
          <w:numId w:val="28"/>
        </w:numPr>
        <w:rPr>
          <w:rFonts w:cs="Arial"/>
          <w:szCs w:val="22"/>
        </w:rPr>
      </w:pPr>
      <w:r>
        <w:rPr>
          <w:rFonts w:cs="Arial"/>
          <w:szCs w:val="22"/>
        </w:rPr>
        <w:t xml:space="preserve">Překryv s plodinou kukuřice roku N-2 v ha </w:t>
      </w:r>
    </w:p>
    <w:p w14:paraId="30F5A34A" w14:textId="77777777" w:rsidR="00E54B62" w:rsidRDefault="00E54B62" w:rsidP="00E54B62">
      <w:pPr>
        <w:pStyle w:val="Odstavecseseznamem"/>
        <w:numPr>
          <w:ilvl w:val="0"/>
          <w:numId w:val="28"/>
        </w:numPr>
        <w:rPr>
          <w:rFonts w:cs="Arial"/>
          <w:szCs w:val="22"/>
        </w:rPr>
      </w:pPr>
      <w:r>
        <w:rPr>
          <w:rFonts w:cs="Arial"/>
          <w:szCs w:val="22"/>
        </w:rPr>
        <w:t xml:space="preserve">% překryvu s plodinou kukuřice roku N-2  </w:t>
      </w:r>
    </w:p>
    <w:p w14:paraId="5A861D88" w14:textId="77777777" w:rsidR="00120BD1" w:rsidRDefault="00120BD1" w:rsidP="00120BD1">
      <w:pPr>
        <w:pStyle w:val="Odstavecseseznamem"/>
        <w:numPr>
          <w:ilvl w:val="0"/>
          <w:numId w:val="28"/>
        </w:numPr>
        <w:rPr>
          <w:rFonts w:cs="Arial"/>
          <w:szCs w:val="22"/>
        </w:rPr>
      </w:pPr>
      <w:r>
        <w:rPr>
          <w:rFonts w:cs="Arial"/>
          <w:szCs w:val="22"/>
        </w:rPr>
        <w:t xml:space="preserve">Hodnocení: </w:t>
      </w:r>
    </w:p>
    <w:p w14:paraId="6627C777" w14:textId="77777777" w:rsidR="00120BD1" w:rsidRDefault="00120BD1" w:rsidP="00120BD1">
      <w:pPr>
        <w:pStyle w:val="Odstavecseseznamem"/>
        <w:numPr>
          <w:ilvl w:val="0"/>
          <w:numId w:val="29"/>
        </w:numPr>
        <w:rPr>
          <w:rFonts w:cs="Arial"/>
          <w:szCs w:val="22"/>
        </w:rPr>
      </w:pPr>
      <w:r>
        <w:rPr>
          <w:rFonts w:cs="Arial"/>
          <w:szCs w:val="22"/>
        </w:rPr>
        <w:t xml:space="preserve">U DPB mimo třetí </w:t>
      </w:r>
      <w:proofErr w:type="spellStart"/>
      <w:r>
        <w:rPr>
          <w:rFonts w:cs="Arial"/>
          <w:szCs w:val="22"/>
        </w:rPr>
        <w:t>apl</w:t>
      </w:r>
      <w:proofErr w:type="spellEnd"/>
      <w:r>
        <w:rPr>
          <w:rFonts w:cs="Arial"/>
          <w:szCs w:val="22"/>
        </w:rPr>
        <w:t>. pásmo bude uvedeno Nehodnoceno</w:t>
      </w:r>
    </w:p>
    <w:p w14:paraId="1F1C1100" w14:textId="77777777" w:rsidR="00120BD1" w:rsidRDefault="00120BD1" w:rsidP="00120BD1">
      <w:pPr>
        <w:pStyle w:val="Odstavecseseznamem"/>
        <w:numPr>
          <w:ilvl w:val="0"/>
          <w:numId w:val="29"/>
        </w:numPr>
        <w:rPr>
          <w:rFonts w:cs="Arial"/>
          <w:szCs w:val="22"/>
        </w:rPr>
      </w:pPr>
      <w:r>
        <w:rPr>
          <w:rFonts w:cs="Arial"/>
          <w:szCs w:val="22"/>
        </w:rPr>
        <w:t>U DPB bez opakování kukuřice bude uvedeno Splněno</w:t>
      </w:r>
    </w:p>
    <w:p w14:paraId="12C4EEA4" w14:textId="77777777" w:rsidR="00120BD1" w:rsidRDefault="00120BD1" w:rsidP="00120BD1">
      <w:pPr>
        <w:pStyle w:val="Odstavecseseznamem"/>
        <w:numPr>
          <w:ilvl w:val="0"/>
          <w:numId w:val="29"/>
        </w:numPr>
        <w:rPr>
          <w:rFonts w:cs="Arial"/>
          <w:szCs w:val="22"/>
        </w:rPr>
      </w:pPr>
      <w:r>
        <w:rPr>
          <w:rFonts w:cs="Arial"/>
          <w:szCs w:val="22"/>
        </w:rPr>
        <w:t>U DPB s opakováním kukuřice bude uvedeno Potenciálně nesplněno s odkazem na vysvětlivku.</w:t>
      </w:r>
    </w:p>
    <w:p w14:paraId="2803C18D" w14:textId="77777777" w:rsidR="00120BD1" w:rsidRPr="00E54B62" w:rsidRDefault="00120BD1" w:rsidP="00120BD1">
      <w:pPr>
        <w:rPr>
          <w:rFonts w:cs="Arial"/>
          <w:b/>
          <w:bCs/>
          <w:szCs w:val="22"/>
        </w:rPr>
      </w:pPr>
      <w:r w:rsidRPr="00E54B62">
        <w:rPr>
          <w:rFonts w:cs="Arial"/>
          <w:b/>
          <w:bCs/>
          <w:szCs w:val="22"/>
        </w:rPr>
        <w:t>Ve vysvětlivce bude uvedeno:</w:t>
      </w:r>
    </w:p>
    <w:p w14:paraId="33250C00" w14:textId="77777777" w:rsidR="00120BD1" w:rsidRDefault="00120BD1" w:rsidP="0073136A">
      <w:pPr>
        <w:jc w:val="both"/>
        <w:rPr>
          <w:rFonts w:cs="Arial"/>
          <w:szCs w:val="22"/>
        </w:rPr>
      </w:pPr>
      <w:r>
        <w:rPr>
          <w:rFonts w:cs="Arial"/>
          <w:szCs w:val="22"/>
        </w:rPr>
        <w:t>Za porušení podmínky se nepovažuje, pokud s</w:t>
      </w:r>
      <w:r w:rsidRPr="002E7E68">
        <w:rPr>
          <w:rFonts w:cs="Arial"/>
          <w:szCs w:val="22"/>
        </w:rPr>
        <w:t xml:space="preserve">led pěstování kukuřice </w:t>
      </w:r>
      <w:r>
        <w:rPr>
          <w:rFonts w:cs="Arial"/>
          <w:szCs w:val="22"/>
        </w:rPr>
        <w:t>je</w:t>
      </w:r>
      <w:r w:rsidRPr="002E7E68">
        <w:rPr>
          <w:rFonts w:cs="Arial"/>
          <w:szCs w:val="22"/>
        </w:rPr>
        <w:t xml:space="preserve"> přeruš</w:t>
      </w:r>
      <w:r>
        <w:rPr>
          <w:rFonts w:cs="Arial"/>
          <w:szCs w:val="22"/>
        </w:rPr>
        <w:t>en</w:t>
      </w:r>
      <w:r w:rsidRPr="002E7E68">
        <w:rPr>
          <w:rFonts w:cs="Arial"/>
          <w:szCs w:val="22"/>
        </w:rPr>
        <w:t xml:space="preserve"> ozimou plodinou</w:t>
      </w:r>
      <w:r>
        <w:rPr>
          <w:rFonts w:cs="Arial"/>
          <w:szCs w:val="22"/>
        </w:rPr>
        <w:t xml:space="preserve"> sklizenou na zeleno. T</w:t>
      </w:r>
      <w:r w:rsidRPr="002E7E68">
        <w:rPr>
          <w:rFonts w:cs="Arial"/>
          <w:szCs w:val="22"/>
        </w:rPr>
        <w:t>ypicky se jedná o pěstování ozimého žita sklizeného na senáž v následujícím roce, po kterém může být zaseta opět kukuřice. Přerušení sledu pěstování kukuřice však není možné meziplodinou</w:t>
      </w:r>
      <w:r>
        <w:rPr>
          <w:rFonts w:cs="Arial"/>
          <w:szCs w:val="22"/>
        </w:rPr>
        <w:t xml:space="preserve"> </w:t>
      </w:r>
      <w:r w:rsidRPr="002E7E68">
        <w:rPr>
          <w:rFonts w:cs="Arial"/>
          <w:szCs w:val="22"/>
        </w:rPr>
        <w:t xml:space="preserve">zapravenou na zelené hnojení, sklizenou na podzim nebo pěstovanou jako vymrzající. </w:t>
      </w:r>
    </w:p>
    <w:p w14:paraId="2F4A244F" w14:textId="77777777" w:rsidR="00120BD1" w:rsidRDefault="00120BD1" w:rsidP="00120BD1">
      <w:pPr>
        <w:rPr>
          <w:rFonts w:cs="Arial"/>
          <w:szCs w:val="22"/>
        </w:rPr>
      </w:pPr>
      <w:r>
        <w:rPr>
          <w:rFonts w:cs="Arial"/>
          <w:szCs w:val="22"/>
        </w:rPr>
        <w:t xml:space="preserve">Za porušení podmínky se též nepovažuje, pokud </w:t>
      </w:r>
      <w:r w:rsidR="00E54B62">
        <w:rPr>
          <w:rFonts w:cs="Arial"/>
          <w:szCs w:val="22"/>
        </w:rPr>
        <w:t xml:space="preserve">zemědělec doloží, že se kukuřice </w:t>
      </w:r>
      <w:proofErr w:type="gramStart"/>
      <w:r w:rsidR="00E54B62">
        <w:rPr>
          <w:rFonts w:cs="Arial"/>
          <w:szCs w:val="22"/>
        </w:rPr>
        <w:t>pěstovala  vždy</w:t>
      </w:r>
      <w:proofErr w:type="gramEnd"/>
      <w:r w:rsidR="00E54B62">
        <w:rPr>
          <w:rFonts w:cs="Arial"/>
          <w:szCs w:val="22"/>
        </w:rPr>
        <w:t xml:space="preserve"> </w:t>
      </w:r>
      <w:r w:rsidR="00416E23">
        <w:rPr>
          <w:rFonts w:cs="Arial"/>
          <w:szCs w:val="22"/>
        </w:rPr>
        <w:t xml:space="preserve">na </w:t>
      </w:r>
      <w:r w:rsidR="00E54B62">
        <w:rPr>
          <w:rFonts w:cs="Arial"/>
          <w:szCs w:val="22"/>
        </w:rPr>
        <w:t>jiné části pozemku.</w:t>
      </w:r>
    </w:p>
    <w:p w14:paraId="4A5FA90A" w14:textId="77777777" w:rsidR="005075A4" w:rsidRPr="00A335D0" w:rsidRDefault="005075A4" w:rsidP="00A335D0">
      <w:pPr>
        <w:rPr>
          <w:rFonts w:cs="Arial"/>
          <w:szCs w:val="22"/>
        </w:rPr>
      </w:pPr>
    </w:p>
    <w:p w14:paraId="52E4C344" w14:textId="77777777" w:rsidR="0000551E" w:rsidRPr="00FA2A60" w:rsidRDefault="0000551E" w:rsidP="00FA2A60">
      <w:pPr>
        <w:pStyle w:val="Nadpis1"/>
        <w:tabs>
          <w:tab w:val="clear" w:pos="540"/>
        </w:tabs>
        <w:ind w:left="284" w:hanging="284"/>
        <w:rPr>
          <w:rFonts w:cs="Arial"/>
          <w:sz w:val="22"/>
          <w:szCs w:val="22"/>
        </w:rPr>
      </w:pPr>
      <w:r w:rsidRPr="00FA2A60">
        <w:rPr>
          <w:rFonts w:cs="Arial"/>
          <w:sz w:val="22"/>
          <w:szCs w:val="22"/>
        </w:rPr>
        <w:t xml:space="preserve">Dopady na IS </w:t>
      </w:r>
      <w:proofErr w:type="spellStart"/>
      <w:r w:rsidRPr="00FA2A60">
        <w:rPr>
          <w:rFonts w:cs="Arial"/>
          <w:sz w:val="22"/>
          <w:szCs w:val="22"/>
        </w:rPr>
        <w:t>MZe</w:t>
      </w:r>
      <w:proofErr w:type="spellEnd"/>
    </w:p>
    <w:p w14:paraId="2D23F15A" w14:textId="77777777" w:rsidR="0000551E" w:rsidRDefault="0000551E" w:rsidP="00CC7ED5">
      <w:pPr>
        <w:pStyle w:val="Nadpis2"/>
      </w:pPr>
      <w:r w:rsidRPr="00CC7ED5">
        <w:t>Dopady</w:t>
      </w:r>
    </w:p>
    <w:p w14:paraId="56EEE7E1" w14:textId="77777777" w:rsidR="00D80AD5" w:rsidRPr="005170EB" w:rsidRDefault="005170EB" w:rsidP="00C92AE2">
      <w:r w:rsidRPr="005170EB">
        <w:t>Bez dopadu.</w:t>
      </w:r>
    </w:p>
    <w:p w14:paraId="264288F1" w14:textId="77777777" w:rsidR="0000551E" w:rsidRDefault="00CE3687" w:rsidP="002B12D5">
      <w:pPr>
        <w:pStyle w:val="Nadpis2"/>
        <w:spacing w:line="360" w:lineRule="auto"/>
        <w:ind w:left="573" w:hanging="289"/>
      </w:pPr>
      <w:r>
        <w:t>Na provoz a infrastrukturu</w:t>
      </w:r>
    </w:p>
    <w:p w14:paraId="618C5619" w14:textId="77777777" w:rsidR="00B622ED" w:rsidRPr="00B622ED" w:rsidRDefault="00EC50EF" w:rsidP="00B622ED">
      <w:r>
        <w:t>Bez dopadu.</w:t>
      </w:r>
    </w:p>
    <w:p w14:paraId="5FCFE109" w14:textId="77777777" w:rsidR="00411B8E" w:rsidRDefault="00BC72F5" w:rsidP="002B12D5">
      <w:pPr>
        <w:pStyle w:val="Nadpis2"/>
        <w:spacing w:line="360" w:lineRule="auto"/>
        <w:ind w:left="573" w:hanging="289"/>
      </w:pPr>
      <w:r>
        <w:t>Na bezpečnost</w:t>
      </w:r>
    </w:p>
    <w:p w14:paraId="44F8FBF2" w14:textId="77777777" w:rsidR="00B622ED" w:rsidRPr="00B622ED" w:rsidRDefault="00B622ED" w:rsidP="00B622ED">
      <w:r>
        <w:t>Bez dopadu</w:t>
      </w:r>
    </w:p>
    <w:p w14:paraId="1EE65F6A" w14:textId="77777777" w:rsidR="0000551E" w:rsidRDefault="00BC72F5" w:rsidP="002B12D5">
      <w:pPr>
        <w:pStyle w:val="Nadpis2"/>
        <w:spacing w:line="360" w:lineRule="auto"/>
        <w:ind w:left="573" w:hanging="289"/>
      </w:pPr>
      <w:r>
        <w:t>Na součinnost s dalšími systémy</w:t>
      </w:r>
    </w:p>
    <w:p w14:paraId="06E71996" w14:textId="77777777" w:rsidR="00854324" w:rsidRPr="00B622ED" w:rsidRDefault="00C91707" w:rsidP="00854324">
      <w:r>
        <w:t xml:space="preserve">Pouze dopady do </w:t>
      </w:r>
      <w:r w:rsidR="00043EF0">
        <w:t xml:space="preserve">SDB – nastavení </w:t>
      </w:r>
      <w:proofErr w:type="spellStart"/>
      <w:r w:rsidR="00043EF0">
        <w:t>view</w:t>
      </w:r>
      <w:proofErr w:type="spellEnd"/>
      <w:r w:rsidR="00043EF0">
        <w:t xml:space="preserve"> pro přístup </w:t>
      </w:r>
      <w:r w:rsidR="00EA1F60">
        <w:t>LPIS k datům limitům N, pokud bude ze strany ÚKZÚZ v kontrolním modulu vyžadováno.</w:t>
      </w:r>
    </w:p>
    <w:p w14:paraId="6ACD4C2F" w14:textId="77777777" w:rsidR="00E00833" w:rsidRDefault="00411B8E" w:rsidP="002B12D5">
      <w:pPr>
        <w:pStyle w:val="Nadpis2"/>
        <w:spacing w:line="360" w:lineRule="auto"/>
        <w:ind w:left="573" w:hanging="289"/>
      </w:pPr>
      <w:r>
        <w:t xml:space="preserve">Požadavky na součinnost </w:t>
      </w:r>
      <w:proofErr w:type="spellStart"/>
      <w:r w:rsidR="00BC72F5">
        <w:t>AgriBus</w:t>
      </w:r>
      <w:proofErr w:type="spellEnd"/>
      <w:r w:rsidR="0063659C">
        <w:t xml:space="preserve"> a EPO</w:t>
      </w:r>
    </w:p>
    <w:p w14:paraId="60F085DB" w14:textId="77777777" w:rsidR="00854324" w:rsidRPr="00B622ED" w:rsidRDefault="00EA1F60" w:rsidP="00854324">
      <w:r>
        <w:t>Bez dalšího požadavků</w:t>
      </w:r>
    </w:p>
    <w:p w14:paraId="064C1A39" w14:textId="77777777" w:rsidR="0042789D" w:rsidRDefault="0042789D" w:rsidP="00E20EC8">
      <w:pPr>
        <w:pStyle w:val="Nadpis2"/>
        <w:keepNext w:val="0"/>
        <w:keepLines w:val="0"/>
        <w:ind w:hanging="292"/>
      </w:pPr>
      <w:r w:rsidRPr="009D0844">
        <w:t xml:space="preserve">Bezpečnost </w:t>
      </w:r>
    </w:p>
    <w:p w14:paraId="3096B342" w14:textId="77777777" w:rsidR="0042789D" w:rsidRPr="00F7707A" w:rsidRDefault="00876B57" w:rsidP="00E20EC8">
      <w:pPr>
        <w:widowControl w:val="0"/>
      </w:pPr>
      <w:r>
        <w:t>Bez vztahu na bezpečnost</w:t>
      </w:r>
      <w:r w:rsidR="00CB03C6">
        <w:t>.</w:t>
      </w:r>
    </w:p>
    <w:p w14:paraId="2067A772" w14:textId="77777777" w:rsidR="0000551E" w:rsidRDefault="0000551E" w:rsidP="00FC5517">
      <w:pPr>
        <w:pStyle w:val="Nadpis2"/>
        <w:jc w:val="both"/>
      </w:pPr>
      <w:r>
        <w:t>Požadavek na podporu provozu naimplementované změny</w:t>
      </w:r>
    </w:p>
    <w:p w14:paraId="438F8A4B" w14:textId="77777777" w:rsidR="0000551E" w:rsidRPr="009D0844" w:rsidRDefault="0000551E" w:rsidP="00E20EC8">
      <w:pPr>
        <w:pStyle w:val="Nadpis3"/>
      </w:pPr>
      <w:r w:rsidRPr="009D0844">
        <w:t>(Uveďte, zda zařadit změnu do stávající provozní smlouvy, konkrétní požadavky na požadované služby, SLA.)</w:t>
      </w:r>
    </w:p>
    <w:p w14:paraId="74B93CD4" w14:textId="77777777" w:rsidR="00E03517" w:rsidRPr="00FF76C8" w:rsidRDefault="00E03517" w:rsidP="00FC5517">
      <w:pPr>
        <w:pStyle w:val="Nadpis2"/>
        <w:jc w:val="both"/>
      </w:pPr>
      <w:r w:rsidRPr="00FF76C8">
        <w:t>Požadavek na úpravu dohledového nástroje</w:t>
      </w:r>
    </w:p>
    <w:p w14:paraId="015F8C34" w14:textId="77777777" w:rsidR="00E03517" w:rsidRPr="0060065D" w:rsidRDefault="000B7C9F" w:rsidP="00FC5517">
      <w:pPr>
        <w:jc w:val="both"/>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49924BAE" w14:textId="73263A91" w:rsidR="0000551E" w:rsidRDefault="0000551E" w:rsidP="00FC5517">
      <w:pPr>
        <w:jc w:val="both"/>
      </w:pPr>
    </w:p>
    <w:p w14:paraId="1CA1D280" w14:textId="7C4EA9CA" w:rsidR="004D4E08" w:rsidRDefault="004D4E08" w:rsidP="00FC5517">
      <w:pPr>
        <w:jc w:val="both"/>
      </w:pPr>
    </w:p>
    <w:p w14:paraId="70D49288" w14:textId="6AD4F6E8" w:rsidR="004D4E08" w:rsidRDefault="004D4E08" w:rsidP="00FC5517">
      <w:pPr>
        <w:jc w:val="both"/>
      </w:pPr>
    </w:p>
    <w:p w14:paraId="07111F91" w14:textId="35F37973" w:rsidR="004D4E08" w:rsidRDefault="004D4E08" w:rsidP="00FC5517">
      <w:pPr>
        <w:jc w:val="both"/>
      </w:pPr>
    </w:p>
    <w:p w14:paraId="5887121C" w14:textId="68735F25" w:rsidR="004D4E08" w:rsidRDefault="004D4E08" w:rsidP="00FC5517">
      <w:pPr>
        <w:jc w:val="both"/>
      </w:pPr>
    </w:p>
    <w:p w14:paraId="2D15FFBC" w14:textId="52E903D6" w:rsidR="004D4E08" w:rsidRDefault="004D4E08" w:rsidP="00FC5517">
      <w:pPr>
        <w:jc w:val="both"/>
      </w:pPr>
    </w:p>
    <w:p w14:paraId="5044FC5D" w14:textId="43D80B3A" w:rsidR="004D4E08" w:rsidRDefault="004D4E08" w:rsidP="00FC5517">
      <w:pPr>
        <w:jc w:val="both"/>
      </w:pPr>
    </w:p>
    <w:p w14:paraId="523394B3" w14:textId="3572AC50" w:rsidR="004D4E08" w:rsidRDefault="004D4E08" w:rsidP="00FC5517">
      <w:pPr>
        <w:jc w:val="both"/>
      </w:pPr>
    </w:p>
    <w:p w14:paraId="0B4953E1" w14:textId="7693AC2A" w:rsidR="004D4E08" w:rsidRDefault="004D4E08" w:rsidP="00FC5517">
      <w:pPr>
        <w:jc w:val="both"/>
      </w:pPr>
    </w:p>
    <w:p w14:paraId="1A40C271" w14:textId="58C07D8D" w:rsidR="004D4E08" w:rsidRDefault="004D4E08" w:rsidP="00FC5517">
      <w:pPr>
        <w:jc w:val="both"/>
      </w:pPr>
    </w:p>
    <w:p w14:paraId="6B9D7C90" w14:textId="3D09D28F" w:rsidR="004D4E08" w:rsidRDefault="004D4E08" w:rsidP="00FC5517">
      <w:pPr>
        <w:jc w:val="both"/>
      </w:pPr>
    </w:p>
    <w:p w14:paraId="3CDF91CA" w14:textId="3B06744F" w:rsidR="004D4E08" w:rsidRDefault="004D4E08" w:rsidP="00FC5517">
      <w:pPr>
        <w:jc w:val="both"/>
      </w:pPr>
    </w:p>
    <w:p w14:paraId="01A8D4D8" w14:textId="54C27253" w:rsidR="004D4E08" w:rsidRDefault="004D4E08" w:rsidP="00FC5517">
      <w:pPr>
        <w:jc w:val="both"/>
      </w:pPr>
    </w:p>
    <w:p w14:paraId="42A8C7B3" w14:textId="69153B02" w:rsidR="004D4E08" w:rsidRDefault="004D4E08" w:rsidP="00FC5517">
      <w:pPr>
        <w:jc w:val="both"/>
      </w:pPr>
    </w:p>
    <w:p w14:paraId="6E85AEE4" w14:textId="028C92A3" w:rsidR="004D4E08" w:rsidRDefault="004D4E08" w:rsidP="00FC5517">
      <w:pPr>
        <w:jc w:val="both"/>
      </w:pPr>
    </w:p>
    <w:p w14:paraId="65E21C61" w14:textId="3D1015B1" w:rsidR="004D4E08" w:rsidRDefault="004D4E08" w:rsidP="00FC5517">
      <w:pPr>
        <w:jc w:val="both"/>
      </w:pPr>
    </w:p>
    <w:p w14:paraId="2D1CFC32" w14:textId="145A21EE" w:rsidR="004D4E08" w:rsidRDefault="004D4E08" w:rsidP="00FC5517">
      <w:pPr>
        <w:jc w:val="both"/>
      </w:pPr>
    </w:p>
    <w:p w14:paraId="60D46FEA" w14:textId="77777777" w:rsidR="004D4E08" w:rsidRPr="00B8108C" w:rsidRDefault="004D4E08" w:rsidP="00FC5517">
      <w:pPr>
        <w:jc w:val="both"/>
      </w:pPr>
    </w:p>
    <w:p w14:paraId="0C6E332C" w14:textId="77777777" w:rsidR="0000551E" w:rsidRDefault="0000551E" w:rsidP="00FC5517">
      <w:pPr>
        <w:pStyle w:val="Nadpis1"/>
        <w:tabs>
          <w:tab w:val="clear" w:pos="540"/>
        </w:tabs>
        <w:ind w:left="284" w:hanging="284"/>
        <w:jc w:val="both"/>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875"/>
        <w:gridCol w:w="1275"/>
        <w:gridCol w:w="851"/>
        <w:gridCol w:w="709"/>
        <w:gridCol w:w="1559"/>
      </w:tblGrid>
      <w:tr w:rsidR="00110ED2" w:rsidRPr="00276A3F" w14:paraId="47E71E5F" w14:textId="77777777" w:rsidTr="0073136A">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7AADDF92" w14:textId="77777777" w:rsidR="0000551E" w:rsidRPr="00276A3F" w:rsidRDefault="0000551E" w:rsidP="00FC5517">
            <w:pPr>
              <w:spacing w:after="0"/>
              <w:jc w:val="both"/>
              <w:rPr>
                <w:rFonts w:cs="Arial"/>
                <w:b/>
                <w:bCs/>
                <w:color w:val="000000"/>
                <w:szCs w:val="22"/>
                <w:lang w:eastAsia="cs-CZ"/>
              </w:rPr>
            </w:pPr>
            <w:r w:rsidRPr="00276A3F">
              <w:rPr>
                <w:rFonts w:cs="Arial"/>
                <w:b/>
                <w:bCs/>
                <w:color w:val="000000"/>
                <w:szCs w:val="22"/>
                <w:lang w:eastAsia="cs-CZ"/>
              </w:rPr>
              <w:t>ID</w:t>
            </w:r>
          </w:p>
        </w:tc>
        <w:tc>
          <w:tcPr>
            <w:tcW w:w="4875" w:type="dxa"/>
            <w:tcBorders>
              <w:top w:val="single" w:sz="8" w:space="0" w:color="auto"/>
              <w:left w:val="single" w:sz="8" w:space="0" w:color="auto"/>
              <w:right w:val="single" w:sz="8" w:space="0" w:color="auto"/>
            </w:tcBorders>
            <w:shd w:val="clear" w:color="auto" w:fill="auto"/>
            <w:noWrap/>
            <w:vAlign w:val="center"/>
            <w:hideMark/>
          </w:tcPr>
          <w:p w14:paraId="7B66D3E7" w14:textId="77777777" w:rsidR="0000551E" w:rsidRPr="00276A3F" w:rsidRDefault="0000551E" w:rsidP="00FC5517">
            <w:pPr>
              <w:spacing w:after="0"/>
              <w:jc w:val="both"/>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32DC4C77" w14:textId="77777777" w:rsidR="0000551E" w:rsidRPr="00E20EC8" w:rsidDel="000F27BA" w:rsidRDefault="0000551E" w:rsidP="00FC5517">
            <w:pPr>
              <w:spacing w:after="0"/>
              <w:jc w:val="both"/>
              <w:rPr>
                <w:color w:val="000000"/>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tcBorders>
              <w:top w:val="single" w:sz="8" w:space="0" w:color="auto"/>
              <w:left w:val="single" w:sz="8" w:space="0" w:color="auto"/>
              <w:right w:val="single" w:sz="8" w:space="0" w:color="auto"/>
            </w:tcBorders>
            <w:vAlign w:val="center"/>
          </w:tcPr>
          <w:p w14:paraId="486E3B56" w14:textId="77777777" w:rsidR="00BC72F5" w:rsidRPr="00BC72F5" w:rsidRDefault="00BC72F5" w:rsidP="00FC5517">
            <w:pPr>
              <w:spacing w:after="0"/>
              <w:jc w:val="both"/>
              <w:rPr>
                <w:rFonts w:cs="Arial"/>
                <w:b/>
                <w:bCs/>
                <w:color w:val="000000"/>
                <w:szCs w:val="22"/>
                <w:lang w:eastAsia="cs-CZ"/>
              </w:rPr>
            </w:pPr>
            <w:r w:rsidRPr="00BC72F5">
              <w:rPr>
                <w:rFonts w:cs="Arial"/>
                <w:b/>
                <w:bCs/>
                <w:color w:val="000000"/>
                <w:szCs w:val="22"/>
                <w:lang w:eastAsia="cs-CZ"/>
              </w:rPr>
              <w:t>Garant</w:t>
            </w:r>
            <w:r w:rsidR="00753DB7">
              <w:rPr>
                <w:rFonts w:cs="Arial"/>
                <w:b/>
                <w:bCs/>
                <w:color w:val="000000"/>
                <w:szCs w:val="22"/>
                <w:lang w:eastAsia="cs-CZ"/>
              </w:rPr>
              <w:endnoteReference w:id="10"/>
            </w:r>
          </w:p>
        </w:tc>
      </w:tr>
      <w:tr w:rsidR="00110ED2" w:rsidRPr="00276A3F" w14:paraId="5918F967" w14:textId="77777777" w:rsidTr="0073136A">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0884EAF9" w14:textId="77777777" w:rsidR="0000551E" w:rsidRPr="00276A3F" w:rsidRDefault="0000551E" w:rsidP="00FC5517">
            <w:pPr>
              <w:spacing w:after="0"/>
              <w:jc w:val="both"/>
              <w:rPr>
                <w:rFonts w:cs="Arial"/>
                <w:b/>
                <w:bCs/>
                <w:color w:val="000000"/>
                <w:szCs w:val="22"/>
                <w:lang w:eastAsia="cs-CZ"/>
              </w:rPr>
            </w:pPr>
          </w:p>
        </w:tc>
        <w:tc>
          <w:tcPr>
            <w:tcW w:w="4875" w:type="dxa"/>
            <w:tcBorders>
              <w:left w:val="single" w:sz="8" w:space="0" w:color="auto"/>
              <w:bottom w:val="single" w:sz="8" w:space="0" w:color="auto"/>
              <w:right w:val="single" w:sz="8" w:space="0" w:color="auto"/>
            </w:tcBorders>
            <w:shd w:val="clear" w:color="auto" w:fill="auto"/>
            <w:noWrap/>
            <w:vAlign w:val="center"/>
          </w:tcPr>
          <w:p w14:paraId="6E36F85E" w14:textId="77777777" w:rsidR="0000551E" w:rsidRPr="00276A3F" w:rsidDel="000F27BA" w:rsidRDefault="0000551E" w:rsidP="00FC5517">
            <w:pPr>
              <w:spacing w:after="0"/>
              <w:jc w:val="both"/>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4DE32AE7"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1EF1CA65"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3CEE3C70"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CD</w:t>
            </w:r>
          </w:p>
        </w:tc>
        <w:tc>
          <w:tcPr>
            <w:tcW w:w="1559" w:type="dxa"/>
            <w:tcBorders>
              <w:left w:val="single" w:sz="8" w:space="0" w:color="auto"/>
              <w:bottom w:val="single" w:sz="8" w:space="0" w:color="auto"/>
              <w:right w:val="single" w:sz="8" w:space="0" w:color="auto"/>
            </w:tcBorders>
          </w:tcPr>
          <w:p w14:paraId="1A9173ED" w14:textId="77777777" w:rsidR="00BC72F5" w:rsidRPr="00EA310A" w:rsidDel="000F27BA" w:rsidRDefault="00BC72F5" w:rsidP="00FC5517">
            <w:pPr>
              <w:spacing w:after="0"/>
              <w:jc w:val="both"/>
              <w:rPr>
                <w:rFonts w:cs="Arial"/>
                <w:bCs/>
                <w:color w:val="000000"/>
                <w:szCs w:val="22"/>
                <w:lang w:eastAsia="cs-CZ"/>
              </w:rPr>
            </w:pPr>
          </w:p>
        </w:tc>
      </w:tr>
      <w:tr w:rsidR="009D0844" w:rsidRPr="00276A3F" w14:paraId="555FA48D" w14:textId="77777777" w:rsidTr="0073136A">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E24C800" w14:textId="77777777" w:rsidR="0000551E" w:rsidRPr="004F2BA0" w:rsidRDefault="0000551E" w:rsidP="00FC5517">
            <w:pPr>
              <w:numPr>
                <w:ilvl w:val="0"/>
                <w:numId w:val="6"/>
              </w:numPr>
              <w:jc w:val="both"/>
              <w:rPr>
                <w:rFonts w:cs="Arial"/>
                <w:color w:val="000000"/>
                <w:szCs w:val="22"/>
              </w:rPr>
            </w:pPr>
          </w:p>
        </w:tc>
        <w:tc>
          <w:tcPr>
            <w:tcW w:w="487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4196AD6" w14:textId="77777777" w:rsidR="0000551E" w:rsidRPr="00276A3F" w:rsidRDefault="0000551E" w:rsidP="00FC5517">
            <w:pPr>
              <w:spacing w:after="0"/>
              <w:jc w:val="both"/>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4D464D">
              <w:rPr>
                <w:rFonts w:cs="Arial"/>
                <w:color w:val="000000"/>
                <w:szCs w:val="22"/>
                <w:lang w:eastAsia="cs-CZ"/>
              </w:rPr>
              <w:t xml:space="preserve"> – implementační dokument</w:t>
            </w:r>
          </w:p>
        </w:tc>
        <w:tc>
          <w:tcPr>
            <w:tcW w:w="1275" w:type="dxa"/>
            <w:tcBorders>
              <w:top w:val="single" w:sz="8" w:space="0" w:color="auto"/>
              <w:left w:val="dotted" w:sz="4" w:space="0" w:color="auto"/>
              <w:bottom w:val="dotted" w:sz="4" w:space="0" w:color="auto"/>
              <w:right w:val="dotted" w:sz="4" w:space="0" w:color="auto"/>
            </w:tcBorders>
          </w:tcPr>
          <w:p w14:paraId="6E246E7A" w14:textId="77777777" w:rsidR="0000551E" w:rsidRPr="00276A3F" w:rsidRDefault="002C2417" w:rsidP="00FC5517">
            <w:pPr>
              <w:spacing w:after="0"/>
              <w:jc w:val="both"/>
              <w:rPr>
                <w:rFonts w:cs="Arial"/>
                <w:color w:val="000000"/>
                <w:szCs w:val="22"/>
                <w:lang w:eastAsia="cs-CZ"/>
              </w:rPr>
            </w:pPr>
            <w:r>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tcPr>
          <w:p w14:paraId="06AF3D41" w14:textId="77777777" w:rsidR="0000551E" w:rsidRPr="00276A3F" w:rsidRDefault="00147567" w:rsidP="00FC5517">
            <w:pPr>
              <w:spacing w:after="0"/>
              <w:jc w:val="both"/>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0BCD8EB4" w14:textId="77777777" w:rsidR="0000551E" w:rsidRPr="00276A3F" w:rsidRDefault="00147567" w:rsidP="00FC5517">
            <w:pPr>
              <w:spacing w:after="0"/>
              <w:jc w:val="both"/>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67E849AF" w14:textId="77777777" w:rsidR="00BC72F5" w:rsidRPr="00276A3F" w:rsidRDefault="00BC72F5" w:rsidP="00FC5517">
            <w:pPr>
              <w:spacing w:after="0"/>
              <w:jc w:val="both"/>
              <w:rPr>
                <w:rFonts w:cs="Arial"/>
                <w:color w:val="000000"/>
                <w:szCs w:val="22"/>
                <w:lang w:eastAsia="cs-CZ"/>
              </w:rPr>
            </w:pPr>
          </w:p>
        </w:tc>
      </w:tr>
      <w:tr w:rsidR="00876B57" w:rsidRPr="00276A3F" w14:paraId="482CCE3A" w14:textId="77777777" w:rsidTr="0073136A">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38973A" w14:textId="77777777" w:rsidR="00876B57" w:rsidRPr="004F2BA0" w:rsidRDefault="00876B57" w:rsidP="00876B57">
            <w:pPr>
              <w:numPr>
                <w:ilvl w:val="0"/>
                <w:numId w:val="6"/>
              </w:numPr>
              <w:jc w:val="both"/>
              <w:rPr>
                <w:rFonts w:cs="Arial"/>
                <w:color w:val="000000"/>
                <w:szCs w:val="22"/>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0E7C64" w14:textId="77777777" w:rsidR="00876B57" w:rsidRPr="00276A3F" w:rsidRDefault="00876B57" w:rsidP="00876B57">
            <w:pPr>
              <w:spacing w:after="0"/>
              <w:jc w:val="both"/>
              <w:rPr>
                <w:rFonts w:cs="Arial"/>
                <w:color w:val="000000"/>
                <w:szCs w:val="22"/>
                <w:lang w:eastAsia="cs-CZ"/>
              </w:rPr>
            </w:pPr>
            <w:r w:rsidRPr="008964A9">
              <w:rPr>
                <w:rFonts w:cs="Arial"/>
                <w:color w:val="000000"/>
                <w:szCs w:val="22"/>
                <w:lang w:eastAsia="cs-CZ"/>
              </w:rPr>
              <w:t xml:space="preserve">Dokumentace dle specifikace Závazná metodika návrhu a dokumentace architektury </w:t>
            </w:r>
            <w:proofErr w:type="spellStart"/>
            <w:r w:rsidRPr="008964A9">
              <w:rPr>
                <w:rFonts w:cs="Arial"/>
                <w:color w:val="000000"/>
                <w:szCs w:val="22"/>
                <w:lang w:eastAsia="cs-CZ"/>
              </w:rPr>
              <w:t>M</w:t>
            </w:r>
            <w:r>
              <w:rPr>
                <w:rFonts w:cs="Arial"/>
                <w:color w:val="000000"/>
                <w:szCs w:val="22"/>
                <w:lang w:eastAsia="cs-CZ"/>
              </w:rPr>
              <w:t>Ze</w:t>
            </w:r>
            <w:proofErr w:type="spellEnd"/>
            <w:r>
              <w:rPr>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5DC6C684" w14:textId="77777777" w:rsidR="00876B57" w:rsidRPr="00276A3F" w:rsidRDefault="002C2417" w:rsidP="00876B57">
            <w:pPr>
              <w:spacing w:after="0"/>
              <w:jc w:val="both"/>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2DBAAD05" w14:textId="77777777" w:rsidR="00876B57" w:rsidRPr="00276A3F" w:rsidRDefault="00876B57" w:rsidP="00876B57">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D8C54FB" w14:textId="77777777" w:rsidR="00876B57" w:rsidRPr="00276A3F" w:rsidRDefault="00876B57" w:rsidP="00876B57">
            <w:pPr>
              <w:spacing w:after="0"/>
              <w:jc w:val="both"/>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BA51BEB" w14:textId="77777777" w:rsidR="00876B57" w:rsidRPr="00276A3F" w:rsidRDefault="00876B57" w:rsidP="00876B57">
            <w:pPr>
              <w:spacing w:after="0"/>
              <w:jc w:val="both"/>
              <w:rPr>
                <w:rFonts w:cs="Arial"/>
                <w:color w:val="000000"/>
                <w:szCs w:val="22"/>
                <w:lang w:eastAsia="cs-CZ"/>
              </w:rPr>
            </w:pPr>
          </w:p>
        </w:tc>
      </w:tr>
      <w:tr w:rsidR="00876B57" w:rsidRPr="0098636F" w14:paraId="07BDF5AA" w14:textId="77777777" w:rsidTr="0073136A">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F06853" w14:textId="77777777" w:rsidR="00876B57" w:rsidRPr="004F2BA0" w:rsidRDefault="00876B57" w:rsidP="00876B57">
            <w:pPr>
              <w:numPr>
                <w:ilvl w:val="0"/>
                <w:numId w:val="6"/>
              </w:numPr>
              <w:jc w:val="both"/>
              <w:rPr>
                <w:rFonts w:cs="Arial"/>
                <w:color w:val="000000"/>
                <w:szCs w:val="22"/>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DF2F84" w14:textId="77777777" w:rsidR="00876B57" w:rsidRPr="0098636F" w:rsidRDefault="00876B57" w:rsidP="00876B57">
            <w:pPr>
              <w:spacing w:after="0"/>
              <w:jc w:val="both"/>
              <w:rPr>
                <w:rFonts w:cs="Arial"/>
                <w:color w:val="000000"/>
                <w:szCs w:val="22"/>
                <w:lang w:eastAsia="cs-CZ"/>
              </w:rPr>
            </w:pPr>
            <w:r w:rsidRPr="0098636F">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0B2E9C12" w14:textId="77777777" w:rsidR="00876B57" w:rsidRPr="0098636F" w:rsidRDefault="00815553" w:rsidP="00876B57">
            <w:pPr>
              <w:spacing w:after="0"/>
              <w:jc w:val="both"/>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16260C19"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CAADF57"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5246F8A7" w14:textId="77777777" w:rsidR="00876B57" w:rsidRPr="00276A3F" w:rsidRDefault="00876B57" w:rsidP="00876B57">
            <w:pPr>
              <w:spacing w:after="0"/>
              <w:jc w:val="both"/>
              <w:rPr>
                <w:rFonts w:cs="Arial"/>
                <w:color w:val="000000"/>
                <w:szCs w:val="22"/>
                <w:lang w:eastAsia="cs-CZ"/>
              </w:rPr>
            </w:pPr>
          </w:p>
        </w:tc>
      </w:tr>
      <w:tr w:rsidR="00876B57" w:rsidRPr="0098636F" w14:paraId="0AE202FF" w14:textId="77777777" w:rsidTr="0073136A">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8629D1" w14:textId="77777777" w:rsidR="00876B57" w:rsidRPr="0098636F" w:rsidRDefault="00876B57" w:rsidP="00876B57">
            <w:pPr>
              <w:numPr>
                <w:ilvl w:val="0"/>
                <w:numId w:val="6"/>
              </w:numPr>
              <w:jc w:val="both"/>
              <w:rPr>
                <w:rFonts w:cs="Arial"/>
                <w:color w:val="000000"/>
                <w:szCs w:val="22"/>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EED19" w14:textId="77777777" w:rsidR="00876B57" w:rsidRPr="0098636F" w:rsidRDefault="00876B57" w:rsidP="00876B57">
            <w:pPr>
              <w:spacing w:after="0"/>
              <w:jc w:val="both"/>
              <w:rPr>
                <w:rFonts w:cs="Arial"/>
                <w:color w:val="000000"/>
                <w:szCs w:val="22"/>
                <w:lang w:eastAsia="cs-CZ"/>
              </w:rPr>
            </w:pPr>
            <w:r w:rsidRPr="0098636F">
              <w:rPr>
                <w:rFonts w:cs="Arial"/>
                <w:color w:val="000000"/>
                <w:szCs w:val="22"/>
                <w:lang w:eastAsia="cs-CZ"/>
              </w:rPr>
              <w:t xml:space="preserve">Uživatelská příručka </w:t>
            </w:r>
            <w:r w:rsidR="00043EF0">
              <w:rPr>
                <w:rFonts w:cs="Arial"/>
                <w:color w:val="000000"/>
                <w:szCs w:val="22"/>
                <w:lang w:eastAsia="cs-CZ"/>
              </w:rPr>
              <w:t>– v aplikaci online nápověda</w:t>
            </w:r>
          </w:p>
        </w:tc>
        <w:tc>
          <w:tcPr>
            <w:tcW w:w="1275" w:type="dxa"/>
            <w:tcBorders>
              <w:top w:val="dotted" w:sz="4" w:space="0" w:color="auto"/>
              <w:left w:val="dotted" w:sz="4" w:space="0" w:color="auto"/>
              <w:bottom w:val="dotted" w:sz="4" w:space="0" w:color="auto"/>
              <w:right w:val="dotted" w:sz="4" w:space="0" w:color="auto"/>
            </w:tcBorders>
          </w:tcPr>
          <w:p w14:paraId="54DABE6F" w14:textId="77777777" w:rsidR="00876B57" w:rsidRPr="0098636F" w:rsidRDefault="002C2417" w:rsidP="00876B57">
            <w:pPr>
              <w:spacing w:after="0"/>
              <w:jc w:val="both"/>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66C886CF"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5E88EEA"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5BF6713" w14:textId="77777777" w:rsidR="00876B57" w:rsidRDefault="00876B57" w:rsidP="00876B57">
            <w:pPr>
              <w:spacing w:after="0"/>
              <w:jc w:val="both"/>
              <w:rPr>
                <w:rFonts w:cs="Arial"/>
                <w:color w:val="000000"/>
                <w:szCs w:val="22"/>
                <w:lang w:eastAsia="cs-CZ"/>
              </w:rPr>
            </w:pPr>
            <w:r>
              <w:rPr>
                <w:rFonts w:cs="Arial"/>
                <w:color w:val="000000"/>
                <w:szCs w:val="22"/>
                <w:lang w:eastAsia="cs-CZ"/>
              </w:rPr>
              <w:t>Věcný garant</w:t>
            </w:r>
          </w:p>
        </w:tc>
      </w:tr>
      <w:tr w:rsidR="00876B57" w:rsidRPr="0098636F" w14:paraId="291A6AB9" w14:textId="77777777" w:rsidTr="0073136A">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99A1DE" w14:textId="77777777" w:rsidR="00876B57" w:rsidRPr="0098636F" w:rsidRDefault="00876B57" w:rsidP="00876B57">
            <w:pPr>
              <w:numPr>
                <w:ilvl w:val="0"/>
                <w:numId w:val="6"/>
              </w:numPr>
              <w:jc w:val="both"/>
              <w:rPr>
                <w:rFonts w:cs="Arial"/>
                <w:color w:val="000000"/>
                <w:szCs w:val="22"/>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E38216" w14:textId="77777777" w:rsidR="00876B57" w:rsidRPr="00C54DB7" w:rsidRDefault="00876B57" w:rsidP="00876B57">
            <w:pPr>
              <w:spacing w:after="0"/>
              <w:jc w:val="both"/>
              <w:rPr>
                <w:color w:val="000000"/>
              </w:rPr>
            </w:pPr>
            <w:r w:rsidRPr="0098636F">
              <w:rPr>
                <w:rFonts w:cs="Arial"/>
                <w:color w:val="000000"/>
                <w:szCs w:val="22"/>
                <w:lang w:eastAsia="cs-CZ"/>
              </w:rPr>
              <w:t xml:space="preserve">Provozně technická </w:t>
            </w:r>
            <w:r>
              <w:rPr>
                <w:rFonts w:cs="Arial"/>
                <w:color w:val="000000"/>
                <w:szCs w:val="22"/>
                <w:lang w:eastAsia="cs-CZ"/>
              </w:rPr>
              <w:t xml:space="preserve">dokumentace (systémová </w:t>
            </w:r>
            <w:r w:rsidRPr="0098636F">
              <w:rPr>
                <w:rFonts w:cs="Arial"/>
                <w:color w:val="000000"/>
                <w:szCs w:val="22"/>
                <w:lang w:eastAsia="cs-CZ"/>
              </w:rPr>
              <w:t>a bezpečnostní</w:t>
            </w:r>
            <w:r w:rsidRPr="00C54DB7">
              <w:rPr>
                <w:color w:val="000000"/>
              </w:rPr>
              <w:t xml:space="preserve"> dokumentace</w:t>
            </w:r>
            <w:r>
              <w:rPr>
                <w:rFonts w:cs="Arial"/>
                <w:color w:val="000000"/>
                <w:szCs w:val="22"/>
                <w:lang w:eastAsia="cs-CZ"/>
              </w:rPr>
              <w:t>)</w:t>
            </w:r>
            <w:r w:rsidRPr="0098636F">
              <w:rPr>
                <w:rFonts w:cs="Arial"/>
                <w:color w:val="000000"/>
                <w:szCs w:val="22"/>
                <w:lang w:eastAsia="cs-CZ"/>
              </w:rPr>
              <w:t xml:space="preserve"> příručka</w:t>
            </w:r>
          </w:p>
        </w:tc>
        <w:tc>
          <w:tcPr>
            <w:tcW w:w="1275" w:type="dxa"/>
            <w:tcBorders>
              <w:top w:val="dotted" w:sz="4" w:space="0" w:color="auto"/>
              <w:left w:val="dotted" w:sz="4" w:space="0" w:color="auto"/>
              <w:bottom w:val="dotted" w:sz="4" w:space="0" w:color="auto"/>
              <w:right w:val="dotted" w:sz="4" w:space="0" w:color="auto"/>
            </w:tcBorders>
          </w:tcPr>
          <w:p w14:paraId="060267ED" w14:textId="77777777" w:rsidR="00876B57" w:rsidRPr="0098636F" w:rsidRDefault="00043EF0" w:rsidP="00876B57">
            <w:pPr>
              <w:spacing w:after="0"/>
              <w:jc w:val="both"/>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2559B229"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D14982C"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A1EC28D" w14:textId="77777777" w:rsidR="00876B57" w:rsidRDefault="00876B57" w:rsidP="00876B57">
            <w:pPr>
              <w:spacing w:after="0"/>
              <w:jc w:val="both"/>
              <w:rPr>
                <w:rFonts w:cs="Arial"/>
                <w:color w:val="000000"/>
                <w:szCs w:val="22"/>
                <w:lang w:eastAsia="cs-CZ"/>
              </w:rPr>
            </w:pPr>
            <w:r>
              <w:rPr>
                <w:rFonts w:cs="Arial"/>
                <w:color w:val="000000"/>
                <w:szCs w:val="22"/>
                <w:lang w:eastAsia="cs-CZ"/>
              </w:rPr>
              <w:t>OKB, OPPT</w:t>
            </w:r>
            <w:r>
              <w:rPr>
                <w:rFonts w:cs="Arial"/>
                <w:color w:val="000000"/>
                <w:szCs w:val="22"/>
                <w:lang w:eastAsia="cs-CZ"/>
              </w:rPr>
              <w:endnoteReference w:id="12"/>
            </w:r>
          </w:p>
        </w:tc>
      </w:tr>
      <w:tr w:rsidR="00876B57" w:rsidRPr="0098636F" w14:paraId="0B6C3793" w14:textId="77777777" w:rsidTr="0073136A">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7D0A54" w14:textId="77777777" w:rsidR="00876B57" w:rsidRPr="0098636F" w:rsidRDefault="00876B57" w:rsidP="00876B57">
            <w:pPr>
              <w:numPr>
                <w:ilvl w:val="0"/>
                <w:numId w:val="6"/>
              </w:numPr>
              <w:jc w:val="both"/>
              <w:rPr>
                <w:rFonts w:cs="Arial"/>
                <w:color w:val="000000"/>
                <w:szCs w:val="22"/>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023186" w14:textId="77777777" w:rsidR="00876B57" w:rsidRPr="0098636F" w:rsidRDefault="00876B57" w:rsidP="00876B57">
            <w:pPr>
              <w:spacing w:after="0"/>
              <w:jc w:val="both"/>
              <w:rPr>
                <w:rFonts w:cs="Arial"/>
                <w:color w:val="000000"/>
                <w:szCs w:val="22"/>
                <w:lang w:eastAsia="cs-CZ"/>
              </w:rPr>
            </w:pPr>
            <w:r w:rsidRPr="0098636F">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4432C902" w14:textId="77777777" w:rsidR="00876B57" w:rsidRPr="0098636F" w:rsidRDefault="00815553" w:rsidP="00876B57">
            <w:pPr>
              <w:spacing w:after="0"/>
              <w:jc w:val="both"/>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6B5617B5" w14:textId="77777777" w:rsidR="00876B57" w:rsidRPr="0098636F" w:rsidRDefault="00876B57" w:rsidP="00876B57">
            <w:pPr>
              <w:spacing w:after="0"/>
              <w:jc w:val="both"/>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0D86D9E" w14:textId="77777777" w:rsidR="00876B57" w:rsidRPr="0098636F" w:rsidRDefault="00876B57" w:rsidP="00876B57">
            <w:pPr>
              <w:spacing w:after="0"/>
              <w:jc w:val="both"/>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9F231C5" w14:textId="77777777" w:rsidR="00876B57" w:rsidRDefault="00876B57" w:rsidP="00876B57">
            <w:pPr>
              <w:spacing w:after="0"/>
              <w:jc w:val="both"/>
            </w:pPr>
          </w:p>
        </w:tc>
      </w:tr>
      <w:tr w:rsidR="00876B57" w:rsidRPr="0098636F" w14:paraId="645AF5CD" w14:textId="77777777" w:rsidTr="0073136A">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9CB02F" w14:textId="77777777" w:rsidR="00876B57" w:rsidRPr="0098636F" w:rsidRDefault="00876B57" w:rsidP="00876B57">
            <w:pPr>
              <w:numPr>
                <w:ilvl w:val="0"/>
                <w:numId w:val="6"/>
              </w:numPr>
              <w:jc w:val="both"/>
              <w:rPr>
                <w:rFonts w:cs="Arial"/>
                <w:color w:val="000000"/>
                <w:szCs w:val="22"/>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1FD43E"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 xml:space="preserve">Webové služby + konzumentské testy </w:t>
            </w:r>
            <w:r w:rsidRPr="0098636F">
              <w:rPr>
                <w:rFonts w:cs="Arial"/>
                <w:color w:val="000000"/>
                <w:szCs w:val="22"/>
                <w:lang w:eastAsia="cs-CZ"/>
              </w:rPr>
              <w:t>WS – technická dokumentace dotčených webových služeb (WSDL, povolené hodnoty včetně popisu významu, případně odkazy na externí číselníky, vnitřní logika služby, chybové kódy s popisem, popis logování na úrovni služby)</w:t>
            </w:r>
            <w:r w:rsidR="002C2417">
              <w:rPr>
                <w:rFonts w:cs="Arial"/>
                <w:color w:val="000000"/>
                <w:szCs w:val="22"/>
                <w:lang w:eastAsia="cs-CZ"/>
              </w:rPr>
              <w:t xml:space="preserve"> dojde-li ke změnám WS</w:t>
            </w:r>
          </w:p>
        </w:tc>
        <w:tc>
          <w:tcPr>
            <w:tcW w:w="1275" w:type="dxa"/>
            <w:tcBorders>
              <w:top w:val="dotted" w:sz="4" w:space="0" w:color="auto"/>
              <w:left w:val="dotted" w:sz="4" w:space="0" w:color="auto"/>
              <w:bottom w:val="dotted" w:sz="4" w:space="0" w:color="auto"/>
              <w:right w:val="dotted" w:sz="4" w:space="0" w:color="auto"/>
            </w:tcBorders>
          </w:tcPr>
          <w:p w14:paraId="771E07D7" w14:textId="77777777" w:rsidR="00876B57" w:rsidRPr="0098636F" w:rsidRDefault="002C2417" w:rsidP="00876B57">
            <w:pPr>
              <w:spacing w:after="0"/>
              <w:jc w:val="both"/>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561FC196" w14:textId="77777777" w:rsidR="00876B57" w:rsidRPr="0098636F" w:rsidRDefault="00876B57" w:rsidP="00876B57">
            <w:pPr>
              <w:spacing w:after="0"/>
              <w:jc w:val="both"/>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B52796D" w14:textId="77777777" w:rsidR="00876B57" w:rsidRPr="0098636F" w:rsidRDefault="00876B57" w:rsidP="00876B57">
            <w:pPr>
              <w:spacing w:after="0"/>
              <w:jc w:val="both"/>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6090D95" w14:textId="77777777" w:rsidR="00876B57" w:rsidRDefault="00876B57" w:rsidP="00876B57">
            <w:pPr>
              <w:spacing w:after="0"/>
              <w:jc w:val="both"/>
            </w:pPr>
          </w:p>
        </w:tc>
      </w:tr>
      <w:tr w:rsidR="00876B57" w:rsidRPr="00276A3F" w14:paraId="64CB6699" w14:textId="77777777" w:rsidTr="0073136A">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94B02A" w14:textId="77777777" w:rsidR="00876B57" w:rsidRPr="004F2BA0" w:rsidRDefault="00876B57" w:rsidP="00876B57">
            <w:pPr>
              <w:numPr>
                <w:ilvl w:val="0"/>
                <w:numId w:val="6"/>
              </w:numPr>
              <w:jc w:val="both"/>
              <w:rPr>
                <w:rFonts w:cs="Arial"/>
                <w:color w:val="000000"/>
                <w:szCs w:val="22"/>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36E3F2" w14:textId="77777777" w:rsidR="00876B57" w:rsidRDefault="00876B57" w:rsidP="00876B57">
            <w:pPr>
              <w:spacing w:after="0"/>
              <w:jc w:val="both"/>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Fonts w:cs="Arial"/>
                <w:color w:val="000000"/>
                <w:szCs w:val="22"/>
                <w:lang w:eastAsia="cs-CZ"/>
              </w:rPr>
              <w:endnoteReference w:id="13"/>
            </w:r>
          </w:p>
        </w:tc>
        <w:tc>
          <w:tcPr>
            <w:tcW w:w="1275" w:type="dxa"/>
            <w:tcBorders>
              <w:top w:val="dotted" w:sz="4" w:space="0" w:color="auto"/>
              <w:left w:val="dotted" w:sz="4" w:space="0" w:color="auto"/>
              <w:bottom w:val="dotted" w:sz="4" w:space="0" w:color="auto"/>
              <w:right w:val="dotted" w:sz="4" w:space="0" w:color="auto"/>
            </w:tcBorders>
          </w:tcPr>
          <w:p w14:paraId="5BD38697" w14:textId="77777777" w:rsidR="00876B57" w:rsidRPr="00E20EC8" w:rsidRDefault="00876B57" w:rsidP="00876B57">
            <w:pPr>
              <w:spacing w:after="0"/>
              <w:jc w:val="both"/>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DF3A3A" w14:textId="77777777" w:rsidR="00876B57" w:rsidRPr="00E20EC8" w:rsidRDefault="00876B57" w:rsidP="00876B57">
            <w:pPr>
              <w:spacing w:after="0"/>
              <w:jc w:val="both"/>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AC9A812" w14:textId="77777777" w:rsidR="00876B57" w:rsidRPr="00E20EC8" w:rsidRDefault="00876B57" w:rsidP="00876B57">
            <w:pPr>
              <w:spacing w:after="0"/>
              <w:jc w:val="both"/>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2541B50C" w14:textId="77777777" w:rsidR="00876B57" w:rsidRPr="00E20EC8" w:rsidRDefault="00876B57" w:rsidP="00876B57">
            <w:pPr>
              <w:spacing w:after="0"/>
              <w:jc w:val="both"/>
            </w:pPr>
          </w:p>
        </w:tc>
      </w:tr>
    </w:tbl>
    <w:p w14:paraId="6A2BE23B" w14:textId="77777777" w:rsidR="00FD761B" w:rsidRDefault="00FD761B" w:rsidP="00FD761B">
      <w:pPr>
        <w:jc w:val="both"/>
        <w:rPr>
          <w:sz w:val="18"/>
        </w:rPr>
      </w:pPr>
      <w:r>
        <w:rPr>
          <w:sz w:val="18"/>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092EBCB" w14:textId="77777777" w:rsidR="00FD761B" w:rsidRDefault="00FD761B" w:rsidP="00FD761B"/>
    <w:p w14:paraId="0F6C95FA" w14:textId="77777777" w:rsidR="00FD761B" w:rsidRDefault="00FD761B" w:rsidP="00FD761B">
      <w:pPr>
        <w:rPr>
          <w:b/>
        </w:rPr>
      </w:pPr>
      <w:r>
        <w:rPr>
          <w:b/>
        </w:rPr>
        <w:t>ROZSAH TECHNICKÉ DOKUMENTACE</w:t>
      </w:r>
    </w:p>
    <w:p w14:paraId="53C25962" w14:textId="77777777" w:rsidR="00FD761B" w:rsidRDefault="00FD761B" w:rsidP="00FD761B">
      <w:pPr>
        <w:pStyle w:val="Odstavecseseznamem"/>
        <w:numPr>
          <w:ilvl w:val="0"/>
          <w:numId w:val="31"/>
        </w:numPr>
        <w:spacing w:after="120"/>
        <w:ind w:left="1060" w:hanging="703"/>
        <w:jc w:val="both"/>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61EBDBF7" w14:textId="77777777" w:rsidR="00FD761B" w:rsidRDefault="00FD761B" w:rsidP="00FD761B">
      <w:pPr>
        <w:pStyle w:val="Odstavecseseznamem"/>
        <w:ind w:left="1065"/>
        <w:jc w:val="both"/>
      </w:pPr>
      <w:r>
        <w:t xml:space="preserve">V případě, že v rámci implementace dojde k změnám architektury, provede se aktualizace modelu. </w:t>
      </w:r>
      <w:proofErr w:type="spellStart"/>
      <w:r>
        <w:t>Sparx</w:t>
      </w:r>
      <w:proofErr w:type="spellEnd"/>
      <w:r>
        <w:t xml:space="preserve"> EA model by měl zahrnovat:</w:t>
      </w:r>
    </w:p>
    <w:p w14:paraId="30628AFE" w14:textId="77777777" w:rsidR="00FD761B" w:rsidRDefault="00FD761B" w:rsidP="00FD761B">
      <w:pPr>
        <w:pStyle w:val="Odstavecseseznamem"/>
        <w:numPr>
          <w:ilvl w:val="1"/>
          <w:numId w:val="31"/>
        </w:numPr>
        <w:ind w:left="1418" w:hanging="338"/>
        <w:jc w:val="both"/>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4F7AFA34" w14:textId="77777777" w:rsidR="00FD761B" w:rsidRDefault="00FD761B" w:rsidP="00FD761B">
      <w:pPr>
        <w:pStyle w:val="Odstavecseseznamem"/>
        <w:numPr>
          <w:ilvl w:val="1"/>
          <w:numId w:val="31"/>
        </w:numPr>
        <w:ind w:left="1418" w:hanging="338"/>
        <w:jc w:val="both"/>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3BDD851E" w14:textId="77777777" w:rsidR="00FD761B" w:rsidRDefault="00FD761B" w:rsidP="00FD761B">
      <w:pPr>
        <w:pStyle w:val="Odstavecseseznamem"/>
        <w:numPr>
          <w:ilvl w:val="1"/>
          <w:numId w:val="31"/>
        </w:numPr>
        <w:ind w:left="1418" w:hanging="338"/>
        <w:jc w:val="both"/>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3C489CC7" w14:textId="77777777" w:rsidR="00FD761B" w:rsidRDefault="00FD761B" w:rsidP="00FD761B">
      <w:pPr>
        <w:pStyle w:val="Odstavecseseznamem"/>
        <w:numPr>
          <w:ilvl w:val="1"/>
          <w:numId w:val="31"/>
        </w:numPr>
        <w:ind w:left="1418" w:hanging="338"/>
        <w:jc w:val="both"/>
      </w:pPr>
      <w:r>
        <w:lastRenderedPageBreak/>
        <w:t xml:space="preserve">hlavní datové objekty a číselníky reprezentovány </w:t>
      </w:r>
      <w:proofErr w:type="spellStart"/>
      <w:r>
        <w:t>ArchiMate</w:t>
      </w:r>
      <w:proofErr w:type="spellEnd"/>
      <w:r>
        <w:t xml:space="preserve"> Data </w:t>
      </w:r>
      <w:proofErr w:type="spellStart"/>
      <w:r>
        <w:t>Object</w:t>
      </w:r>
      <w:proofErr w:type="spellEnd"/>
      <w:r>
        <w:t>,</w:t>
      </w:r>
    </w:p>
    <w:p w14:paraId="48B33FB5" w14:textId="77777777" w:rsidR="00FD761B" w:rsidRDefault="00FD761B" w:rsidP="00FD761B">
      <w:pPr>
        <w:pStyle w:val="Odstavecseseznamem"/>
        <w:numPr>
          <w:ilvl w:val="1"/>
          <w:numId w:val="31"/>
        </w:numPr>
        <w:ind w:left="1418" w:hanging="338"/>
        <w:jc w:val="both"/>
      </w:pPr>
      <w:proofErr w:type="spellStart"/>
      <w:r>
        <w:t>activity</w:t>
      </w:r>
      <w:proofErr w:type="spellEnd"/>
      <w:r>
        <w:t xml:space="preserve"> model/diagramy anebo sekvenční model/diagramy logiky zpracování definovaných typů dokumentů,</w:t>
      </w:r>
    </w:p>
    <w:p w14:paraId="1F9FCC30" w14:textId="77777777" w:rsidR="00FD761B" w:rsidRDefault="00FD761B" w:rsidP="00FD761B">
      <w:pPr>
        <w:pStyle w:val="Odstavecseseznamem"/>
        <w:numPr>
          <w:ilvl w:val="1"/>
          <w:numId w:val="31"/>
        </w:numPr>
        <w:ind w:left="1418" w:hanging="338"/>
        <w:jc w:val="both"/>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50690136" w14:textId="77777777" w:rsidR="00FD761B" w:rsidRDefault="00FD761B" w:rsidP="00FD761B">
      <w:pPr>
        <w:pStyle w:val="Odstavecseseznamem"/>
        <w:numPr>
          <w:ilvl w:val="1"/>
          <w:numId w:val="31"/>
        </w:numPr>
        <w:ind w:left="1418" w:hanging="338"/>
        <w:jc w:val="both"/>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67606229" w14:textId="77777777" w:rsidR="00FD761B" w:rsidRDefault="00FD761B" w:rsidP="00FD761B">
      <w:pPr>
        <w:pStyle w:val="Odstavecseseznamem"/>
        <w:numPr>
          <w:ilvl w:val="0"/>
          <w:numId w:val="31"/>
        </w:numPr>
        <w:spacing w:after="120"/>
        <w:ind w:left="1060" w:hanging="703"/>
        <w:jc w:val="both"/>
        <w:rPr>
          <w:b/>
        </w:rPr>
      </w:pPr>
      <w:r>
        <w:rPr>
          <w:b/>
        </w:rPr>
        <w:t>Bezpečnostní dokumentace</w:t>
      </w:r>
    </w:p>
    <w:p w14:paraId="77A2AE29" w14:textId="77777777" w:rsidR="00FD761B" w:rsidRDefault="00FD761B" w:rsidP="00FD761B">
      <w:pPr>
        <w:pStyle w:val="Odstavecseseznamem"/>
        <w:ind w:left="1065"/>
        <w:jc w:val="both"/>
      </w:pPr>
      <w:r>
        <w:t>Jde o přehled bezpečnostních opatření, který jen odkazuje, kde v technické dokumentaci se nalézá jejich popis</w:t>
      </w:r>
    </w:p>
    <w:p w14:paraId="370050FB" w14:textId="77777777" w:rsidR="00FD761B" w:rsidRDefault="00FD761B" w:rsidP="00FD761B">
      <w:pPr>
        <w:pStyle w:val="Odstavecseseznamem"/>
        <w:ind w:left="1065"/>
        <w:jc w:val="both"/>
      </w:pPr>
      <w:r>
        <w:t>Jedná se především o popis těchto bezpečnostních opatření (jsou-li relevantní):</w:t>
      </w:r>
    </w:p>
    <w:p w14:paraId="222F9137" w14:textId="77777777" w:rsidR="00FD761B" w:rsidRDefault="00FD761B" w:rsidP="00FD761B">
      <w:pPr>
        <w:pStyle w:val="Odstavecseseznamem"/>
        <w:numPr>
          <w:ilvl w:val="1"/>
          <w:numId w:val="31"/>
        </w:numPr>
        <w:ind w:left="1418" w:hanging="338"/>
        <w:jc w:val="both"/>
      </w:pPr>
      <w:r>
        <w:t>řízení přístupu, role, autentizace a autorizace, druhy a správa účtů,</w:t>
      </w:r>
    </w:p>
    <w:p w14:paraId="15E2B144" w14:textId="77777777" w:rsidR="00FD761B" w:rsidRDefault="00FD761B" w:rsidP="00FD761B">
      <w:pPr>
        <w:pStyle w:val="Odstavecseseznamem"/>
        <w:numPr>
          <w:ilvl w:val="1"/>
          <w:numId w:val="31"/>
        </w:numPr>
        <w:ind w:left="1418" w:hanging="338"/>
        <w:jc w:val="both"/>
      </w:pPr>
      <w:r>
        <w:t>omezení oprávnění (princip minimálních oprávnění),</w:t>
      </w:r>
    </w:p>
    <w:p w14:paraId="34B73FB7" w14:textId="77777777" w:rsidR="00FD761B" w:rsidRDefault="00FD761B" w:rsidP="00FD761B">
      <w:pPr>
        <w:pStyle w:val="Odstavecseseznamem"/>
        <w:numPr>
          <w:ilvl w:val="1"/>
          <w:numId w:val="31"/>
        </w:numPr>
        <w:ind w:left="1418" w:hanging="338"/>
        <w:jc w:val="both"/>
      </w:pPr>
      <w:r>
        <w:t>proces řízení účtů (přidělování/odebírání, vytváření/rušení),</w:t>
      </w:r>
    </w:p>
    <w:p w14:paraId="75142A4A" w14:textId="77777777" w:rsidR="00FD761B" w:rsidRDefault="00FD761B" w:rsidP="00FD761B">
      <w:pPr>
        <w:pStyle w:val="Odstavecseseznamem"/>
        <w:numPr>
          <w:ilvl w:val="1"/>
          <w:numId w:val="31"/>
        </w:numPr>
        <w:ind w:left="1418" w:hanging="338"/>
        <w:jc w:val="both"/>
      </w:pPr>
      <w:r>
        <w:t>auditní mechanismy, napojení na SIEM (</w:t>
      </w:r>
      <w:proofErr w:type="spellStart"/>
      <w:r>
        <w:t>Syslog</w:t>
      </w:r>
      <w:proofErr w:type="spellEnd"/>
      <w:r>
        <w:t>, SNP TRAP, Textový soubor, JDBC, Microsoft Event Log…),</w:t>
      </w:r>
    </w:p>
    <w:p w14:paraId="21A75EC8" w14:textId="77777777" w:rsidR="00FD761B" w:rsidRDefault="00FD761B" w:rsidP="00FD761B">
      <w:pPr>
        <w:pStyle w:val="Odstavecseseznamem"/>
        <w:numPr>
          <w:ilvl w:val="1"/>
          <w:numId w:val="31"/>
        </w:numPr>
        <w:ind w:left="1418" w:hanging="338"/>
        <w:jc w:val="both"/>
      </w:pPr>
      <w:r>
        <w:t>šifrování,</w:t>
      </w:r>
    </w:p>
    <w:p w14:paraId="2CEBE8E9" w14:textId="77777777" w:rsidR="00FD761B" w:rsidRDefault="00FD761B" w:rsidP="00FD761B">
      <w:pPr>
        <w:pStyle w:val="Odstavecseseznamem"/>
        <w:numPr>
          <w:ilvl w:val="1"/>
          <w:numId w:val="31"/>
        </w:numPr>
        <w:ind w:left="1418" w:hanging="338"/>
        <w:jc w:val="both"/>
      </w:pPr>
      <w:r>
        <w:t>zabezpečení webového rozhraní, je-li součástí systému,</w:t>
      </w:r>
    </w:p>
    <w:p w14:paraId="71530CB5" w14:textId="77777777" w:rsidR="00FD761B" w:rsidRDefault="00FD761B" w:rsidP="00FD761B">
      <w:pPr>
        <w:pStyle w:val="Odstavecseseznamem"/>
        <w:numPr>
          <w:ilvl w:val="1"/>
          <w:numId w:val="31"/>
        </w:numPr>
        <w:ind w:left="1418" w:hanging="338"/>
        <w:jc w:val="both"/>
      </w:pPr>
      <w:r>
        <w:t>certifikační autority a PKI,</w:t>
      </w:r>
    </w:p>
    <w:p w14:paraId="1A1B6255" w14:textId="77777777" w:rsidR="00FD761B" w:rsidRDefault="00FD761B" w:rsidP="00FD761B">
      <w:pPr>
        <w:pStyle w:val="Odstavecseseznamem"/>
        <w:numPr>
          <w:ilvl w:val="1"/>
          <w:numId w:val="31"/>
        </w:numPr>
        <w:ind w:left="1418" w:hanging="338"/>
        <w:jc w:val="both"/>
      </w:pPr>
      <w:r>
        <w:t>zajištění integrity dat,</w:t>
      </w:r>
    </w:p>
    <w:p w14:paraId="279823FB" w14:textId="77777777" w:rsidR="00FD761B" w:rsidRDefault="00FD761B" w:rsidP="00FD761B">
      <w:pPr>
        <w:pStyle w:val="Odstavecseseznamem"/>
        <w:numPr>
          <w:ilvl w:val="1"/>
          <w:numId w:val="31"/>
        </w:numPr>
        <w:ind w:left="1418" w:hanging="338"/>
        <w:jc w:val="both"/>
      </w:pPr>
      <w:r>
        <w:t>zajištění dostupnosti dat (redundance, cluster, HA…),</w:t>
      </w:r>
    </w:p>
    <w:p w14:paraId="12A92A81" w14:textId="77777777" w:rsidR="00FD761B" w:rsidRDefault="00FD761B" w:rsidP="00FD761B">
      <w:pPr>
        <w:pStyle w:val="Odstavecseseznamem"/>
        <w:numPr>
          <w:ilvl w:val="1"/>
          <w:numId w:val="31"/>
        </w:numPr>
        <w:ind w:left="1418" w:hanging="338"/>
        <w:jc w:val="both"/>
      </w:pPr>
      <w:r>
        <w:t>zálohování, způsob, rozvrh,</w:t>
      </w:r>
    </w:p>
    <w:p w14:paraId="7ED053ED" w14:textId="77777777" w:rsidR="00FD761B" w:rsidRDefault="00FD761B" w:rsidP="00FD761B">
      <w:pPr>
        <w:pStyle w:val="Odstavecseseznamem"/>
        <w:numPr>
          <w:ilvl w:val="1"/>
          <w:numId w:val="31"/>
        </w:numPr>
        <w:ind w:left="1418" w:hanging="338"/>
        <w:jc w:val="both"/>
      </w:pPr>
      <w:r>
        <w:t>obnovení ze zálohy (DRP) včetně předpokládané doby obnovy,</w:t>
      </w:r>
    </w:p>
    <w:p w14:paraId="1930ACBA" w14:textId="77777777" w:rsidR="0000551E" w:rsidRPr="00E20EC8" w:rsidRDefault="00E921FF" w:rsidP="00FC5517">
      <w:pPr>
        <w:ind w:right="-427"/>
        <w:jc w:val="both"/>
        <w:rPr>
          <w:sz w:val="18"/>
          <w:szCs w:val="18"/>
        </w:rPr>
      </w:pPr>
      <w:r>
        <w:rPr>
          <w:sz w:val="18"/>
          <w:szCs w:val="18"/>
        </w:rPr>
        <w:t xml:space="preserve"> </w:t>
      </w:r>
      <w:r w:rsidR="0000551E" w:rsidRPr="0098636F">
        <w:t xml:space="preserve"> </w:t>
      </w:r>
    </w:p>
    <w:p w14:paraId="7B5F1855" w14:textId="77777777" w:rsidR="0000551E" w:rsidRPr="0098636F" w:rsidRDefault="0000551E" w:rsidP="00FC5517">
      <w:pPr>
        <w:pStyle w:val="Nadpis1"/>
        <w:tabs>
          <w:tab w:val="clear" w:pos="540"/>
        </w:tabs>
        <w:ind w:left="284" w:hanging="284"/>
        <w:jc w:val="both"/>
        <w:rPr>
          <w:rFonts w:cs="Arial"/>
          <w:sz w:val="22"/>
          <w:szCs w:val="22"/>
        </w:rPr>
      </w:pPr>
      <w:r w:rsidRPr="0098636F">
        <w:rPr>
          <w:rFonts w:cs="Arial"/>
          <w:sz w:val="22"/>
          <w:szCs w:val="22"/>
        </w:rPr>
        <w:t>Akceptační kritéria</w:t>
      </w:r>
    </w:p>
    <w:p w14:paraId="0A358100" w14:textId="77777777" w:rsidR="0000551E" w:rsidRPr="0098636F" w:rsidRDefault="0000551E" w:rsidP="00FC5517">
      <w:pPr>
        <w:spacing w:after="0"/>
        <w:jc w:val="both"/>
        <w:rPr>
          <w:rFonts w:cs="Arial"/>
          <w:color w:val="000000"/>
          <w:szCs w:val="22"/>
          <w:lang w:eastAsia="cs-CZ"/>
        </w:rPr>
      </w:pPr>
      <w:r w:rsidRPr="0098636F">
        <w:rPr>
          <w:rFonts w:cs="Arial"/>
          <w:color w:val="000000"/>
          <w:szCs w:val="22"/>
          <w:lang w:eastAsia="cs-CZ"/>
        </w:rPr>
        <w:t xml:space="preserve">Plnění v rámci požadavku na změnu bude akceptováno, jestliže </w:t>
      </w:r>
      <w:r w:rsidR="00876B57">
        <w:rPr>
          <w:rFonts w:cs="Arial"/>
          <w:color w:val="000000"/>
          <w:szCs w:val="22"/>
          <w:lang w:eastAsia="cs-CZ"/>
        </w:rPr>
        <w:t>bude akceptována analýza, jež je předmětem plnění.</w:t>
      </w:r>
    </w:p>
    <w:p w14:paraId="41A283E3" w14:textId="77777777" w:rsidR="0000551E" w:rsidRPr="0098636F" w:rsidRDefault="0000551E" w:rsidP="00FC5517">
      <w:pPr>
        <w:jc w:val="both"/>
      </w:pPr>
    </w:p>
    <w:p w14:paraId="12AA7FB9" w14:textId="77777777" w:rsidR="0000551E" w:rsidRPr="0098636F" w:rsidRDefault="0000551E" w:rsidP="00FC5517">
      <w:pPr>
        <w:pStyle w:val="Nadpis1"/>
        <w:tabs>
          <w:tab w:val="clear" w:pos="540"/>
        </w:tabs>
        <w:ind w:left="284" w:hanging="284"/>
        <w:jc w:val="both"/>
        <w:rPr>
          <w:rFonts w:cs="Arial"/>
          <w:sz w:val="22"/>
          <w:szCs w:val="22"/>
        </w:rPr>
      </w:pPr>
      <w:r w:rsidRPr="0098636F">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98636F" w14:paraId="00E00250" w14:textId="77777777" w:rsidTr="0063659C">
        <w:trPr>
          <w:trHeight w:val="300"/>
        </w:trPr>
        <w:tc>
          <w:tcPr>
            <w:tcW w:w="76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1F29108" w14:textId="77777777" w:rsidR="0000551E" w:rsidRPr="0098636F" w:rsidRDefault="0000551E" w:rsidP="00FC5517">
            <w:pPr>
              <w:spacing w:after="0"/>
              <w:jc w:val="both"/>
              <w:rPr>
                <w:rFonts w:cs="Arial"/>
                <w:b/>
                <w:bCs/>
                <w:color w:val="000000"/>
                <w:szCs w:val="22"/>
                <w:lang w:eastAsia="cs-CZ"/>
              </w:rPr>
            </w:pPr>
            <w:r w:rsidRPr="0098636F">
              <w:rPr>
                <w:rFonts w:cs="Arial"/>
                <w:b/>
                <w:bCs/>
                <w:color w:val="000000"/>
                <w:szCs w:val="22"/>
                <w:lang w:eastAsia="cs-CZ"/>
              </w:rPr>
              <w:t>Milník</w:t>
            </w:r>
          </w:p>
        </w:tc>
        <w:tc>
          <w:tcPr>
            <w:tcW w:w="2116" w:type="dxa"/>
            <w:tcBorders>
              <w:top w:val="single" w:sz="8" w:space="0" w:color="auto"/>
              <w:left w:val="single" w:sz="8" w:space="0" w:color="auto"/>
              <w:bottom w:val="single" w:sz="4" w:space="0" w:color="auto"/>
              <w:right w:val="single" w:sz="8" w:space="0" w:color="auto"/>
            </w:tcBorders>
            <w:shd w:val="clear" w:color="auto" w:fill="auto"/>
            <w:vAlign w:val="center"/>
          </w:tcPr>
          <w:p w14:paraId="41B2BBEB" w14:textId="77777777" w:rsidR="0000551E" w:rsidRPr="0098636F" w:rsidRDefault="0000551E" w:rsidP="00FC5517">
            <w:pPr>
              <w:spacing w:after="0"/>
              <w:jc w:val="both"/>
              <w:rPr>
                <w:rFonts w:cs="Arial"/>
                <w:b/>
                <w:bCs/>
                <w:color w:val="000000"/>
                <w:szCs w:val="22"/>
                <w:lang w:eastAsia="cs-CZ"/>
              </w:rPr>
            </w:pPr>
            <w:r w:rsidRPr="0098636F">
              <w:rPr>
                <w:rFonts w:cs="Arial"/>
                <w:b/>
                <w:bCs/>
                <w:color w:val="000000"/>
                <w:szCs w:val="22"/>
                <w:lang w:eastAsia="cs-CZ"/>
              </w:rPr>
              <w:t>Termín</w:t>
            </w:r>
          </w:p>
        </w:tc>
      </w:tr>
      <w:tr w:rsidR="0000551E" w:rsidRPr="0098636F" w14:paraId="6B923DD5" w14:textId="77777777" w:rsidTr="0063659C">
        <w:trPr>
          <w:trHeight w:val="284"/>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565AB" w14:textId="77777777" w:rsidR="0000551E" w:rsidRPr="0098636F" w:rsidRDefault="00876B57" w:rsidP="00FC5517">
            <w:pPr>
              <w:spacing w:after="0"/>
              <w:jc w:val="both"/>
              <w:rPr>
                <w:rFonts w:cs="Arial"/>
                <w:color w:val="000000"/>
                <w:szCs w:val="22"/>
                <w:lang w:eastAsia="cs-CZ"/>
              </w:rPr>
            </w:pPr>
            <w:r>
              <w:rPr>
                <w:rFonts w:cs="Arial"/>
                <w:color w:val="000000"/>
                <w:szCs w:val="22"/>
                <w:lang w:eastAsia="cs-CZ"/>
              </w:rPr>
              <w:t xml:space="preserve">Předání </w:t>
            </w:r>
            <w:r w:rsidR="00815553">
              <w:rPr>
                <w:rFonts w:cs="Arial"/>
                <w:color w:val="000000"/>
                <w:szCs w:val="22"/>
                <w:lang w:eastAsia="cs-CZ"/>
              </w:rPr>
              <w:t xml:space="preserve">k testování </w:t>
            </w:r>
            <w:r w:rsidR="0063659C">
              <w:rPr>
                <w:rFonts w:cs="Arial"/>
                <w:color w:val="000000"/>
                <w:szCs w:val="22"/>
                <w:lang w:eastAsia="cs-CZ"/>
              </w:rPr>
              <w:t xml:space="preserve">na </w:t>
            </w:r>
            <w:proofErr w:type="spellStart"/>
            <w:r w:rsidR="0063659C">
              <w:rPr>
                <w:rFonts w:cs="Arial"/>
                <w:color w:val="000000"/>
                <w:szCs w:val="22"/>
                <w:lang w:eastAsia="cs-CZ"/>
              </w:rPr>
              <w:t>Agribus</w:t>
            </w:r>
            <w:proofErr w:type="spellEnd"/>
            <w:r w:rsidR="0063659C">
              <w:rPr>
                <w:rFonts w:cs="Arial"/>
                <w:color w:val="000000"/>
                <w:szCs w:val="22"/>
                <w:lang w:eastAsia="cs-CZ"/>
              </w:rPr>
              <w:t>/EPO</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2BDA2A37" w14:textId="77777777" w:rsidR="0000551E" w:rsidRPr="0098636F" w:rsidRDefault="00043EF0" w:rsidP="00FC5517">
            <w:pPr>
              <w:spacing w:after="0"/>
              <w:jc w:val="both"/>
              <w:rPr>
                <w:rFonts w:cs="Arial"/>
                <w:color w:val="000000"/>
                <w:szCs w:val="22"/>
                <w:lang w:eastAsia="cs-CZ"/>
              </w:rPr>
            </w:pPr>
            <w:r>
              <w:rPr>
                <w:rFonts w:cs="Arial"/>
                <w:color w:val="000000"/>
                <w:szCs w:val="22"/>
                <w:lang w:eastAsia="cs-CZ"/>
              </w:rPr>
              <w:t>15.</w:t>
            </w:r>
            <w:r w:rsidR="0063659C">
              <w:rPr>
                <w:rFonts w:cs="Arial"/>
                <w:color w:val="000000"/>
                <w:szCs w:val="22"/>
                <w:lang w:eastAsia="cs-CZ"/>
              </w:rPr>
              <w:t>1</w:t>
            </w:r>
            <w:r w:rsidR="00EA1F60">
              <w:rPr>
                <w:rFonts w:cs="Arial"/>
                <w:color w:val="000000"/>
                <w:szCs w:val="22"/>
                <w:lang w:eastAsia="cs-CZ"/>
              </w:rPr>
              <w:t>0</w:t>
            </w:r>
            <w:r w:rsidR="002C7709" w:rsidRPr="0098636F">
              <w:rPr>
                <w:rFonts w:cs="Arial"/>
                <w:color w:val="000000"/>
                <w:szCs w:val="22"/>
                <w:lang w:eastAsia="cs-CZ"/>
              </w:rPr>
              <w:t>.20</w:t>
            </w:r>
            <w:r w:rsidR="0036069B" w:rsidRPr="0098636F">
              <w:rPr>
                <w:rFonts w:cs="Arial"/>
                <w:color w:val="000000"/>
                <w:szCs w:val="22"/>
                <w:lang w:eastAsia="cs-CZ"/>
              </w:rPr>
              <w:t>2</w:t>
            </w:r>
            <w:r w:rsidR="003A65FA">
              <w:rPr>
                <w:rFonts w:cs="Arial"/>
                <w:color w:val="000000"/>
                <w:szCs w:val="22"/>
                <w:lang w:eastAsia="cs-CZ"/>
              </w:rPr>
              <w:t>1</w:t>
            </w:r>
          </w:p>
        </w:tc>
      </w:tr>
      <w:tr w:rsidR="0000551E" w:rsidRPr="0098636F" w14:paraId="167858C7" w14:textId="77777777" w:rsidTr="0063659C">
        <w:trPr>
          <w:trHeight w:val="284"/>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AFF43" w14:textId="77777777" w:rsidR="0000551E" w:rsidRPr="0098636F" w:rsidRDefault="00876B57" w:rsidP="00FC5517">
            <w:pPr>
              <w:spacing w:after="0"/>
              <w:jc w:val="both"/>
              <w:rPr>
                <w:rFonts w:cs="Arial"/>
                <w:color w:val="000000"/>
                <w:szCs w:val="22"/>
                <w:lang w:eastAsia="cs-CZ"/>
              </w:rPr>
            </w:pPr>
            <w:r>
              <w:rPr>
                <w:rFonts w:cs="Arial"/>
                <w:color w:val="000000"/>
                <w:szCs w:val="22"/>
                <w:lang w:eastAsia="cs-CZ"/>
              </w:rPr>
              <w:t xml:space="preserve">Zapracování připomínek </w:t>
            </w:r>
            <w:r w:rsidR="00815553">
              <w:rPr>
                <w:rFonts w:cs="Arial"/>
                <w:color w:val="000000"/>
                <w:szCs w:val="22"/>
                <w:lang w:eastAsia="cs-CZ"/>
              </w:rPr>
              <w:t>z</w:t>
            </w:r>
            <w:r w:rsidR="0063659C">
              <w:rPr>
                <w:rFonts w:cs="Arial"/>
                <w:color w:val="000000"/>
                <w:szCs w:val="22"/>
                <w:lang w:eastAsia="cs-CZ"/>
              </w:rPr>
              <w:t> </w:t>
            </w:r>
            <w:r w:rsidR="00815553">
              <w:rPr>
                <w:rFonts w:cs="Arial"/>
                <w:color w:val="000000"/>
                <w:szCs w:val="22"/>
                <w:lang w:eastAsia="cs-CZ"/>
              </w:rPr>
              <w:t>testů</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11FF9EB6" w14:textId="77777777" w:rsidR="0000551E" w:rsidRPr="0098636F" w:rsidRDefault="00EA1F60" w:rsidP="00FC5517">
            <w:pPr>
              <w:spacing w:after="0"/>
              <w:jc w:val="both"/>
              <w:rPr>
                <w:rFonts w:cs="Arial"/>
                <w:color w:val="000000"/>
                <w:szCs w:val="22"/>
                <w:lang w:eastAsia="cs-CZ"/>
              </w:rPr>
            </w:pPr>
            <w:r>
              <w:rPr>
                <w:rFonts w:cs="Arial"/>
                <w:color w:val="000000"/>
                <w:szCs w:val="22"/>
                <w:lang w:eastAsia="cs-CZ"/>
              </w:rPr>
              <w:t>31</w:t>
            </w:r>
            <w:r w:rsidR="0063659C">
              <w:rPr>
                <w:rFonts w:cs="Arial"/>
                <w:color w:val="000000"/>
                <w:szCs w:val="22"/>
                <w:lang w:eastAsia="cs-CZ"/>
              </w:rPr>
              <w:t>.1</w:t>
            </w:r>
            <w:r>
              <w:rPr>
                <w:rFonts w:cs="Arial"/>
                <w:color w:val="000000"/>
                <w:szCs w:val="22"/>
                <w:lang w:eastAsia="cs-CZ"/>
              </w:rPr>
              <w:t>0</w:t>
            </w:r>
            <w:r w:rsidR="002C7709" w:rsidRPr="0098636F">
              <w:rPr>
                <w:rFonts w:cs="Arial"/>
                <w:color w:val="000000"/>
                <w:szCs w:val="22"/>
                <w:lang w:eastAsia="cs-CZ"/>
              </w:rPr>
              <w:t>.20</w:t>
            </w:r>
            <w:r w:rsidR="0036069B" w:rsidRPr="0098636F">
              <w:rPr>
                <w:rFonts w:cs="Arial"/>
                <w:color w:val="000000"/>
                <w:szCs w:val="22"/>
                <w:lang w:eastAsia="cs-CZ"/>
              </w:rPr>
              <w:t>2</w:t>
            </w:r>
            <w:r>
              <w:rPr>
                <w:rFonts w:cs="Arial"/>
                <w:color w:val="000000"/>
                <w:szCs w:val="22"/>
                <w:lang w:eastAsia="cs-CZ"/>
              </w:rPr>
              <w:t>1</w:t>
            </w:r>
          </w:p>
        </w:tc>
      </w:tr>
      <w:tr w:rsidR="0063659C" w:rsidRPr="0098636F" w14:paraId="0F5D571F" w14:textId="77777777" w:rsidTr="00E110CC">
        <w:trPr>
          <w:trHeight w:val="284"/>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287A9" w14:textId="77777777" w:rsidR="0063659C" w:rsidRPr="0098636F" w:rsidRDefault="0063659C" w:rsidP="00E110CC">
            <w:pPr>
              <w:spacing w:after="0"/>
              <w:jc w:val="both"/>
              <w:rPr>
                <w:rFonts w:cs="Arial"/>
                <w:color w:val="000000"/>
                <w:szCs w:val="22"/>
                <w:lang w:eastAsia="cs-CZ"/>
              </w:rPr>
            </w:pPr>
            <w:r>
              <w:rPr>
                <w:rFonts w:cs="Arial"/>
                <w:color w:val="000000"/>
                <w:szCs w:val="22"/>
                <w:lang w:eastAsia="cs-CZ"/>
              </w:rPr>
              <w:t>Nasazení do produkčního prostředí</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704B2F2A" w14:textId="77777777" w:rsidR="0063659C" w:rsidRPr="0098636F" w:rsidRDefault="00EA1F60" w:rsidP="00E110CC">
            <w:pPr>
              <w:spacing w:after="0"/>
              <w:jc w:val="both"/>
              <w:rPr>
                <w:rFonts w:cs="Arial"/>
                <w:color w:val="000000"/>
                <w:szCs w:val="22"/>
                <w:lang w:eastAsia="cs-CZ"/>
              </w:rPr>
            </w:pPr>
            <w:r>
              <w:rPr>
                <w:rFonts w:cs="Arial"/>
                <w:color w:val="000000"/>
                <w:szCs w:val="22"/>
                <w:lang w:eastAsia="cs-CZ"/>
              </w:rPr>
              <w:t>15.11</w:t>
            </w:r>
            <w:r w:rsidR="0063659C" w:rsidRPr="0098636F">
              <w:rPr>
                <w:rFonts w:cs="Arial"/>
                <w:color w:val="000000"/>
                <w:szCs w:val="22"/>
                <w:lang w:eastAsia="cs-CZ"/>
              </w:rPr>
              <w:t>.202</w:t>
            </w:r>
            <w:r>
              <w:rPr>
                <w:rFonts w:cs="Arial"/>
                <w:color w:val="000000"/>
                <w:szCs w:val="22"/>
                <w:lang w:eastAsia="cs-CZ"/>
              </w:rPr>
              <w:t>1</w:t>
            </w:r>
          </w:p>
        </w:tc>
      </w:tr>
      <w:tr w:rsidR="00320930" w:rsidRPr="0098636F" w14:paraId="231DF9ED" w14:textId="77777777" w:rsidTr="0063659C">
        <w:trPr>
          <w:trHeight w:val="284"/>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3F34B" w14:textId="77777777" w:rsidR="00320930" w:rsidRPr="0098636F" w:rsidRDefault="00320930" w:rsidP="00153C10">
            <w:pPr>
              <w:spacing w:after="0"/>
              <w:rPr>
                <w:rFonts w:cs="Arial"/>
                <w:color w:val="000000"/>
                <w:szCs w:val="22"/>
                <w:lang w:eastAsia="cs-CZ"/>
              </w:rPr>
            </w:pPr>
            <w:r>
              <w:rPr>
                <w:rFonts w:cs="Arial"/>
                <w:color w:val="000000"/>
                <w:szCs w:val="22"/>
                <w:lang w:eastAsia="cs-CZ"/>
              </w:rPr>
              <w:t>Akceptace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65F92C1B" w14:textId="77777777" w:rsidR="00320930" w:rsidRDefault="00EA1F60" w:rsidP="00153C10">
            <w:pPr>
              <w:spacing w:after="0"/>
              <w:rPr>
                <w:rFonts w:cs="Arial"/>
                <w:color w:val="000000"/>
                <w:szCs w:val="22"/>
                <w:lang w:eastAsia="cs-CZ"/>
              </w:rPr>
            </w:pPr>
            <w:r>
              <w:rPr>
                <w:rFonts w:cs="Arial"/>
                <w:color w:val="000000"/>
                <w:szCs w:val="22"/>
                <w:lang w:eastAsia="cs-CZ"/>
              </w:rPr>
              <w:t>30.11.2021</w:t>
            </w:r>
          </w:p>
        </w:tc>
      </w:tr>
    </w:tbl>
    <w:p w14:paraId="5009C513" w14:textId="77777777" w:rsidR="007D6009" w:rsidRDefault="007D6009">
      <w:pPr>
        <w:spacing w:after="0"/>
        <w:rPr>
          <w:rFonts w:cs="Arial"/>
          <w:szCs w:val="22"/>
        </w:rPr>
      </w:pPr>
    </w:p>
    <w:p w14:paraId="21DA4AC9" w14:textId="77777777" w:rsidR="0000551E" w:rsidRPr="0098636F" w:rsidRDefault="0000551E" w:rsidP="00355BAB">
      <w:pPr>
        <w:pStyle w:val="Nadpis1"/>
        <w:tabs>
          <w:tab w:val="clear" w:pos="540"/>
        </w:tabs>
        <w:ind w:left="284" w:hanging="284"/>
        <w:rPr>
          <w:rFonts w:cs="Arial"/>
          <w:sz w:val="22"/>
          <w:szCs w:val="22"/>
        </w:rPr>
      </w:pPr>
      <w:r w:rsidRPr="0098636F">
        <w:rPr>
          <w:rFonts w:cs="Arial"/>
          <w:sz w:val="22"/>
          <w:szCs w:val="22"/>
        </w:rPr>
        <w:t>Přílohy</w:t>
      </w:r>
    </w:p>
    <w:p w14:paraId="4E73D58A" w14:textId="77777777" w:rsidR="0000551E" w:rsidRPr="0098636F" w:rsidRDefault="0000551E" w:rsidP="001978D2">
      <w:pPr>
        <w:spacing w:after="0"/>
        <w:ind w:left="426"/>
        <w:rPr>
          <w:rFonts w:cs="Arial"/>
          <w:szCs w:val="22"/>
        </w:rPr>
      </w:pPr>
      <w:r w:rsidRPr="0098636F">
        <w:rPr>
          <w:rFonts w:cs="Arial"/>
          <w:szCs w:val="22"/>
        </w:rPr>
        <w:t>1.</w:t>
      </w:r>
    </w:p>
    <w:p w14:paraId="4CD3E4C7" w14:textId="77777777" w:rsidR="0000551E" w:rsidRPr="0098636F" w:rsidRDefault="0000551E" w:rsidP="001978D2">
      <w:pPr>
        <w:spacing w:after="0"/>
        <w:ind w:left="426"/>
        <w:rPr>
          <w:rFonts w:cs="Arial"/>
          <w:szCs w:val="22"/>
        </w:rPr>
      </w:pPr>
      <w:r w:rsidRPr="0098636F">
        <w:rPr>
          <w:rFonts w:cs="Arial"/>
          <w:szCs w:val="22"/>
        </w:rPr>
        <w:t>2.</w:t>
      </w:r>
    </w:p>
    <w:p w14:paraId="77FC715E" w14:textId="77777777" w:rsidR="0000551E" w:rsidRPr="0098636F" w:rsidRDefault="0000551E">
      <w:pPr>
        <w:spacing w:after="0"/>
        <w:rPr>
          <w:rFonts w:cs="Arial"/>
          <w:szCs w:val="22"/>
        </w:rPr>
      </w:pPr>
    </w:p>
    <w:p w14:paraId="2A962381" w14:textId="77777777" w:rsidR="0000551E" w:rsidRPr="0098636F" w:rsidRDefault="0000551E" w:rsidP="006A0258">
      <w:pPr>
        <w:pStyle w:val="Nadpis1"/>
        <w:tabs>
          <w:tab w:val="clear" w:pos="540"/>
        </w:tabs>
        <w:ind w:left="284" w:hanging="284"/>
        <w:rPr>
          <w:rFonts w:cs="Arial"/>
          <w:sz w:val="22"/>
          <w:szCs w:val="22"/>
        </w:rPr>
      </w:pPr>
      <w:r w:rsidRPr="0098636F">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98636F" w14:paraId="04EA2483" w14:textId="77777777" w:rsidTr="00E20EC8">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CDCC52F" w14:textId="77777777" w:rsidR="0000551E" w:rsidRPr="00C54DB7" w:rsidRDefault="0000551E" w:rsidP="00CD05B8">
            <w:pPr>
              <w:spacing w:after="0"/>
              <w:rPr>
                <w:b/>
                <w:color w:val="000000"/>
              </w:rPr>
            </w:pPr>
            <w:r w:rsidRPr="00C54DB7">
              <w:rPr>
                <w:b/>
                <w:color w:val="000000"/>
              </w:rPr>
              <w:t xml:space="preserve">Za resort </w:t>
            </w:r>
            <w:proofErr w:type="spellStart"/>
            <w:r w:rsidRPr="00C54DB7">
              <w:rPr>
                <w:b/>
                <w:color w:val="000000"/>
              </w:rPr>
              <w:t>MZe</w:t>
            </w:r>
            <w:proofErr w:type="spellEnd"/>
            <w:r w:rsidRPr="00C54DB7">
              <w:rPr>
                <w:b/>
                <w:color w:val="000000"/>
              </w:rPr>
              <w:t>:</w:t>
            </w:r>
          </w:p>
        </w:tc>
        <w:tc>
          <w:tcPr>
            <w:tcW w:w="3398" w:type="dxa"/>
            <w:tcBorders>
              <w:top w:val="single" w:sz="8" w:space="0" w:color="auto"/>
              <w:bottom w:val="single" w:sz="8" w:space="0" w:color="auto"/>
            </w:tcBorders>
            <w:vAlign w:val="center"/>
          </w:tcPr>
          <w:p w14:paraId="1C857431" w14:textId="77777777" w:rsidR="0000551E" w:rsidRPr="00C54DB7" w:rsidRDefault="0000551E" w:rsidP="00830DFE">
            <w:pPr>
              <w:spacing w:after="0"/>
              <w:rPr>
                <w:b/>
                <w:color w:val="000000"/>
              </w:rPr>
            </w:pPr>
            <w:r w:rsidRPr="00C54DB7">
              <w:rPr>
                <w:b/>
                <w:color w:val="000000"/>
              </w:rPr>
              <w:t>Jméno:</w:t>
            </w:r>
          </w:p>
        </w:tc>
        <w:tc>
          <w:tcPr>
            <w:tcW w:w="1417" w:type="dxa"/>
            <w:tcBorders>
              <w:top w:val="single" w:sz="8" w:space="0" w:color="auto"/>
              <w:bottom w:val="single" w:sz="8" w:space="0" w:color="auto"/>
            </w:tcBorders>
            <w:vAlign w:val="center"/>
          </w:tcPr>
          <w:p w14:paraId="46C746A7" w14:textId="77777777" w:rsidR="0000551E" w:rsidRPr="0098636F" w:rsidRDefault="0000551E" w:rsidP="00337DDA">
            <w:pPr>
              <w:spacing w:after="0"/>
              <w:rPr>
                <w:rFonts w:cs="Arial"/>
                <w:b/>
                <w:bCs/>
                <w:color w:val="000000"/>
                <w:szCs w:val="22"/>
                <w:lang w:eastAsia="cs-CZ"/>
              </w:rPr>
            </w:pPr>
            <w:r w:rsidRPr="0098636F">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5EE601D" w14:textId="77777777" w:rsidR="0000551E" w:rsidRPr="0098636F" w:rsidRDefault="0000551E" w:rsidP="00337DDA">
            <w:pPr>
              <w:spacing w:after="0"/>
              <w:rPr>
                <w:rFonts w:cs="Arial"/>
                <w:b/>
                <w:bCs/>
                <w:color w:val="000000"/>
                <w:szCs w:val="22"/>
                <w:lang w:eastAsia="cs-CZ"/>
              </w:rPr>
            </w:pPr>
            <w:r w:rsidRPr="0098636F">
              <w:rPr>
                <w:rFonts w:cs="Arial"/>
                <w:b/>
                <w:bCs/>
                <w:color w:val="000000"/>
                <w:szCs w:val="22"/>
                <w:lang w:eastAsia="cs-CZ"/>
              </w:rPr>
              <w:t>Podpis:</w:t>
            </w:r>
          </w:p>
        </w:tc>
      </w:tr>
      <w:tr w:rsidR="00CC4A64" w:rsidRPr="0098636F" w14:paraId="1D78B73E" w14:textId="77777777" w:rsidTr="00C346A7">
        <w:trPr>
          <w:trHeight w:val="732"/>
        </w:trPr>
        <w:tc>
          <w:tcPr>
            <w:tcW w:w="2688" w:type="dxa"/>
            <w:shd w:val="clear" w:color="auto" w:fill="auto"/>
            <w:noWrap/>
            <w:vAlign w:val="center"/>
          </w:tcPr>
          <w:p w14:paraId="25875F40" w14:textId="77777777" w:rsidR="00CC4A64" w:rsidRPr="00C54DB7" w:rsidRDefault="00CC4A64" w:rsidP="00CC4A64">
            <w:pPr>
              <w:spacing w:after="0"/>
              <w:rPr>
                <w:color w:val="000000"/>
              </w:rPr>
            </w:pPr>
            <w:bookmarkStart w:id="1" w:name="_Hlk15298558"/>
            <w:r>
              <w:rPr>
                <w:color w:val="000000"/>
              </w:rPr>
              <w:t>G</w:t>
            </w:r>
            <w:r w:rsidRPr="00C54DB7">
              <w:rPr>
                <w:color w:val="000000"/>
              </w:rPr>
              <w:t>arant</w:t>
            </w:r>
            <w:r>
              <w:rPr>
                <w:color w:val="000000"/>
              </w:rPr>
              <w:t xml:space="preserve"> </w:t>
            </w:r>
          </w:p>
        </w:tc>
        <w:tc>
          <w:tcPr>
            <w:tcW w:w="3398" w:type="dxa"/>
            <w:vAlign w:val="center"/>
          </w:tcPr>
          <w:p w14:paraId="555DF3CA" w14:textId="77777777" w:rsidR="00AF1F8A" w:rsidRDefault="00AF1F8A" w:rsidP="00CC4A64">
            <w:pPr>
              <w:spacing w:after="0"/>
              <w:rPr>
                <w:color w:val="000000"/>
              </w:rPr>
            </w:pPr>
            <w:r>
              <w:rPr>
                <w:color w:val="000000"/>
              </w:rPr>
              <w:t>David Kuna</w:t>
            </w:r>
          </w:p>
        </w:tc>
        <w:tc>
          <w:tcPr>
            <w:tcW w:w="1417" w:type="dxa"/>
            <w:vAlign w:val="center"/>
          </w:tcPr>
          <w:p w14:paraId="105E688C" w14:textId="77777777" w:rsidR="00CC4A64" w:rsidRPr="0098636F" w:rsidRDefault="00CC4A64" w:rsidP="00CC4A64">
            <w:pPr>
              <w:spacing w:after="0"/>
              <w:rPr>
                <w:rFonts w:cs="Arial"/>
                <w:color w:val="000000"/>
                <w:szCs w:val="22"/>
                <w:lang w:eastAsia="cs-CZ"/>
              </w:rPr>
            </w:pPr>
          </w:p>
        </w:tc>
        <w:tc>
          <w:tcPr>
            <w:tcW w:w="2267" w:type="dxa"/>
            <w:shd w:val="clear" w:color="auto" w:fill="auto"/>
            <w:vAlign w:val="center"/>
          </w:tcPr>
          <w:p w14:paraId="10DD865F" w14:textId="77777777" w:rsidR="00CC4A64" w:rsidRPr="0098636F" w:rsidRDefault="00CC4A64" w:rsidP="00CC4A64">
            <w:pPr>
              <w:spacing w:after="0"/>
              <w:rPr>
                <w:rFonts w:cs="Arial"/>
                <w:color w:val="000000"/>
                <w:szCs w:val="22"/>
                <w:lang w:eastAsia="cs-CZ"/>
              </w:rPr>
            </w:pPr>
          </w:p>
        </w:tc>
      </w:tr>
      <w:bookmarkEnd w:id="1"/>
      <w:tr w:rsidR="00CB03C6" w:rsidRPr="006C3557" w14:paraId="27A02333" w14:textId="77777777" w:rsidTr="00C346A7">
        <w:trPr>
          <w:trHeight w:val="837"/>
        </w:trPr>
        <w:tc>
          <w:tcPr>
            <w:tcW w:w="2688" w:type="dxa"/>
            <w:shd w:val="clear" w:color="auto" w:fill="auto"/>
            <w:noWrap/>
            <w:vAlign w:val="center"/>
          </w:tcPr>
          <w:p w14:paraId="3B1A7900" w14:textId="77777777" w:rsidR="00CB03C6" w:rsidRPr="00C54DB7" w:rsidRDefault="00CB03C6" w:rsidP="00CB03C6">
            <w:pPr>
              <w:spacing w:after="0"/>
              <w:rPr>
                <w:color w:val="000000"/>
              </w:rPr>
            </w:pPr>
            <w:proofErr w:type="spellStart"/>
            <w:r w:rsidRPr="00C54DB7">
              <w:rPr>
                <w:color w:val="000000"/>
              </w:rPr>
              <w:t>Change</w:t>
            </w:r>
            <w:proofErr w:type="spellEnd"/>
            <w:r w:rsidRPr="00C54DB7">
              <w:rPr>
                <w:color w:val="000000"/>
              </w:rPr>
              <w:t xml:space="preserve"> koordinátor:</w:t>
            </w:r>
          </w:p>
        </w:tc>
        <w:tc>
          <w:tcPr>
            <w:tcW w:w="3398" w:type="dxa"/>
            <w:vAlign w:val="center"/>
          </w:tcPr>
          <w:p w14:paraId="01A0C6AD" w14:textId="77777777" w:rsidR="00CB03C6" w:rsidRPr="00C54DB7" w:rsidRDefault="00196683" w:rsidP="00CB03C6">
            <w:pPr>
              <w:spacing w:after="0"/>
              <w:rPr>
                <w:color w:val="000000"/>
              </w:rPr>
            </w:pPr>
            <w:r>
              <w:rPr>
                <w:color w:val="000000"/>
              </w:rPr>
              <w:t>Jiří Bukovský</w:t>
            </w:r>
          </w:p>
        </w:tc>
        <w:tc>
          <w:tcPr>
            <w:tcW w:w="1417" w:type="dxa"/>
            <w:vAlign w:val="center"/>
          </w:tcPr>
          <w:p w14:paraId="0FF28DE1" w14:textId="77777777" w:rsidR="00CB03C6" w:rsidRPr="006C3557" w:rsidRDefault="00CB03C6" w:rsidP="00CB03C6">
            <w:pPr>
              <w:spacing w:after="0"/>
              <w:rPr>
                <w:rFonts w:cs="Arial"/>
                <w:color w:val="000000"/>
                <w:szCs w:val="22"/>
                <w:lang w:eastAsia="cs-CZ"/>
              </w:rPr>
            </w:pPr>
          </w:p>
        </w:tc>
        <w:tc>
          <w:tcPr>
            <w:tcW w:w="2267" w:type="dxa"/>
            <w:shd w:val="clear" w:color="auto" w:fill="auto"/>
            <w:vAlign w:val="center"/>
          </w:tcPr>
          <w:p w14:paraId="67399899" w14:textId="77777777" w:rsidR="00CB03C6" w:rsidRPr="006C3557" w:rsidRDefault="00CB03C6" w:rsidP="00CB03C6">
            <w:pPr>
              <w:spacing w:after="0"/>
              <w:rPr>
                <w:rFonts w:cs="Arial"/>
                <w:color w:val="000000"/>
                <w:szCs w:val="22"/>
                <w:lang w:eastAsia="cs-CZ"/>
              </w:rPr>
            </w:pPr>
          </w:p>
        </w:tc>
      </w:tr>
    </w:tbl>
    <w:p w14:paraId="45733631" w14:textId="77777777" w:rsidR="002207E9" w:rsidRDefault="002207E9" w:rsidP="00484CB3">
      <w:pPr>
        <w:spacing w:after="0"/>
        <w:rPr>
          <w:rFonts w:cs="Arial"/>
          <w:szCs w:val="22"/>
        </w:rPr>
      </w:pPr>
    </w:p>
    <w:p w14:paraId="6FF2C765" w14:textId="77777777" w:rsidR="002207E9" w:rsidRDefault="002207E9" w:rsidP="00484CB3">
      <w:pPr>
        <w:spacing w:after="0"/>
        <w:rPr>
          <w:rFonts w:cs="Arial"/>
          <w:szCs w:val="22"/>
        </w:rPr>
      </w:pPr>
    </w:p>
    <w:p w14:paraId="4FD8667A" w14:textId="77777777" w:rsidR="0000551E" w:rsidRDefault="0000551E" w:rsidP="002B12D5">
      <w:pPr>
        <w:spacing w:after="0"/>
        <w:rPr>
          <w:rFonts w:cs="Arial"/>
          <w:b/>
          <w:caps/>
          <w:szCs w:val="22"/>
        </w:rPr>
        <w:sectPr w:rsidR="0000551E" w:rsidSect="00E47EC0">
          <w:headerReference w:type="default" r:id="rId8"/>
          <w:footerReference w:type="default" r:id="rId9"/>
          <w:type w:val="continuous"/>
          <w:pgSz w:w="11906" w:h="16838" w:code="9"/>
          <w:pgMar w:top="1134" w:right="1418" w:bottom="1134" w:left="992" w:header="567" w:footer="567" w:gutter="0"/>
          <w:cols w:space="708"/>
          <w:titlePg/>
          <w:docGrid w:linePitch="360"/>
        </w:sectPr>
      </w:pPr>
    </w:p>
    <w:p w14:paraId="3BE028AB" w14:textId="77777777" w:rsidR="0000551E" w:rsidRDefault="0000551E" w:rsidP="002B12D5">
      <w:pPr>
        <w:spacing w:after="0"/>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2184F380" w14:textId="7777777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996485" w:rsidRPr="00996485">
        <w:rPr>
          <w:rFonts w:cs="Arial"/>
          <w:b/>
          <w:caps/>
          <w:szCs w:val="22"/>
        </w:rPr>
        <w:t>Z32207</w:t>
      </w:r>
    </w:p>
    <w:tbl>
      <w:tblPr>
        <w:tblW w:w="3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670"/>
        <w:gridCol w:w="1276"/>
      </w:tblGrid>
      <w:tr w:rsidR="00EF4B24" w:rsidRPr="006C3557" w14:paraId="1087FE46" w14:textId="77777777" w:rsidTr="0085506E">
        <w:trPr>
          <w:trHeight w:val="160"/>
        </w:trPr>
        <w:tc>
          <w:tcPr>
            <w:tcW w:w="2670" w:type="dxa"/>
            <w:tcBorders>
              <w:top w:val="single" w:sz="8" w:space="0" w:color="auto"/>
              <w:left w:val="single" w:sz="8" w:space="0" w:color="auto"/>
              <w:bottom w:val="single" w:sz="8" w:space="0" w:color="auto"/>
            </w:tcBorders>
            <w:shd w:val="clear" w:color="auto" w:fill="auto"/>
            <w:vAlign w:val="center"/>
          </w:tcPr>
          <w:p w14:paraId="047E4501" w14:textId="77777777" w:rsidR="00EF4B24" w:rsidRPr="009D0844" w:rsidRDefault="00EF4B24" w:rsidP="0085497D">
            <w:pPr>
              <w:rPr>
                <w:szCs w:val="22"/>
              </w:rPr>
            </w:pPr>
            <w:r w:rsidRPr="009D0844">
              <w:rPr>
                <w:b/>
                <w:szCs w:val="22"/>
              </w:rPr>
              <w:t xml:space="preserve">ID PK </w:t>
            </w:r>
            <w:proofErr w:type="spellStart"/>
            <w:r w:rsidRPr="009D0844">
              <w:rPr>
                <w:b/>
                <w:szCs w:val="22"/>
              </w:rPr>
              <w:t>MZe</w:t>
            </w:r>
            <w:proofErr w:type="spellEnd"/>
            <w:r w:rsidRPr="009D0844">
              <w:rPr>
                <w:szCs w:val="22"/>
              </w:rPr>
              <w:endnoteReference w:id="14"/>
            </w:r>
            <w:r w:rsidRPr="009D0844">
              <w:t>:</w:t>
            </w:r>
          </w:p>
        </w:tc>
        <w:tc>
          <w:tcPr>
            <w:tcW w:w="1276" w:type="dxa"/>
            <w:shd w:val="clear" w:color="auto" w:fill="auto"/>
            <w:vAlign w:val="center"/>
          </w:tcPr>
          <w:p w14:paraId="7B29E01F" w14:textId="77777777" w:rsidR="00EF4B24" w:rsidRPr="009D0844" w:rsidRDefault="00EA1F60" w:rsidP="00741DD7">
            <w:pPr>
              <w:rPr>
                <w:szCs w:val="22"/>
              </w:rPr>
            </w:pPr>
            <w:r>
              <w:rPr>
                <w:szCs w:val="22"/>
              </w:rPr>
              <w:t>627</w:t>
            </w:r>
          </w:p>
        </w:tc>
      </w:tr>
    </w:tbl>
    <w:p w14:paraId="4C328464" w14:textId="77777777" w:rsidR="0000551E" w:rsidRDefault="0000551E" w:rsidP="00EC6856">
      <w:pPr>
        <w:spacing w:after="0"/>
        <w:rPr>
          <w:rFonts w:cs="Arial"/>
          <w:caps/>
          <w:szCs w:val="22"/>
        </w:rPr>
      </w:pPr>
    </w:p>
    <w:p w14:paraId="490DDCAD"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33D7A55A" w14:textId="77777777" w:rsidR="0000551E" w:rsidRPr="00B27B87" w:rsidRDefault="002B12D5" w:rsidP="00B27B87">
      <w:r>
        <w:t>Viz část A tohoto PZ, body 2 a 3.</w:t>
      </w:r>
    </w:p>
    <w:p w14:paraId="72EF32A0"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D762886" w14:textId="77777777" w:rsidR="0000551E" w:rsidRPr="00CC4564" w:rsidRDefault="002B12D5" w:rsidP="00CC4564">
      <w:r>
        <w:t xml:space="preserve">V souladu s podmínkami smlouvy </w:t>
      </w:r>
      <w:r w:rsidRPr="002B12D5">
        <w:t>391-2019-11150</w:t>
      </w:r>
      <w:r>
        <w:t xml:space="preserve">. </w:t>
      </w:r>
    </w:p>
    <w:p w14:paraId="18FD7506" w14:textId="77777777" w:rsidR="0000551E" w:rsidRDefault="0000551E" w:rsidP="009C558F">
      <w:pPr>
        <w:pStyle w:val="Nadpis1"/>
        <w:numPr>
          <w:ilvl w:val="0"/>
          <w:numId w:val="4"/>
        </w:numPr>
        <w:tabs>
          <w:tab w:val="clear" w:pos="540"/>
        </w:tabs>
        <w:ind w:left="284" w:hanging="284"/>
        <w:rPr>
          <w:rFonts w:cs="Arial"/>
          <w:sz w:val="22"/>
          <w:szCs w:val="22"/>
        </w:rPr>
      </w:pPr>
      <w:r w:rsidRPr="00532F19">
        <w:rPr>
          <w:rFonts w:cs="Arial"/>
          <w:sz w:val="22"/>
          <w:szCs w:val="22"/>
        </w:rPr>
        <w:t>Dopady</w:t>
      </w:r>
      <w:r>
        <w:rPr>
          <w:rFonts w:cs="Arial"/>
          <w:sz w:val="22"/>
          <w:szCs w:val="22"/>
        </w:rPr>
        <w:t xml:space="preserve"> do systémů </w:t>
      </w:r>
      <w:proofErr w:type="spellStart"/>
      <w:r>
        <w:rPr>
          <w:rFonts w:cs="Arial"/>
          <w:sz w:val="22"/>
          <w:szCs w:val="22"/>
        </w:rPr>
        <w:t>MZe</w:t>
      </w:r>
      <w:proofErr w:type="spellEnd"/>
    </w:p>
    <w:p w14:paraId="4E7F2093" w14:textId="6481549F"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7E11867C" w14:textId="5640B314" w:rsidR="0000551E" w:rsidRPr="00EF4B24" w:rsidRDefault="0000551E" w:rsidP="00EF4B24">
      <w:pPr>
        <w:jc w:val="both"/>
        <w:rPr>
          <w:sz w:val="20"/>
        </w:rPr>
      </w:pPr>
      <w:r w:rsidRPr="00EF4B24">
        <w:rPr>
          <w:sz w:val="20"/>
        </w:rPr>
        <w:t xml:space="preserve">(Pozn.: V popisu dopadů zohledněte strukturu informací uvedenou v části </w:t>
      </w:r>
      <w:proofErr w:type="gramStart"/>
      <w:r w:rsidRPr="00EF4B24">
        <w:rPr>
          <w:sz w:val="20"/>
        </w:rPr>
        <w:t>A - Věcné</w:t>
      </w:r>
      <w:proofErr w:type="gramEnd"/>
      <w:r w:rsidRPr="00EF4B24">
        <w:rPr>
          <w:sz w:val="20"/>
        </w:rPr>
        <w:t xml:space="preserve"> zadání v bodu 4</w:t>
      </w:r>
      <w:r w:rsidR="003B0C0E" w:rsidRPr="00EF4B24">
        <w:rPr>
          <w:sz w:val="20"/>
        </w:rPr>
        <w:t>, přičemž u dopadů dle bodu</w:t>
      </w:r>
      <w:r w:rsidRPr="00EF4B24">
        <w:rPr>
          <w:sz w:val="20"/>
        </w:rPr>
        <w:t xml:space="preserve"> 4.1 uveďte, zda může mít změna dopad do agendy, aplikace, na data, na síťovou strukturu, na serverovou infrastrukturu, na bezpečnost.  </w:t>
      </w:r>
    </w:p>
    <w:p w14:paraId="01613026" w14:textId="77777777" w:rsidR="0000551E" w:rsidRPr="00EF4B24" w:rsidRDefault="0000551E" w:rsidP="00EF4B24">
      <w:pPr>
        <w:jc w:val="both"/>
        <w:rPr>
          <w:sz w:val="20"/>
        </w:rPr>
      </w:pPr>
      <w:r w:rsidRPr="00EF4B24">
        <w:rPr>
          <w:sz w:val="20"/>
        </w:rPr>
        <w:t xml:space="preserve">Pokud má požadavek dopady do dalších požadavků </w:t>
      </w:r>
      <w:proofErr w:type="spellStart"/>
      <w:r w:rsidRPr="00EF4B24">
        <w:rPr>
          <w:sz w:val="20"/>
        </w:rPr>
        <w:t>MZe</w:t>
      </w:r>
      <w:proofErr w:type="spellEnd"/>
      <w:r w:rsidRPr="00EF4B24">
        <w:rPr>
          <w:sz w:val="20"/>
        </w:rPr>
        <w:t>, uveďte je též v tomto bodu.</w:t>
      </w:r>
    </w:p>
    <w:p w14:paraId="0880C0E7" w14:textId="4B9FA57C" w:rsidR="0000551E" w:rsidRPr="00EF4B24" w:rsidRDefault="0000551E" w:rsidP="009D0844">
      <w:pPr>
        <w:rPr>
          <w:sz w:val="18"/>
        </w:rPr>
      </w:pPr>
      <w:r w:rsidRPr="009D0844">
        <w:rPr>
          <w:sz w:val="18"/>
        </w:rPr>
        <w:t xml:space="preserve">(Pozn.: </w:t>
      </w:r>
      <w:r w:rsidRPr="00EF4B24">
        <w:rPr>
          <w:sz w:val="18"/>
        </w:rPr>
        <w:t>V případě, že má změna dopady na síťovou infrastrukturu, doplňte tabulku v připojeném souboru - otevřete dvojklikem</w:t>
      </w:r>
      <w:r w:rsidR="00962388" w:rsidRPr="00962388">
        <w:rPr>
          <w:sz w:val="18"/>
          <w:szCs w:val="18"/>
        </w:rPr>
        <w:t>.)</w:t>
      </w:r>
      <w:proofErr w:type="gramStart"/>
      <w:r w:rsidRPr="004C022A">
        <w:t>):</w:t>
      </w:r>
      <w:r w:rsidRPr="00EF4B24">
        <w:rPr>
          <w:sz w:val="18"/>
        </w:rPr>
        <w:t xml:space="preserve">   </w:t>
      </w:r>
      <w:proofErr w:type="gramEnd"/>
      <w:r w:rsidRPr="00EF4B24">
        <w:rPr>
          <w:sz w:val="18"/>
        </w:rPr>
        <w:t xml:space="preserve"> </w:t>
      </w:r>
      <w:proofErr w:type="spellStart"/>
      <w:r w:rsidR="00B97294">
        <w:rPr>
          <w:sz w:val="18"/>
        </w:rPr>
        <w:t>xxx</w:t>
      </w:r>
      <w:proofErr w:type="spellEnd"/>
      <w:r w:rsidRPr="00EF4B24">
        <w:rPr>
          <w:sz w:val="18"/>
        </w:rPr>
        <w:t xml:space="preserve"> </w:t>
      </w:r>
    </w:p>
    <w:p w14:paraId="4E752001"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7E59B3A5" w14:textId="77777777" w:rsidR="00962388" w:rsidRDefault="00962388" w:rsidP="00962388">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51257D82" w14:textId="77777777" w:rsidTr="0073136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24DAB0A"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78045"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Oblast požadavku</w:t>
            </w:r>
            <w:r w:rsidRPr="00927AC8">
              <w:rPr>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F07E2E" w14:textId="77777777" w:rsidR="00962388" w:rsidRPr="008D2D56" w:rsidRDefault="00962388" w:rsidP="00CE4077">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195B2C21" w14:textId="77777777" w:rsidTr="0073136A">
        <w:trPr>
          <w:trHeight w:val="300"/>
        </w:trPr>
        <w:tc>
          <w:tcPr>
            <w:tcW w:w="426" w:type="dxa"/>
            <w:tcBorders>
              <w:top w:val="single" w:sz="8" w:space="0" w:color="auto"/>
              <w:bottom w:val="single" w:sz="4" w:space="0" w:color="auto"/>
            </w:tcBorders>
            <w:vAlign w:val="center"/>
          </w:tcPr>
          <w:p w14:paraId="264CB30E" w14:textId="77777777" w:rsidR="00962388" w:rsidRPr="00927AC8" w:rsidRDefault="00962388" w:rsidP="004B4473">
            <w:pPr>
              <w:numPr>
                <w:ilvl w:val="0"/>
                <w:numId w:val="8"/>
              </w:numPr>
              <w:ind w:left="568" w:hanging="284"/>
              <w:jc w:val="center"/>
              <w:rPr>
                <w:rFonts w:cs="Arial"/>
                <w:bCs/>
                <w:color w:val="000000"/>
                <w:szCs w:val="22"/>
              </w:rPr>
            </w:pPr>
          </w:p>
        </w:tc>
        <w:tc>
          <w:tcPr>
            <w:tcW w:w="5102" w:type="dxa"/>
            <w:tcBorders>
              <w:top w:val="single" w:sz="8" w:space="0" w:color="auto"/>
              <w:bottom w:val="single" w:sz="4" w:space="0" w:color="auto"/>
            </w:tcBorders>
            <w:shd w:val="clear" w:color="auto" w:fill="auto"/>
            <w:noWrap/>
            <w:vAlign w:val="center"/>
            <w:hideMark/>
          </w:tcPr>
          <w:p w14:paraId="677DD6DB"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Fonts w:cs="Arial"/>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tcPr>
          <w:p w14:paraId="61A8874B" w14:textId="77777777" w:rsidR="00962388" w:rsidRPr="005A71D5" w:rsidRDefault="00532F19" w:rsidP="00532F19">
            <w:pPr>
              <w:spacing w:after="0"/>
              <w:jc w:val="center"/>
              <w:rPr>
                <w:rFonts w:cs="Arial"/>
                <w:bCs/>
                <w:color w:val="000000"/>
                <w:szCs w:val="22"/>
                <w:lang w:eastAsia="cs-CZ"/>
              </w:rPr>
            </w:pPr>
            <w:r>
              <w:rPr>
                <w:rFonts w:cs="Arial"/>
                <w:bCs/>
                <w:color w:val="000000"/>
                <w:szCs w:val="22"/>
                <w:lang w:eastAsia="cs-CZ"/>
              </w:rPr>
              <w:t>Bez dopadu</w:t>
            </w:r>
          </w:p>
        </w:tc>
      </w:tr>
      <w:tr w:rsidR="00532F19" w:rsidRPr="00705F38" w14:paraId="5462B81A" w14:textId="77777777" w:rsidTr="00EC50EF">
        <w:trPr>
          <w:trHeight w:val="300"/>
        </w:trPr>
        <w:tc>
          <w:tcPr>
            <w:tcW w:w="426" w:type="dxa"/>
            <w:tcBorders>
              <w:bottom w:val="single" w:sz="4" w:space="0" w:color="auto"/>
            </w:tcBorders>
            <w:vAlign w:val="center"/>
          </w:tcPr>
          <w:p w14:paraId="59B8A655"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1BD1FB80" w14:textId="77777777" w:rsidR="00532F19" w:rsidRPr="00927AC8" w:rsidRDefault="00532F19" w:rsidP="00532F19">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tcPr>
          <w:p w14:paraId="61AA1133"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14:paraId="09640D2C" w14:textId="77777777" w:rsidTr="00EC50EF">
        <w:trPr>
          <w:trHeight w:val="300"/>
        </w:trPr>
        <w:tc>
          <w:tcPr>
            <w:tcW w:w="426" w:type="dxa"/>
            <w:tcBorders>
              <w:bottom w:val="single" w:sz="4" w:space="0" w:color="auto"/>
            </w:tcBorders>
            <w:vAlign w:val="center"/>
          </w:tcPr>
          <w:p w14:paraId="6A3DB0D5"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5BB5D117" w14:textId="77777777" w:rsidR="00532F19" w:rsidRPr="00927AC8" w:rsidRDefault="00532F19" w:rsidP="00532F19">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Fonts w:cs="Arial"/>
                <w:bCs/>
                <w:color w:val="000000"/>
                <w:szCs w:val="22"/>
                <w:lang w:eastAsia="cs-CZ"/>
              </w:rPr>
              <w:footnoteReference w:id="3"/>
            </w:r>
          </w:p>
        </w:tc>
        <w:tc>
          <w:tcPr>
            <w:tcW w:w="4253" w:type="dxa"/>
            <w:tcBorders>
              <w:bottom w:val="single" w:sz="4" w:space="0" w:color="auto"/>
            </w:tcBorders>
            <w:shd w:val="clear" w:color="auto" w:fill="auto"/>
            <w:noWrap/>
          </w:tcPr>
          <w:p w14:paraId="692346E7"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14:paraId="640E742C" w14:textId="77777777" w:rsidTr="00EC50EF">
        <w:trPr>
          <w:trHeight w:val="300"/>
        </w:trPr>
        <w:tc>
          <w:tcPr>
            <w:tcW w:w="426" w:type="dxa"/>
            <w:tcBorders>
              <w:bottom w:val="single" w:sz="4" w:space="0" w:color="auto"/>
            </w:tcBorders>
            <w:vAlign w:val="center"/>
          </w:tcPr>
          <w:p w14:paraId="5E5A111F"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tcPr>
          <w:p w14:paraId="404FBEAF" w14:textId="77777777" w:rsidR="00532F19" w:rsidRDefault="00532F19" w:rsidP="00532F19">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4E53130B"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14:paraId="0D0C1D18" w14:textId="77777777" w:rsidTr="00EC50EF">
        <w:trPr>
          <w:trHeight w:val="300"/>
        </w:trPr>
        <w:tc>
          <w:tcPr>
            <w:tcW w:w="426" w:type="dxa"/>
            <w:tcBorders>
              <w:bottom w:val="single" w:sz="4" w:space="0" w:color="auto"/>
            </w:tcBorders>
            <w:vAlign w:val="center"/>
          </w:tcPr>
          <w:p w14:paraId="198B9A66"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1BAEE970" w14:textId="77777777" w:rsidR="00532F19" w:rsidRPr="00927AC8" w:rsidRDefault="00532F19" w:rsidP="00532F19">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203E31E0"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14:paraId="1CDBC907" w14:textId="77777777" w:rsidTr="00EC50EF">
        <w:trPr>
          <w:trHeight w:val="300"/>
        </w:trPr>
        <w:tc>
          <w:tcPr>
            <w:tcW w:w="426" w:type="dxa"/>
            <w:tcBorders>
              <w:bottom w:val="single" w:sz="4" w:space="0" w:color="auto"/>
            </w:tcBorders>
            <w:vAlign w:val="center"/>
          </w:tcPr>
          <w:p w14:paraId="24C4D678"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2E648EA4" w14:textId="77777777" w:rsidR="00532F19" w:rsidRPr="00927AC8" w:rsidRDefault="00532F19" w:rsidP="00532F19">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62C0E345"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14:paraId="32EA9434" w14:textId="77777777" w:rsidTr="00EC50EF">
        <w:trPr>
          <w:trHeight w:val="300"/>
        </w:trPr>
        <w:tc>
          <w:tcPr>
            <w:tcW w:w="426" w:type="dxa"/>
            <w:tcBorders>
              <w:bottom w:val="single" w:sz="4" w:space="0" w:color="auto"/>
            </w:tcBorders>
            <w:vAlign w:val="center"/>
          </w:tcPr>
          <w:p w14:paraId="36BBC7CB"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5CEC7DB4" w14:textId="77777777" w:rsidR="00532F19" w:rsidRPr="00927AC8" w:rsidRDefault="00532F19" w:rsidP="00532F19">
            <w:pPr>
              <w:spacing w:after="0"/>
              <w:rPr>
                <w:rFonts w:cs="Arial"/>
                <w:bCs/>
                <w:color w:val="000000"/>
                <w:szCs w:val="22"/>
                <w:lang w:eastAsia="cs-CZ"/>
              </w:rPr>
            </w:pPr>
            <w:proofErr w:type="gramStart"/>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779F3CC0"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14:paraId="7534302C" w14:textId="77777777" w:rsidTr="00EC50EF">
        <w:trPr>
          <w:trHeight w:val="300"/>
        </w:trPr>
        <w:tc>
          <w:tcPr>
            <w:tcW w:w="426" w:type="dxa"/>
            <w:tcBorders>
              <w:bottom w:val="single" w:sz="4" w:space="0" w:color="auto"/>
            </w:tcBorders>
            <w:vAlign w:val="center"/>
          </w:tcPr>
          <w:p w14:paraId="6C444B81"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1311920C" w14:textId="77777777" w:rsidR="00532F19" w:rsidRPr="00927AC8" w:rsidRDefault="00532F19" w:rsidP="00532F19">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tcPr>
          <w:p w14:paraId="241C8557"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14:paraId="3CC6537F" w14:textId="77777777" w:rsidTr="00EC50EF">
        <w:trPr>
          <w:trHeight w:val="300"/>
        </w:trPr>
        <w:tc>
          <w:tcPr>
            <w:tcW w:w="426" w:type="dxa"/>
            <w:tcBorders>
              <w:bottom w:val="single" w:sz="4" w:space="0" w:color="auto"/>
            </w:tcBorders>
            <w:vAlign w:val="center"/>
          </w:tcPr>
          <w:p w14:paraId="6E28F274"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33EA50B1" w14:textId="77777777" w:rsidR="00532F19" w:rsidRPr="00927AC8" w:rsidRDefault="00532F19" w:rsidP="00532F19">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tcPr>
          <w:p w14:paraId="3F265637"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14:paraId="108DC8B5" w14:textId="77777777" w:rsidTr="00EC50EF">
        <w:trPr>
          <w:trHeight w:val="300"/>
        </w:trPr>
        <w:tc>
          <w:tcPr>
            <w:tcW w:w="426" w:type="dxa"/>
            <w:tcBorders>
              <w:bottom w:val="single" w:sz="4" w:space="0" w:color="auto"/>
            </w:tcBorders>
            <w:vAlign w:val="center"/>
          </w:tcPr>
          <w:p w14:paraId="1F7E0EF9"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42112625" w14:textId="77777777" w:rsidR="00532F19" w:rsidRPr="00927AC8" w:rsidRDefault="00532F19" w:rsidP="00532F19">
            <w:pPr>
              <w:spacing w:after="0"/>
              <w:rPr>
                <w:rFonts w:cs="Arial"/>
                <w:bCs/>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r>
              <w:rPr>
                <w:rFonts w:cs="Arial"/>
                <w:bCs/>
                <w:color w:val="000000"/>
                <w:szCs w:val="22"/>
                <w:lang w:eastAsia="cs-CZ"/>
              </w:rPr>
              <w:footnoteReference w:id="4"/>
            </w:r>
          </w:p>
        </w:tc>
        <w:tc>
          <w:tcPr>
            <w:tcW w:w="4253" w:type="dxa"/>
            <w:tcBorders>
              <w:bottom w:val="single" w:sz="4" w:space="0" w:color="auto"/>
            </w:tcBorders>
            <w:shd w:val="clear" w:color="auto" w:fill="auto"/>
            <w:noWrap/>
          </w:tcPr>
          <w:p w14:paraId="26F1426B"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14:paraId="4FF219C3" w14:textId="77777777" w:rsidTr="00EC50EF">
        <w:trPr>
          <w:trHeight w:val="300"/>
        </w:trPr>
        <w:tc>
          <w:tcPr>
            <w:tcW w:w="426" w:type="dxa"/>
            <w:tcBorders>
              <w:bottom w:val="single" w:sz="4" w:space="0" w:color="auto"/>
            </w:tcBorders>
            <w:vAlign w:val="center"/>
          </w:tcPr>
          <w:p w14:paraId="2A598652"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4782C4F7" w14:textId="77777777" w:rsidR="00532F19" w:rsidRPr="00927AC8" w:rsidRDefault="00532F19" w:rsidP="00532F19">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tcPr>
          <w:p w14:paraId="7ECB1503"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rsidRPr="00F7707A" w14:paraId="65DE76DD" w14:textId="77777777" w:rsidTr="00EC50EF">
        <w:trPr>
          <w:trHeight w:val="300"/>
        </w:trPr>
        <w:tc>
          <w:tcPr>
            <w:tcW w:w="426" w:type="dxa"/>
            <w:tcBorders>
              <w:bottom w:val="single" w:sz="4" w:space="0" w:color="auto"/>
            </w:tcBorders>
            <w:vAlign w:val="center"/>
          </w:tcPr>
          <w:p w14:paraId="15D3297B"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60EB0CC7" w14:textId="77777777" w:rsidR="00532F19" w:rsidRPr="00927AC8" w:rsidRDefault="00532F19" w:rsidP="00532F19">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tcPr>
          <w:p w14:paraId="345617DE"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r w:rsidR="00532F19" w14:paraId="0BF956D6" w14:textId="77777777" w:rsidTr="00EC50EF">
        <w:trPr>
          <w:trHeight w:val="300"/>
        </w:trPr>
        <w:tc>
          <w:tcPr>
            <w:tcW w:w="426" w:type="dxa"/>
            <w:tcBorders>
              <w:bottom w:val="single" w:sz="4" w:space="0" w:color="auto"/>
            </w:tcBorders>
            <w:vAlign w:val="center"/>
          </w:tcPr>
          <w:p w14:paraId="2282E69C" w14:textId="77777777" w:rsidR="00532F19" w:rsidRPr="00927AC8" w:rsidRDefault="00532F19" w:rsidP="00532F19">
            <w:pPr>
              <w:numPr>
                <w:ilvl w:val="0"/>
                <w:numId w:val="8"/>
              </w:numPr>
              <w:ind w:left="568" w:hanging="284"/>
              <w:jc w:val="center"/>
              <w:rPr>
                <w:rFonts w:cs="Arial"/>
                <w:bCs/>
                <w:color w:val="000000"/>
                <w:szCs w:val="22"/>
              </w:rPr>
            </w:pPr>
          </w:p>
        </w:tc>
        <w:tc>
          <w:tcPr>
            <w:tcW w:w="5102" w:type="dxa"/>
            <w:tcBorders>
              <w:bottom w:val="single" w:sz="4" w:space="0" w:color="auto"/>
            </w:tcBorders>
            <w:shd w:val="clear" w:color="auto" w:fill="auto"/>
            <w:noWrap/>
            <w:vAlign w:val="center"/>
            <w:hideMark/>
          </w:tcPr>
          <w:p w14:paraId="12D5BED9" w14:textId="77777777" w:rsidR="00532F19" w:rsidRPr="00927AC8" w:rsidRDefault="00532F19" w:rsidP="00532F19">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tcPr>
          <w:p w14:paraId="2D074BF2" w14:textId="77777777" w:rsidR="00532F19" w:rsidRPr="005A71D5" w:rsidRDefault="00532F19" w:rsidP="00532F19">
            <w:pPr>
              <w:spacing w:after="0"/>
              <w:jc w:val="center"/>
              <w:rPr>
                <w:rFonts w:cs="Arial"/>
                <w:bCs/>
                <w:color w:val="000000"/>
                <w:szCs w:val="22"/>
                <w:lang w:eastAsia="cs-CZ"/>
              </w:rPr>
            </w:pPr>
            <w:r w:rsidRPr="009E4E43">
              <w:rPr>
                <w:rFonts w:cs="Arial"/>
                <w:bCs/>
                <w:color w:val="000000"/>
                <w:szCs w:val="22"/>
                <w:lang w:eastAsia="cs-CZ"/>
              </w:rPr>
              <w:t>Bez dopadu</w:t>
            </w:r>
          </w:p>
        </w:tc>
      </w:tr>
    </w:tbl>
    <w:p w14:paraId="77851400" w14:textId="77777777" w:rsidR="00360DA3" w:rsidRPr="00360DA3" w:rsidRDefault="00360DA3" w:rsidP="00360DA3"/>
    <w:p w14:paraId="475D300C"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5D091380" w14:textId="77777777" w:rsidR="00360DA3" w:rsidRPr="00360DA3" w:rsidRDefault="00B260DC" w:rsidP="005A71D5">
      <w:pPr>
        <w:ind w:left="708"/>
      </w:pPr>
      <w:r>
        <w:t>S</w:t>
      </w:r>
      <w:r w:rsidR="00801528">
        <w:t>oučinnost se systémem EPO a vystavení nových WS</w:t>
      </w:r>
    </w:p>
    <w:p w14:paraId="403DF8DB"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proofErr w:type="spellStart"/>
      <w:r>
        <w:rPr>
          <w:rFonts w:cs="Arial"/>
          <w:sz w:val="22"/>
          <w:szCs w:val="22"/>
        </w:rPr>
        <w:t>AgriBus</w:t>
      </w:r>
      <w:proofErr w:type="spellEnd"/>
    </w:p>
    <w:p w14:paraId="2480BDDB" w14:textId="77777777" w:rsidR="00360DA3" w:rsidRPr="00360DA3" w:rsidRDefault="00B260DC" w:rsidP="005A71D5">
      <w:pPr>
        <w:ind w:left="576" w:firstLine="132"/>
      </w:pPr>
      <w:r>
        <w:t>V</w:t>
      </w:r>
      <w:r w:rsidR="00801528">
        <w:t>ystavení nových WS</w:t>
      </w:r>
    </w:p>
    <w:p w14:paraId="7A003B4B" w14:textId="77777777" w:rsidR="007D6009" w:rsidRDefault="00556C1F" w:rsidP="003218A6">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Fonts w:cs="Arial"/>
          <w:sz w:val="22"/>
          <w:szCs w:val="22"/>
        </w:rPr>
        <w:endnoteReference w:id="16"/>
      </w:r>
    </w:p>
    <w:p w14:paraId="75EFAA0C" w14:textId="77777777" w:rsidR="00B260DC" w:rsidRPr="00B260DC" w:rsidRDefault="00B260DC" w:rsidP="00B260DC">
      <w:pPr>
        <w:ind w:left="576" w:firstLine="132"/>
      </w:pPr>
      <w:r>
        <w:t>Bez dopadu</w:t>
      </w:r>
    </w:p>
    <w:p w14:paraId="065B8DAB"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01567D9E"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w:t>
      </w:r>
      <w:proofErr w:type="spellStart"/>
      <w:r w:rsidR="007D6009" w:rsidRPr="00BB6BCC">
        <w:rPr>
          <w:rFonts w:cs="Arial"/>
          <w:sz w:val="18"/>
          <w:szCs w:val="18"/>
        </w:rPr>
        <w:t>MZe</w:t>
      </w:r>
      <w:proofErr w:type="spellEnd"/>
      <w:r w:rsidR="007D6009" w:rsidRPr="00BB6BCC">
        <w:rPr>
          <w:rFonts w:cs="Arial"/>
          <w:sz w:val="18"/>
          <w:szCs w:val="18"/>
        </w:rPr>
        <w:t xml:space="preserv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E1DB51E" w14:textId="77777777" w:rsidR="0000551E" w:rsidRPr="00BA1643" w:rsidRDefault="00B260DC" w:rsidP="00EC6856">
      <w:pPr>
        <w:rPr>
          <w:rFonts w:cs="Arial"/>
          <w:szCs w:val="22"/>
        </w:rPr>
      </w:pPr>
      <w:r>
        <w:rPr>
          <w:rFonts w:cs="Arial"/>
          <w:szCs w:val="22"/>
        </w:rPr>
        <w:t>Bez dopadu</w:t>
      </w:r>
    </w:p>
    <w:p w14:paraId="04BA2BE0"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532F19">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47785290" w14:textId="77777777" w:rsidTr="00EF4B24">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1E5A5" w14:textId="77777777" w:rsidR="0000551E" w:rsidRPr="00F23D33" w:rsidRDefault="0000551E" w:rsidP="00337DDA">
            <w:pPr>
              <w:spacing w:after="0"/>
              <w:rPr>
                <w:rFonts w:cs="Arial"/>
                <w:b/>
                <w:bCs/>
                <w:color w:val="000000"/>
                <w:szCs w:val="22"/>
                <w:lang w:eastAsia="cs-CZ"/>
              </w:rPr>
            </w:pPr>
            <w:proofErr w:type="spellStart"/>
            <w:r w:rsidRPr="0097063F">
              <w:rPr>
                <w:rFonts w:cs="Arial"/>
                <w:b/>
                <w:bCs/>
                <w:color w:val="000000"/>
                <w:szCs w:val="22"/>
                <w:lang w:eastAsia="cs-CZ"/>
              </w:rPr>
              <w:t>MZe</w:t>
            </w:r>
            <w:proofErr w:type="spellEnd"/>
            <w:r w:rsidRPr="0097063F">
              <w:rPr>
                <w:rFonts w:cs="Arial"/>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3F0C4"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83AE410" w14:textId="77777777" w:rsidTr="00EF4B24">
        <w:trPr>
          <w:trHeight w:val="284"/>
        </w:trPr>
        <w:tc>
          <w:tcPr>
            <w:tcW w:w="2126" w:type="dxa"/>
            <w:tcBorders>
              <w:right w:val="dotted" w:sz="4" w:space="0" w:color="auto"/>
            </w:tcBorders>
            <w:shd w:val="clear" w:color="auto" w:fill="auto"/>
            <w:noWrap/>
            <w:vAlign w:val="bottom"/>
          </w:tcPr>
          <w:p w14:paraId="6E044377" w14:textId="77777777" w:rsidR="0000551E" w:rsidRPr="00F23D33" w:rsidRDefault="002B12D5" w:rsidP="00337DDA">
            <w:pPr>
              <w:spacing w:after="0"/>
              <w:rPr>
                <w:rFonts w:cs="Arial"/>
                <w:color w:val="000000"/>
                <w:szCs w:val="22"/>
                <w:lang w:eastAsia="cs-CZ"/>
              </w:rPr>
            </w:pPr>
            <w:proofErr w:type="spellStart"/>
            <w:r>
              <w:rPr>
                <w:rFonts w:cs="Arial"/>
                <w:color w:val="000000"/>
                <w:szCs w:val="22"/>
                <w:lang w:eastAsia="cs-CZ"/>
              </w:rPr>
              <w:t>MZe</w:t>
            </w:r>
            <w:proofErr w:type="spellEnd"/>
            <w:r w:rsidR="00475A7C">
              <w:rPr>
                <w:rFonts w:cs="Arial"/>
                <w:color w:val="000000"/>
                <w:szCs w:val="22"/>
                <w:lang w:eastAsia="cs-CZ"/>
              </w:rPr>
              <w:t>, SZIF</w:t>
            </w:r>
          </w:p>
        </w:tc>
        <w:tc>
          <w:tcPr>
            <w:tcW w:w="7654" w:type="dxa"/>
            <w:tcBorders>
              <w:left w:val="dotted" w:sz="4" w:space="0" w:color="auto"/>
              <w:right w:val="dotted" w:sz="4" w:space="0" w:color="auto"/>
            </w:tcBorders>
            <w:shd w:val="clear" w:color="auto" w:fill="auto"/>
            <w:noWrap/>
            <w:vAlign w:val="bottom"/>
          </w:tcPr>
          <w:p w14:paraId="349D0E50" w14:textId="77777777" w:rsidR="0000551E" w:rsidRPr="00F23D33" w:rsidRDefault="002B12D5"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19A05C30" w14:textId="77777777" w:rsidTr="00EF4B24">
        <w:trPr>
          <w:trHeight w:val="284"/>
        </w:trPr>
        <w:tc>
          <w:tcPr>
            <w:tcW w:w="2126" w:type="dxa"/>
            <w:tcBorders>
              <w:right w:val="dotted" w:sz="4" w:space="0" w:color="auto"/>
            </w:tcBorders>
            <w:shd w:val="clear" w:color="auto" w:fill="auto"/>
            <w:noWrap/>
            <w:vAlign w:val="bottom"/>
          </w:tcPr>
          <w:p w14:paraId="564BFAD9"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BE34A26" w14:textId="77777777" w:rsidR="0000551E" w:rsidRPr="00F23D33" w:rsidRDefault="0000551E" w:rsidP="00337DDA">
            <w:pPr>
              <w:spacing w:after="0"/>
              <w:rPr>
                <w:rFonts w:cs="Arial"/>
                <w:color w:val="000000"/>
                <w:szCs w:val="22"/>
                <w:lang w:eastAsia="cs-CZ"/>
              </w:rPr>
            </w:pPr>
          </w:p>
        </w:tc>
      </w:tr>
    </w:tbl>
    <w:p w14:paraId="37FD62BF" w14:textId="77777777" w:rsidR="0000551E" w:rsidRPr="002B12D5" w:rsidRDefault="0000551E" w:rsidP="00E20EC8">
      <w:pPr>
        <w:pStyle w:val="Nadpis3"/>
      </w:pPr>
      <w:r w:rsidRPr="002B12D5">
        <w:t>(Pozn.: K popisu požadavku uveďte etapu, kdy bude součinnost vyžadována.)</w:t>
      </w:r>
    </w:p>
    <w:p w14:paraId="0EC213E7" w14:textId="77777777" w:rsidR="0000551E" w:rsidRPr="006033CF" w:rsidRDefault="0000551E" w:rsidP="006033CF"/>
    <w:p w14:paraId="4682489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532F19">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7269E95E" w14:textId="77777777" w:rsidTr="00EF4B24">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7306F"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D79BD8E"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2B12D5">
              <w:rPr>
                <w:rFonts w:cs="Arial"/>
                <w:b/>
                <w:bCs/>
                <w:color w:val="000000"/>
                <w:szCs w:val="22"/>
                <w:lang w:eastAsia="cs-CZ"/>
              </w:rPr>
              <w:t xml:space="preserve"> */</w:t>
            </w:r>
          </w:p>
        </w:tc>
      </w:tr>
      <w:tr w:rsidR="0000551E" w:rsidRPr="00F23D33" w14:paraId="7E5A9B57" w14:textId="77777777" w:rsidTr="00EF4B24">
        <w:trPr>
          <w:trHeight w:val="284"/>
        </w:trPr>
        <w:tc>
          <w:tcPr>
            <w:tcW w:w="7229" w:type="dxa"/>
            <w:tcBorders>
              <w:right w:val="dotted" w:sz="4" w:space="0" w:color="auto"/>
            </w:tcBorders>
            <w:shd w:val="clear" w:color="auto" w:fill="auto"/>
            <w:noWrap/>
            <w:vAlign w:val="bottom"/>
          </w:tcPr>
          <w:p w14:paraId="642AB3DB" w14:textId="77777777" w:rsidR="0000551E" w:rsidRPr="00F23D33" w:rsidRDefault="00475A7C"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14:paraId="5542CA60" w14:textId="77777777" w:rsidR="0000551E" w:rsidRPr="00F23D33" w:rsidRDefault="00532F19" w:rsidP="00337DDA">
            <w:pPr>
              <w:spacing w:after="0"/>
              <w:rPr>
                <w:rFonts w:cs="Arial"/>
                <w:color w:val="000000"/>
                <w:szCs w:val="22"/>
                <w:lang w:eastAsia="cs-CZ"/>
              </w:rPr>
            </w:pPr>
            <w:r>
              <w:rPr>
                <w:rFonts w:cs="Arial"/>
                <w:color w:val="000000"/>
                <w:szCs w:val="22"/>
                <w:lang w:eastAsia="cs-CZ"/>
              </w:rPr>
              <w:t>30.11.2021</w:t>
            </w:r>
          </w:p>
        </w:tc>
      </w:tr>
      <w:tr w:rsidR="0000551E" w:rsidRPr="00F23D33" w14:paraId="6A5F13FE" w14:textId="77777777" w:rsidTr="00EF4B24">
        <w:trPr>
          <w:trHeight w:val="284"/>
        </w:trPr>
        <w:tc>
          <w:tcPr>
            <w:tcW w:w="7229" w:type="dxa"/>
            <w:tcBorders>
              <w:right w:val="dotted" w:sz="4" w:space="0" w:color="auto"/>
            </w:tcBorders>
            <w:shd w:val="clear" w:color="auto" w:fill="auto"/>
            <w:noWrap/>
            <w:vAlign w:val="bottom"/>
          </w:tcPr>
          <w:p w14:paraId="750649F8" w14:textId="77777777" w:rsidR="0000551E" w:rsidRPr="00F23D33" w:rsidRDefault="00475A7C"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0D50A88E" w14:textId="77777777" w:rsidR="0000551E" w:rsidRPr="00F23D33" w:rsidRDefault="00532F19" w:rsidP="00337DDA">
            <w:pPr>
              <w:spacing w:after="0"/>
              <w:rPr>
                <w:rFonts w:cs="Arial"/>
                <w:color w:val="000000"/>
                <w:szCs w:val="22"/>
                <w:lang w:eastAsia="cs-CZ"/>
              </w:rPr>
            </w:pPr>
            <w:r>
              <w:rPr>
                <w:rFonts w:cs="Arial"/>
                <w:color w:val="000000"/>
                <w:szCs w:val="22"/>
                <w:lang w:eastAsia="cs-CZ"/>
              </w:rPr>
              <w:t>31.12.2021</w:t>
            </w:r>
          </w:p>
        </w:tc>
      </w:tr>
    </w:tbl>
    <w:p w14:paraId="5C8EF141" w14:textId="77777777" w:rsidR="0000551E" w:rsidRPr="002B12D5" w:rsidRDefault="00532F19" w:rsidP="00E20EC8">
      <w:pPr>
        <w:pStyle w:val="Nadpis3"/>
      </w:pPr>
      <w:r w:rsidRPr="00532F19">
        <w:t xml:space="preserve">*/ Upozornění: Uvedený harmonogram je platný v případě, že Dodavatel obdrží objednávku v rozmezí </w:t>
      </w:r>
      <w:r>
        <w:t>1.-13.09.2021</w:t>
      </w:r>
      <w:r w:rsidRPr="00532F19">
        <w:t>. V případě pozdějšího data objednání si Dodavatel vyhrazuje právo na úpravu harmonogramu v závislosti na aktuálním vytížení kapacit daného realizačního týmu Dodavatele či stanovení priorit ze strany Objednatele.</w:t>
      </w:r>
    </w:p>
    <w:p w14:paraId="72CA3FB9"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53FB98BD" w14:textId="77777777" w:rsidR="0000551E" w:rsidRPr="00F23D33" w:rsidRDefault="0000551E" w:rsidP="00EC6856">
      <w:pPr>
        <w:spacing w:before="120"/>
        <w:ind w:left="425"/>
        <w:rPr>
          <w:rFonts w:cs="Arial"/>
          <w:b/>
        </w:rPr>
      </w:pPr>
      <w:r w:rsidRPr="00F23D33">
        <w:rPr>
          <w:rFonts w:cs="Arial"/>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00551E" w:rsidRPr="00F23D33" w14:paraId="4573FD26" w14:textId="77777777" w:rsidTr="006575D5">
        <w:tc>
          <w:tcPr>
            <w:tcW w:w="1819" w:type="dxa"/>
            <w:tcBorders>
              <w:top w:val="single" w:sz="8" w:space="0" w:color="auto"/>
              <w:left w:val="single" w:sz="8" w:space="0" w:color="auto"/>
              <w:bottom w:val="single" w:sz="8" w:space="0" w:color="auto"/>
              <w:right w:val="single" w:sz="8" w:space="0" w:color="auto"/>
            </w:tcBorders>
            <w:shd w:val="clear" w:color="auto" w:fill="auto"/>
          </w:tcPr>
          <w:p w14:paraId="761F604D" w14:textId="77777777" w:rsidR="0000551E" w:rsidRPr="009D0844" w:rsidRDefault="0000551E" w:rsidP="00337DDA">
            <w:pPr>
              <w:rPr>
                <w:szCs w:val="22"/>
              </w:rPr>
            </w:pPr>
            <w:r w:rsidRPr="009D0844">
              <w:rPr>
                <w:b/>
                <w:szCs w:val="22"/>
              </w:rPr>
              <w:t>Oblast / role</w:t>
            </w:r>
            <w:r w:rsidRPr="009D0844">
              <w:rPr>
                <w:szCs w:val="22"/>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tcPr>
          <w:p w14:paraId="2CBE5B6A" w14:textId="77777777" w:rsidR="0000551E" w:rsidRPr="009D0844" w:rsidRDefault="0000551E" w:rsidP="00337DDA">
            <w:pPr>
              <w:rPr>
                <w:b/>
                <w:szCs w:val="22"/>
              </w:rPr>
            </w:pPr>
            <w:r w:rsidRPr="009D0844">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1DC5CBA6" w14:textId="77777777" w:rsidR="0000551E" w:rsidRPr="009D0844" w:rsidRDefault="0000551E" w:rsidP="00337DDA">
            <w:pPr>
              <w:rPr>
                <w:b/>
                <w:szCs w:val="22"/>
              </w:rPr>
            </w:pPr>
            <w:r w:rsidRPr="009D0844">
              <w:rPr>
                <w:b/>
                <w:szCs w:val="22"/>
              </w:rPr>
              <w:t>Pracnost v MD/MJ</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4822667D" w14:textId="77777777" w:rsidR="0000551E" w:rsidRPr="009D0844" w:rsidRDefault="0000551E" w:rsidP="00337DDA">
            <w:pPr>
              <w:rPr>
                <w:b/>
                <w:szCs w:val="22"/>
              </w:rPr>
            </w:pPr>
            <w:r w:rsidRPr="009D0844">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14:paraId="6AC29250" w14:textId="77777777" w:rsidR="0000551E" w:rsidRPr="009D0844" w:rsidRDefault="0000551E" w:rsidP="00337DDA">
            <w:pPr>
              <w:rPr>
                <w:b/>
                <w:szCs w:val="22"/>
              </w:rPr>
            </w:pPr>
            <w:r w:rsidRPr="009D0844">
              <w:rPr>
                <w:b/>
                <w:szCs w:val="22"/>
              </w:rPr>
              <w:t>v Kč s DPH</w:t>
            </w:r>
          </w:p>
        </w:tc>
      </w:tr>
      <w:tr w:rsidR="0000551E" w:rsidRPr="00F23D33" w14:paraId="4871A91C" w14:textId="77777777" w:rsidTr="006575D5">
        <w:trPr>
          <w:trHeight w:hRule="exact" w:val="20"/>
        </w:trPr>
        <w:tc>
          <w:tcPr>
            <w:tcW w:w="1819" w:type="dxa"/>
            <w:tcBorders>
              <w:top w:val="single" w:sz="8" w:space="0" w:color="auto"/>
              <w:left w:val="dotted" w:sz="4" w:space="0" w:color="auto"/>
            </w:tcBorders>
            <w:shd w:val="clear" w:color="auto" w:fill="auto"/>
          </w:tcPr>
          <w:p w14:paraId="0DC37ED6" w14:textId="77777777" w:rsidR="0000551E" w:rsidRPr="009D0844" w:rsidRDefault="0000551E" w:rsidP="00337DDA">
            <w:pPr>
              <w:rPr>
                <w:szCs w:val="22"/>
              </w:rPr>
            </w:pPr>
          </w:p>
        </w:tc>
        <w:tc>
          <w:tcPr>
            <w:tcW w:w="3544" w:type="dxa"/>
            <w:tcBorders>
              <w:top w:val="single" w:sz="8" w:space="0" w:color="auto"/>
              <w:left w:val="dotted" w:sz="4" w:space="0" w:color="auto"/>
            </w:tcBorders>
            <w:shd w:val="clear" w:color="auto" w:fill="auto"/>
          </w:tcPr>
          <w:p w14:paraId="1FE59E07" w14:textId="77777777" w:rsidR="0000551E" w:rsidRPr="009D0844" w:rsidRDefault="0000551E" w:rsidP="00337DDA">
            <w:pPr>
              <w:rPr>
                <w:szCs w:val="22"/>
              </w:rPr>
            </w:pPr>
          </w:p>
        </w:tc>
        <w:tc>
          <w:tcPr>
            <w:tcW w:w="1276" w:type="dxa"/>
            <w:tcBorders>
              <w:top w:val="single" w:sz="8" w:space="0" w:color="auto"/>
            </w:tcBorders>
            <w:shd w:val="clear" w:color="auto" w:fill="auto"/>
          </w:tcPr>
          <w:p w14:paraId="46EC348E" w14:textId="77777777" w:rsidR="0000551E" w:rsidRPr="009D0844" w:rsidRDefault="0000551E" w:rsidP="00337DDA">
            <w:pPr>
              <w:rPr>
                <w:szCs w:val="22"/>
              </w:rPr>
            </w:pPr>
          </w:p>
        </w:tc>
        <w:tc>
          <w:tcPr>
            <w:tcW w:w="1559" w:type="dxa"/>
            <w:tcBorders>
              <w:top w:val="single" w:sz="8" w:space="0" w:color="auto"/>
            </w:tcBorders>
            <w:shd w:val="clear" w:color="auto" w:fill="auto"/>
          </w:tcPr>
          <w:p w14:paraId="6EA90666" w14:textId="77777777" w:rsidR="0000551E" w:rsidRPr="009D0844" w:rsidRDefault="0000551E" w:rsidP="00337DDA">
            <w:pPr>
              <w:rPr>
                <w:szCs w:val="22"/>
              </w:rPr>
            </w:pPr>
          </w:p>
        </w:tc>
        <w:tc>
          <w:tcPr>
            <w:tcW w:w="1581" w:type="dxa"/>
            <w:tcBorders>
              <w:top w:val="single" w:sz="8" w:space="0" w:color="auto"/>
            </w:tcBorders>
            <w:shd w:val="clear" w:color="auto" w:fill="auto"/>
          </w:tcPr>
          <w:p w14:paraId="65675696" w14:textId="77777777" w:rsidR="0000551E" w:rsidRPr="009D0844" w:rsidRDefault="0000551E" w:rsidP="00337DDA">
            <w:pPr>
              <w:rPr>
                <w:szCs w:val="22"/>
              </w:rPr>
            </w:pPr>
          </w:p>
        </w:tc>
      </w:tr>
      <w:tr w:rsidR="00B260DC" w:rsidRPr="00F23D33" w14:paraId="709F715F" w14:textId="77777777" w:rsidTr="006575D5">
        <w:trPr>
          <w:trHeight w:val="397"/>
        </w:trPr>
        <w:tc>
          <w:tcPr>
            <w:tcW w:w="1819" w:type="dxa"/>
            <w:tcBorders>
              <w:top w:val="dotted" w:sz="4" w:space="0" w:color="auto"/>
              <w:left w:val="dotted" w:sz="4" w:space="0" w:color="auto"/>
            </w:tcBorders>
            <w:shd w:val="clear" w:color="auto" w:fill="auto"/>
          </w:tcPr>
          <w:p w14:paraId="4B71713C" w14:textId="77777777" w:rsidR="00B260DC" w:rsidRPr="009D0844" w:rsidRDefault="00B260DC" w:rsidP="00B260DC">
            <w:pPr>
              <w:rPr>
                <w:szCs w:val="22"/>
              </w:rPr>
            </w:pPr>
          </w:p>
        </w:tc>
        <w:tc>
          <w:tcPr>
            <w:tcW w:w="3544" w:type="dxa"/>
            <w:tcBorders>
              <w:top w:val="dotted" w:sz="4" w:space="0" w:color="auto"/>
              <w:left w:val="dotted" w:sz="4" w:space="0" w:color="auto"/>
            </w:tcBorders>
            <w:shd w:val="clear" w:color="auto" w:fill="auto"/>
          </w:tcPr>
          <w:p w14:paraId="5A11F15F" w14:textId="77777777" w:rsidR="00B260DC" w:rsidRPr="009D0844" w:rsidRDefault="00B260DC" w:rsidP="00B260DC">
            <w:pPr>
              <w:rPr>
                <w:szCs w:val="22"/>
              </w:rPr>
            </w:pPr>
            <w:r>
              <w:rPr>
                <w:szCs w:val="22"/>
              </w:rPr>
              <w:t xml:space="preserve">Viz </w:t>
            </w:r>
            <w:r w:rsidRPr="00B260DC">
              <w:rPr>
                <w:szCs w:val="22"/>
              </w:rPr>
              <w:t>cenová nabídka</w:t>
            </w:r>
            <w:r>
              <w:rPr>
                <w:szCs w:val="22"/>
              </w:rPr>
              <w:t xml:space="preserve"> v příloze č.01</w:t>
            </w:r>
          </w:p>
        </w:tc>
        <w:tc>
          <w:tcPr>
            <w:tcW w:w="1276" w:type="dxa"/>
            <w:tcBorders>
              <w:top w:val="dotted" w:sz="4" w:space="0" w:color="auto"/>
            </w:tcBorders>
            <w:shd w:val="clear" w:color="auto" w:fill="auto"/>
          </w:tcPr>
          <w:p w14:paraId="7D65BCE6" w14:textId="77777777" w:rsidR="00B260DC" w:rsidRPr="009D0844" w:rsidRDefault="00B260DC" w:rsidP="00B260DC">
            <w:pPr>
              <w:jc w:val="center"/>
              <w:rPr>
                <w:szCs w:val="22"/>
              </w:rPr>
            </w:pPr>
            <w:r>
              <w:rPr>
                <w:szCs w:val="22"/>
              </w:rPr>
              <w:t>105,25</w:t>
            </w:r>
          </w:p>
        </w:tc>
        <w:tc>
          <w:tcPr>
            <w:tcW w:w="1559" w:type="dxa"/>
            <w:tcBorders>
              <w:top w:val="dotted" w:sz="4" w:space="0" w:color="auto"/>
            </w:tcBorders>
            <w:shd w:val="clear" w:color="auto" w:fill="auto"/>
          </w:tcPr>
          <w:p w14:paraId="430CB944" w14:textId="77777777" w:rsidR="00B260DC" w:rsidRPr="009D0844" w:rsidRDefault="00B260DC" w:rsidP="00B260DC">
            <w:pPr>
              <w:rPr>
                <w:szCs w:val="22"/>
              </w:rPr>
            </w:pPr>
            <w:r w:rsidRPr="00A87927">
              <w:t xml:space="preserve"> 936 725,00</w:t>
            </w:r>
          </w:p>
        </w:tc>
        <w:tc>
          <w:tcPr>
            <w:tcW w:w="1581" w:type="dxa"/>
            <w:tcBorders>
              <w:top w:val="dotted" w:sz="4" w:space="0" w:color="auto"/>
            </w:tcBorders>
            <w:shd w:val="clear" w:color="auto" w:fill="auto"/>
          </w:tcPr>
          <w:p w14:paraId="5A2C4D54" w14:textId="77777777" w:rsidR="00B260DC" w:rsidRPr="009D0844" w:rsidRDefault="00B260DC" w:rsidP="00B260DC">
            <w:pPr>
              <w:rPr>
                <w:szCs w:val="22"/>
              </w:rPr>
            </w:pPr>
            <w:r w:rsidRPr="00A87927">
              <w:t>1 133 437,25</w:t>
            </w:r>
          </w:p>
        </w:tc>
      </w:tr>
      <w:tr w:rsidR="00B260DC" w:rsidRPr="00F23D33" w14:paraId="2F339972" w14:textId="77777777" w:rsidTr="006575D5">
        <w:trPr>
          <w:trHeight w:val="397"/>
        </w:trPr>
        <w:tc>
          <w:tcPr>
            <w:tcW w:w="5363" w:type="dxa"/>
            <w:gridSpan w:val="2"/>
            <w:tcBorders>
              <w:left w:val="dotted" w:sz="4" w:space="0" w:color="auto"/>
              <w:bottom w:val="dotted" w:sz="4" w:space="0" w:color="auto"/>
            </w:tcBorders>
            <w:shd w:val="clear" w:color="auto" w:fill="auto"/>
          </w:tcPr>
          <w:p w14:paraId="2FCD2BE5" w14:textId="77777777" w:rsidR="00B260DC" w:rsidRPr="009D0844" w:rsidRDefault="00B260DC" w:rsidP="00B260DC">
            <w:pPr>
              <w:rPr>
                <w:b/>
                <w:szCs w:val="22"/>
              </w:rPr>
            </w:pPr>
            <w:r w:rsidRPr="009D0844">
              <w:rPr>
                <w:b/>
                <w:szCs w:val="22"/>
              </w:rPr>
              <w:t>Celkem:</w:t>
            </w:r>
          </w:p>
        </w:tc>
        <w:tc>
          <w:tcPr>
            <w:tcW w:w="1276" w:type="dxa"/>
            <w:tcBorders>
              <w:bottom w:val="dotted" w:sz="4" w:space="0" w:color="auto"/>
            </w:tcBorders>
            <w:shd w:val="clear" w:color="auto" w:fill="auto"/>
          </w:tcPr>
          <w:p w14:paraId="6D19B6B2" w14:textId="77777777" w:rsidR="00B260DC" w:rsidRPr="009D0844" w:rsidRDefault="00B260DC" w:rsidP="00B260DC">
            <w:pPr>
              <w:jc w:val="center"/>
              <w:rPr>
                <w:szCs w:val="22"/>
              </w:rPr>
            </w:pPr>
            <w:r>
              <w:rPr>
                <w:szCs w:val="22"/>
              </w:rPr>
              <w:t>105,25</w:t>
            </w:r>
          </w:p>
        </w:tc>
        <w:tc>
          <w:tcPr>
            <w:tcW w:w="1559" w:type="dxa"/>
            <w:tcBorders>
              <w:bottom w:val="dotted" w:sz="4" w:space="0" w:color="auto"/>
            </w:tcBorders>
            <w:shd w:val="clear" w:color="auto" w:fill="auto"/>
          </w:tcPr>
          <w:p w14:paraId="0E82C7F3" w14:textId="77777777" w:rsidR="00B260DC" w:rsidRPr="009D0844" w:rsidRDefault="00B260DC" w:rsidP="00B260DC">
            <w:pPr>
              <w:rPr>
                <w:szCs w:val="22"/>
              </w:rPr>
            </w:pPr>
            <w:r w:rsidRPr="00A87927">
              <w:t xml:space="preserve"> 936 725,00</w:t>
            </w:r>
          </w:p>
        </w:tc>
        <w:tc>
          <w:tcPr>
            <w:tcW w:w="1581" w:type="dxa"/>
            <w:tcBorders>
              <w:bottom w:val="dotted" w:sz="4" w:space="0" w:color="auto"/>
            </w:tcBorders>
            <w:shd w:val="clear" w:color="auto" w:fill="auto"/>
          </w:tcPr>
          <w:p w14:paraId="4A3D5D5D" w14:textId="77777777" w:rsidR="00B260DC" w:rsidRPr="009D0844" w:rsidRDefault="00B260DC" w:rsidP="00B260DC">
            <w:pPr>
              <w:rPr>
                <w:szCs w:val="22"/>
              </w:rPr>
            </w:pPr>
            <w:r w:rsidRPr="00A87927">
              <w:t>1 133 437,25</w:t>
            </w:r>
          </w:p>
        </w:tc>
      </w:tr>
    </w:tbl>
    <w:p w14:paraId="69926A07" w14:textId="77777777" w:rsidR="0000551E" w:rsidRPr="00F23D33" w:rsidRDefault="0000551E" w:rsidP="00EC6856">
      <w:pPr>
        <w:spacing w:after="0"/>
        <w:rPr>
          <w:rFonts w:cs="Arial"/>
          <w:sz w:val="8"/>
          <w:szCs w:val="8"/>
        </w:rPr>
      </w:pPr>
    </w:p>
    <w:p w14:paraId="30FA708D" w14:textId="77777777" w:rsidR="0000551E" w:rsidRPr="006575D5" w:rsidRDefault="0000551E" w:rsidP="00EC6856">
      <w:pPr>
        <w:spacing w:after="0"/>
        <w:rPr>
          <w:sz w:val="18"/>
        </w:rPr>
      </w:pPr>
      <w:r w:rsidRPr="006575D5">
        <w:rPr>
          <w:sz w:val="18"/>
        </w:rPr>
        <w:t>(Pozn.: MD – člověkoden, MJ – měrná jednotka, např. počet kusů)</w:t>
      </w:r>
    </w:p>
    <w:p w14:paraId="12BC9B2E" w14:textId="77777777" w:rsidR="0000551E" w:rsidRPr="00110ED2" w:rsidRDefault="0000551E" w:rsidP="006575D5">
      <w:pPr>
        <w:rPr>
          <w:sz w:val="20"/>
        </w:rPr>
      </w:pPr>
    </w:p>
    <w:p w14:paraId="6899F1E6"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299"/>
        <w:gridCol w:w="2797"/>
      </w:tblGrid>
      <w:tr w:rsidR="0000551E" w:rsidRPr="006C3557" w14:paraId="23D6AAA7" w14:textId="77777777" w:rsidTr="006575D5">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1FB9D"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EA7EE"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1FD0C89" w14:textId="77777777" w:rsidR="0000551E" w:rsidRPr="00181484" w:rsidRDefault="0000551E" w:rsidP="002B12D5">
            <w:pPr>
              <w:spacing w:after="0"/>
              <w:rPr>
                <w:color w:val="000000"/>
              </w:rPr>
            </w:pPr>
            <w:r w:rsidRPr="006C3557">
              <w:rPr>
                <w:rFonts w:cs="Arial"/>
                <w:b/>
                <w:bCs/>
                <w:color w:val="000000"/>
                <w:szCs w:val="22"/>
                <w:lang w:eastAsia="cs-CZ"/>
              </w:rPr>
              <w:t xml:space="preserve">Formát </w:t>
            </w:r>
            <w:r w:rsidRPr="006575D5">
              <w:rPr>
                <w:color w:val="000000"/>
                <w:sz w:val="20"/>
              </w:rPr>
              <w:t>(CD, listinná forma)</w:t>
            </w:r>
          </w:p>
        </w:tc>
      </w:tr>
      <w:tr w:rsidR="0000551E" w:rsidRPr="006C3557" w14:paraId="5D7A06B3" w14:textId="77777777" w:rsidTr="006575D5">
        <w:trPr>
          <w:trHeight w:val="284"/>
        </w:trPr>
        <w:tc>
          <w:tcPr>
            <w:tcW w:w="647" w:type="dxa"/>
            <w:tcBorders>
              <w:right w:val="dotted" w:sz="4" w:space="0" w:color="auto"/>
            </w:tcBorders>
            <w:shd w:val="clear" w:color="auto" w:fill="auto"/>
            <w:noWrap/>
            <w:vAlign w:val="bottom"/>
          </w:tcPr>
          <w:p w14:paraId="7D5D9C0F" w14:textId="77777777" w:rsidR="0000551E" w:rsidRPr="006C3557" w:rsidRDefault="002B12D5" w:rsidP="000B6887">
            <w:pPr>
              <w:spacing w:after="0"/>
              <w:rPr>
                <w:rFonts w:cs="Arial"/>
                <w:color w:val="000000"/>
                <w:szCs w:val="22"/>
                <w:lang w:eastAsia="cs-CZ"/>
              </w:rPr>
            </w:pPr>
            <w:r>
              <w:rPr>
                <w:rFonts w:cs="Arial"/>
                <w:color w:val="000000"/>
                <w:szCs w:val="22"/>
                <w:lang w:eastAsia="cs-CZ"/>
              </w:rPr>
              <w:t>01</w:t>
            </w:r>
          </w:p>
        </w:tc>
        <w:tc>
          <w:tcPr>
            <w:tcW w:w="6299" w:type="dxa"/>
            <w:tcBorders>
              <w:left w:val="dotted" w:sz="4" w:space="0" w:color="auto"/>
              <w:right w:val="dotted" w:sz="4" w:space="0" w:color="auto"/>
            </w:tcBorders>
            <w:shd w:val="clear" w:color="auto" w:fill="auto"/>
            <w:noWrap/>
            <w:vAlign w:val="bottom"/>
          </w:tcPr>
          <w:p w14:paraId="0B38F206" w14:textId="77777777" w:rsidR="0000551E" w:rsidRPr="006C3557" w:rsidRDefault="002B12D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22A98C59" w14:textId="77777777" w:rsidR="0000551E" w:rsidRPr="006C3557" w:rsidRDefault="002B12D5"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638088AE" w14:textId="77777777" w:rsidTr="006575D5">
        <w:trPr>
          <w:trHeight w:val="284"/>
        </w:trPr>
        <w:tc>
          <w:tcPr>
            <w:tcW w:w="647" w:type="dxa"/>
            <w:tcBorders>
              <w:right w:val="dotted" w:sz="4" w:space="0" w:color="auto"/>
            </w:tcBorders>
            <w:shd w:val="clear" w:color="auto" w:fill="auto"/>
            <w:noWrap/>
            <w:vAlign w:val="bottom"/>
          </w:tcPr>
          <w:p w14:paraId="2D5FEF19" w14:textId="77777777" w:rsidR="0000551E" w:rsidRPr="006C3557" w:rsidRDefault="003218A6" w:rsidP="000B6887">
            <w:pPr>
              <w:spacing w:after="0"/>
              <w:rPr>
                <w:rFonts w:cs="Arial"/>
                <w:color w:val="000000"/>
                <w:szCs w:val="22"/>
                <w:lang w:eastAsia="cs-CZ"/>
              </w:rPr>
            </w:pPr>
            <w:r>
              <w:rPr>
                <w:rFonts w:cs="Arial"/>
                <w:color w:val="000000"/>
                <w:szCs w:val="22"/>
                <w:lang w:eastAsia="cs-CZ"/>
              </w:rPr>
              <w:t>02</w:t>
            </w:r>
          </w:p>
        </w:tc>
        <w:tc>
          <w:tcPr>
            <w:tcW w:w="6299" w:type="dxa"/>
            <w:tcBorders>
              <w:left w:val="dotted" w:sz="4" w:space="0" w:color="auto"/>
              <w:right w:val="dotted" w:sz="4" w:space="0" w:color="auto"/>
            </w:tcBorders>
            <w:shd w:val="clear" w:color="auto" w:fill="auto"/>
            <w:noWrap/>
            <w:vAlign w:val="bottom"/>
          </w:tcPr>
          <w:p w14:paraId="54646567" w14:textId="77777777" w:rsidR="0000551E" w:rsidRPr="006C3557" w:rsidRDefault="003218A6"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2A92F9A9" w14:textId="77777777" w:rsidR="0000551E" w:rsidRPr="006C3557" w:rsidRDefault="003218A6" w:rsidP="000B6887">
            <w:pPr>
              <w:spacing w:after="0"/>
              <w:rPr>
                <w:rFonts w:cs="Arial"/>
                <w:color w:val="000000"/>
                <w:szCs w:val="22"/>
                <w:lang w:eastAsia="cs-CZ"/>
              </w:rPr>
            </w:pPr>
            <w:r>
              <w:rPr>
                <w:rFonts w:cs="Arial"/>
                <w:color w:val="000000"/>
                <w:szCs w:val="22"/>
                <w:lang w:eastAsia="cs-CZ"/>
              </w:rPr>
              <w:t>e-mailem</w:t>
            </w:r>
          </w:p>
        </w:tc>
      </w:tr>
    </w:tbl>
    <w:p w14:paraId="55087591" w14:textId="77777777" w:rsidR="0000551E" w:rsidRPr="00181484" w:rsidRDefault="0000551E" w:rsidP="00181484">
      <w:pPr>
        <w:rPr>
          <w:sz w:val="20"/>
        </w:rPr>
      </w:pPr>
    </w:p>
    <w:p w14:paraId="40932D4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49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830"/>
        <w:gridCol w:w="3057"/>
        <w:gridCol w:w="3605"/>
      </w:tblGrid>
      <w:tr w:rsidR="0073136A" w:rsidRPr="006C3557" w14:paraId="0DBBAB70" w14:textId="77777777" w:rsidTr="00B260DC">
        <w:trPr>
          <w:trHeight w:val="588"/>
        </w:trPr>
        <w:tc>
          <w:tcPr>
            <w:tcW w:w="28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3C71A0" w14:textId="77777777" w:rsidR="0073136A" w:rsidRPr="00765184" w:rsidRDefault="0073136A"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057" w:type="dxa"/>
            <w:tcBorders>
              <w:top w:val="single" w:sz="8" w:space="0" w:color="auto"/>
              <w:left w:val="single" w:sz="8" w:space="0" w:color="auto"/>
              <w:bottom w:val="single" w:sz="8" w:space="0" w:color="auto"/>
              <w:right w:val="single" w:sz="8" w:space="0" w:color="auto"/>
            </w:tcBorders>
            <w:vAlign w:val="center"/>
          </w:tcPr>
          <w:p w14:paraId="4EE004DB" w14:textId="77777777" w:rsidR="0073136A" w:rsidRPr="006C3557" w:rsidRDefault="0073136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sidRPr="0073136A">
              <w:rPr>
                <w:rFonts w:cs="Arial"/>
                <w:color w:val="000000"/>
                <w:szCs w:val="22"/>
                <w:vertAlign w:val="superscript"/>
                <w:lang w:eastAsia="cs-CZ"/>
              </w:rPr>
              <w:endnoteReference w:id="19"/>
            </w:r>
          </w:p>
        </w:tc>
        <w:tc>
          <w:tcPr>
            <w:tcW w:w="3605" w:type="dxa"/>
            <w:tcBorders>
              <w:top w:val="single" w:sz="8" w:space="0" w:color="auto"/>
              <w:left w:val="single" w:sz="8" w:space="0" w:color="auto"/>
              <w:bottom w:val="single" w:sz="8" w:space="0" w:color="auto"/>
              <w:right w:val="single" w:sz="8" w:space="0" w:color="auto"/>
            </w:tcBorders>
            <w:shd w:val="clear" w:color="auto" w:fill="auto"/>
            <w:vAlign w:val="center"/>
          </w:tcPr>
          <w:p w14:paraId="03271776" w14:textId="77777777" w:rsidR="0073136A" w:rsidRPr="006C3557" w:rsidRDefault="0073136A" w:rsidP="00337DDA">
            <w:pPr>
              <w:spacing w:after="0"/>
              <w:rPr>
                <w:rFonts w:cs="Arial"/>
                <w:b/>
                <w:bCs/>
                <w:color w:val="000000"/>
                <w:szCs w:val="22"/>
                <w:lang w:eastAsia="cs-CZ"/>
              </w:rPr>
            </w:pPr>
            <w:r w:rsidRPr="006C3557">
              <w:rPr>
                <w:rFonts w:cs="Arial"/>
                <w:b/>
                <w:bCs/>
                <w:color w:val="000000"/>
                <w:szCs w:val="22"/>
                <w:lang w:eastAsia="cs-CZ"/>
              </w:rPr>
              <w:t>Podpis</w:t>
            </w:r>
          </w:p>
        </w:tc>
      </w:tr>
      <w:tr w:rsidR="0073136A" w:rsidRPr="006C3557" w14:paraId="051316A9" w14:textId="77777777" w:rsidTr="0073136A">
        <w:trPr>
          <w:trHeight w:val="1032"/>
        </w:trPr>
        <w:tc>
          <w:tcPr>
            <w:tcW w:w="2830" w:type="dxa"/>
            <w:shd w:val="clear" w:color="auto" w:fill="auto"/>
            <w:noWrap/>
            <w:vAlign w:val="center"/>
          </w:tcPr>
          <w:p w14:paraId="73ACA98D" w14:textId="77777777" w:rsidR="0073136A" w:rsidRPr="006C3557" w:rsidRDefault="0073136A" w:rsidP="00337DDA">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057" w:type="dxa"/>
            <w:vAlign w:val="center"/>
          </w:tcPr>
          <w:p w14:paraId="41F16A1A" w14:textId="6A1309A9" w:rsidR="0073136A" w:rsidRPr="006C3557" w:rsidRDefault="00B97294" w:rsidP="00337DDA">
            <w:pPr>
              <w:spacing w:after="0"/>
              <w:rPr>
                <w:rFonts w:cs="Arial"/>
                <w:color w:val="000000"/>
                <w:szCs w:val="22"/>
                <w:lang w:eastAsia="cs-CZ"/>
              </w:rPr>
            </w:pPr>
            <w:r>
              <w:rPr>
                <w:rFonts w:cs="Arial"/>
                <w:color w:val="000000"/>
                <w:szCs w:val="22"/>
                <w:lang w:eastAsia="cs-CZ"/>
              </w:rPr>
              <w:t>xxx</w:t>
            </w:r>
          </w:p>
        </w:tc>
        <w:tc>
          <w:tcPr>
            <w:tcW w:w="3605" w:type="dxa"/>
            <w:shd w:val="clear" w:color="auto" w:fill="auto"/>
            <w:vAlign w:val="center"/>
          </w:tcPr>
          <w:p w14:paraId="6580463A" w14:textId="77777777" w:rsidR="0073136A" w:rsidRPr="006C3557" w:rsidRDefault="0073136A" w:rsidP="00BC5CB6">
            <w:pPr>
              <w:spacing w:after="0"/>
              <w:ind w:right="72"/>
              <w:rPr>
                <w:rFonts w:cs="Arial"/>
                <w:color w:val="000000"/>
                <w:szCs w:val="22"/>
                <w:lang w:eastAsia="cs-CZ"/>
              </w:rPr>
            </w:pPr>
          </w:p>
        </w:tc>
      </w:tr>
    </w:tbl>
    <w:p w14:paraId="485900F9" w14:textId="77777777" w:rsidR="0000551E" w:rsidRDefault="0000551E" w:rsidP="00EC6856">
      <w:pPr>
        <w:rPr>
          <w:rFonts w:cs="Arial"/>
          <w:szCs w:val="22"/>
        </w:rPr>
      </w:pPr>
    </w:p>
    <w:p w14:paraId="19873769" w14:textId="77777777" w:rsidR="0000551E" w:rsidRDefault="0000551E" w:rsidP="002B12D5">
      <w:pPr>
        <w:spacing w:after="0"/>
        <w:rPr>
          <w:rFonts w:cs="Arial"/>
          <w:b/>
          <w:caps/>
          <w:szCs w:val="22"/>
        </w:rPr>
        <w:sectPr w:rsidR="0000551E" w:rsidSect="009D0844">
          <w:footerReference w:type="default" r:id="rId12"/>
          <w:pgSz w:w="11906" w:h="16838" w:code="9"/>
          <w:pgMar w:top="1560" w:right="1418" w:bottom="1134" w:left="992" w:header="567" w:footer="567" w:gutter="0"/>
          <w:pgNumType w:start="1"/>
          <w:cols w:space="708"/>
          <w:docGrid w:linePitch="360"/>
        </w:sectPr>
      </w:pPr>
    </w:p>
    <w:p w14:paraId="736580A5"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996485" w:rsidRPr="00996485">
        <w:rPr>
          <w:rFonts w:cs="Arial"/>
          <w:b/>
          <w:caps/>
          <w:szCs w:val="22"/>
        </w:rPr>
        <w:t>Z32207</w:t>
      </w:r>
    </w:p>
    <w:tbl>
      <w:tblPr>
        <w:tblW w:w="267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78"/>
        <w:gridCol w:w="992"/>
      </w:tblGrid>
      <w:tr w:rsidR="00181484" w:rsidRPr="006C3557" w14:paraId="7125A451" w14:textId="77777777" w:rsidTr="0085506E">
        <w:trPr>
          <w:trHeight w:val="332"/>
        </w:trPr>
        <w:tc>
          <w:tcPr>
            <w:tcW w:w="1678" w:type="dxa"/>
            <w:tcBorders>
              <w:top w:val="single" w:sz="8" w:space="0" w:color="auto"/>
              <w:left w:val="single" w:sz="8" w:space="0" w:color="auto"/>
              <w:bottom w:val="single" w:sz="8" w:space="0" w:color="auto"/>
            </w:tcBorders>
            <w:shd w:val="clear" w:color="auto" w:fill="auto"/>
            <w:vAlign w:val="center"/>
          </w:tcPr>
          <w:p w14:paraId="1805416A" w14:textId="77777777" w:rsidR="00181484" w:rsidRPr="009D0844" w:rsidRDefault="00181484" w:rsidP="0085497D">
            <w:pPr>
              <w:rPr>
                <w:szCs w:val="22"/>
              </w:rPr>
            </w:pPr>
            <w:r w:rsidRPr="009D0844">
              <w:rPr>
                <w:b/>
                <w:szCs w:val="22"/>
              </w:rPr>
              <w:t xml:space="preserve">ID PK </w:t>
            </w:r>
            <w:proofErr w:type="spellStart"/>
            <w:r w:rsidRPr="009D0844">
              <w:rPr>
                <w:b/>
                <w:szCs w:val="22"/>
              </w:rPr>
              <w:t>MZe</w:t>
            </w:r>
            <w:proofErr w:type="spellEnd"/>
            <w:r w:rsidRPr="009D0844">
              <w:rPr>
                <w:szCs w:val="22"/>
              </w:rPr>
              <w:endnoteReference w:id="20"/>
            </w:r>
            <w:r w:rsidRPr="009D0844">
              <w:t>:</w:t>
            </w:r>
          </w:p>
        </w:tc>
        <w:tc>
          <w:tcPr>
            <w:tcW w:w="992" w:type="dxa"/>
            <w:shd w:val="clear" w:color="auto" w:fill="auto"/>
            <w:vAlign w:val="center"/>
          </w:tcPr>
          <w:p w14:paraId="1CAB4292" w14:textId="77777777" w:rsidR="00181484" w:rsidRPr="009D0844" w:rsidRDefault="00022193" w:rsidP="009D0844">
            <w:pPr>
              <w:jc w:val="center"/>
              <w:rPr>
                <w:szCs w:val="22"/>
              </w:rPr>
            </w:pPr>
            <w:r>
              <w:rPr>
                <w:szCs w:val="22"/>
              </w:rPr>
              <w:t>627</w:t>
            </w:r>
          </w:p>
        </w:tc>
      </w:tr>
    </w:tbl>
    <w:p w14:paraId="4C1DA9FE" w14:textId="77777777" w:rsidR="0000551E" w:rsidRDefault="0000551E" w:rsidP="00401780">
      <w:pPr>
        <w:rPr>
          <w:rFonts w:cs="Arial"/>
          <w:szCs w:val="22"/>
        </w:rPr>
      </w:pPr>
    </w:p>
    <w:p w14:paraId="290F44C6"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49CE2F0E" w14:textId="77777777" w:rsidR="0000551E" w:rsidRDefault="0000551E" w:rsidP="00181484">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05EFFEBC" w14:textId="588F6D5A" w:rsidR="004D7EA0" w:rsidRDefault="004D7EA0" w:rsidP="004D7EA0">
      <w:pPr>
        <w:rPr>
          <w:rFonts w:cs="Arial"/>
        </w:rPr>
      </w:pPr>
      <w:r>
        <w:rPr>
          <w:rFonts w:cs="Arial"/>
        </w:rPr>
        <w:t xml:space="preserve">Dle části B bod </w:t>
      </w:r>
      <w:proofErr w:type="gramStart"/>
      <w:r w:rsidR="00853C6F">
        <w:rPr>
          <w:rFonts w:cs="Arial"/>
        </w:rPr>
        <w:t xml:space="preserve">3.2 </w:t>
      </w:r>
      <w:r>
        <w:rPr>
          <w:rFonts w:cs="Arial"/>
        </w:rPr>
        <w:t xml:space="preserve"> jsou</w:t>
      </w:r>
      <w:proofErr w:type="gramEnd"/>
      <w:r>
        <w:rPr>
          <w:rFonts w:cs="Arial"/>
        </w:rPr>
        <w:t xml:space="preserve"> pro realizaci příslušných bezpečnostních opatření požadovány následující změny</w:t>
      </w:r>
      <w:r>
        <w:rPr>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0D6D1DB7"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30C332F"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47773"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A376DC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7B7ABCC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EA86666"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C50EF" w:rsidRPr="003153D0" w14:paraId="75BD7CF5" w14:textId="77777777" w:rsidTr="00EC50EF">
        <w:trPr>
          <w:trHeight w:val="288"/>
        </w:trPr>
        <w:tc>
          <w:tcPr>
            <w:tcW w:w="567" w:type="dxa"/>
            <w:tcBorders>
              <w:top w:val="single" w:sz="8" w:space="0" w:color="auto"/>
              <w:left w:val="dotted" w:sz="4" w:space="0" w:color="auto"/>
              <w:bottom w:val="dotted" w:sz="4" w:space="0" w:color="auto"/>
              <w:right w:val="dotted" w:sz="4" w:space="0" w:color="auto"/>
            </w:tcBorders>
          </w:tcPr>
          <w:p w14:paraId="2E19B3F9" w14:textId="77777777" w:rsidR="00EC50EF" w:rsidRPr="00651917" w:rsidRDefault="00EC50EF" w:rsidP="00EC50EF">
            <w:pPr>
              <w:numPr>
                <w:ilvl w:val="0"/>
                <w:numId w:val="9"/>
              </w:numPr>
              <w:jc w:val="both"/>
              <w:rPr>
                <w:rFonts w:cs="Arial"/>
                <w:color w:val="000000"/>
                <w:szCs w:val="22"/>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1A1DAB" w14:textId="77777777" w:rsidR="00EC50EF" w:rsidRPr="003153D0" w:rsidRDefault="00EC50EF" w:rsidP="00EC50EF">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1557" w:type="dxa"/>
            <w:tcBorders>
              <w:top w:val="single" w:sz="8" w:space="0" w:color="auto"/>
              <w:left w:val="dotted" w:sz="4" w:space="0" w:color="auto"/>
              <w:bottom w:val="dotted" w:sz="4" w:space="0" w:color="auto"/>
              <w:right w:val="dotted" w:sz="4" w:space="0" w:color="auto"/>
            </w:tcBorders>
          </w:tcPr>
          <w:p w14:paraId="23F0E42B" w14:textId="77777777" w:rsidR="00EC50EF" w:rsidRPr="003153D0"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vAlign w:val="center"/>
          </w:tcPr>
          <w:p w14:paraId="6B6DFE31" w14:textId="77777777" w:rsidR="00EC50EF" w:rsidRDefault="00EC50EF" w:rsidP="00EC50EF">
            <w:pPr>
              <w:spacing w:after="0"/>
              <w:rPr>
                <w:rFonts w:cs="Arial"/>
                <w:color w:val="000000"/>
                <w:szCs w:val="22"/>
                <w:lang w:eastAsia="cs-CZ"/>
              </w:rPr>
            </w:pPr>
            <w:r>
              <w:rPr>
                <w:rFonts w:cs="Arial"/>
                <w:bCs/>
                <w:color w:val="000000"/>
                <w:szCs w:val="22"/>
                <w:lang w:eastAsia="cs-CZ"/>
              </w:rPr>
              <w:t>Bez dopadu</w:t>
            </w:r>
          </w:p>
        </w:tc>
      </w:tr>
      <w:tr w:rsidR="00EC50EF" w:rsidRPr="00705F38" w14:paraId="1DBA815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16FB739"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D4AEB2" w14:textId="77777777" w:rsidR="00EC50EF" w:rsidRPr="003153D0" w:rsidRDefault="00EC50EF" w:rsidP="00EC50EF">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3B3EA3DA" w14:textId="77777777" w:rsidR="00EC50EF" w:rsidRPr="00705F38"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D20C88C"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14:paraId="1AA3E64B"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700E8C2"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EE2183" w14:textId="77777777" w:rsidR="00EC50EF" w:rsidRPr="003153D0" w:rsidRDefault="00EC50EF" w:rsidP="00EC50EF">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02885990" w14:textId="77777777" w:rsidR="00EC50EF"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3E09AEA"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14:paraId="26F3FA6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CC68937"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8ABEC7" w14:textId="77777777" w:rsidR="00EC50EF" w:rsidRDefault="00EC50EF" w:rsidP="00EC50EF">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1557" w:type="dxa"/>
            <w:tcBorders>
              <w:top w:val="dotted" w:sz="4" w:space="0" w:color="auto"/>
              <w:left w:val="dotted" w:sz="4" w:space="0" w:color="auto"/>
              <w:bottom w:val="dotted" w:sz="4" w:space="0" w:color="auto"/>
              <w:right w:val="dotted" w:sz="4" w:space="0" w:color="auto"/>
            </w:tcBorders>
          </w:tcPr>
          <w:p w14:paraId="70C589D1" w14:textId="77777777" w:rsidR="00EC50EF"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5451999"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14:paraId="4E75497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8D9B92C"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A1CDEF" w14:textId="77777777" w:rsidR="00EC50EF" w:rsidRDefault="00EC50EF" w:rsidP="00EC50EF">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01663AE5" w14:textId="77777777" w:rsidR="00EC50EF"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9EE1A57"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14:paraId="666EADF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48FE83F"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CD6B17" w14:textId="77777777" w:rsidR="00EC50EF" w:rsidRDefault="00EC50EF" w:rsidP="00EC50EF">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proofErr w:type="gramStart"/>
            <w:r w:rsidRPr="00927AC8">
              <w:rPr>
                <w:rFonts w:cs="Arial"/>
                <w:bCs/>
                <w:color w:val="000000"/>
                <w:szCs w:val="22"/>
                <w:lang w:eastAsia="cs-CZ"/>
              </w:rPr>
              <w:t>dat</w:t>
            </w:r>
            <w:r>
              <w:rPr>
                <w:rFonts w:cs="Arial"/>
                <w:bCs/>
                <w:color w:val="000000"/>
                <w:szCs w:val="22"/>
                <w:lang w:eastAsia="cs-CZ"/>
              </w:rPr>
              <w:t xml:space="preserve">  3.</w:t>
            </w:r>
            <w:proofErr w:type="gramEnd"/>
            <w:r>
              <w:rPr>
                <w:rFonts w:cs="Arial"/>
                <w:bCs/>
                <w:color w:val="000000"/>
                <w:szCs w:val="22"/>
                <w:lang w:eastAsia="cs-CZ"/>
              </w:rPr>
              <w:t>2.</w:t>
            </w:r>
          </w:p>
        </w:tc>
        <w:tc>
          <w:tcPr>
            <w:tcW w:w="1557" w:type="dxa"/>
            <w:tcBorders>
              <w:top w:val="dotted" w:sz="4" w:space="0" w:color="auto"/>
              <w:left w:val="dotted" w:sz="4" w:space="0" w:color="auto"/>
              <w:bottom w:val="dotted" w:sz="4" w:space="0" w:color="auto"/>
              <w:right w:val="dotted" w:sz="4" w:space="0" w:color="auto"/>
            </w:tcBorders>
          </w:tcPr>
          <w:p w14:paraId="26921FA8" w14:textId="77777777" w:rsidR="00EC50EF"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ED542C0"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14:paraId="12D4206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F14E45A"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8921B2" w14:textId="77777777" w:rsidR="00EC50EF" w:rsidRDefault="00EC50EF" w:rsidP="00EC50EF">
            <w:pPr>
              <w:spacing w:after="0"/>
              <w:jc w:val="both"/>
              <w:rPr>
                <w:rFonts w:cs="Arial"/>
                <w:color w:val="000000"/>
                <w:szCs w:val="22"/>
                <w:lang w:eastAsia="cs-CZ"/>
              </w:rPr>
            </w:pPr>
            <w:proofErr w:type="gramStart"/>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6ADE6AB3" w14:textId="77777777" w:rsidR="00EC50EF"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1B04857"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14:paraId="50951E7F"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ECC1F2"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D964A4" w14:textId="77777777" w:rsidR="00EC50EF" w:rsidRPr="000E5DC8" w:rsidRDefault="00EC50EF" w:rsidP="00EC50EF">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1557" w:type="dxa"/>
            <w:tcBorders>
              <w:top w:val="dotted" w:sz="4" w:space="0" w:color="auto"/>
              <w:left w:val="dotted" w:sz="4" w:space="0" w:color="auto"/>
              <w:bottom w:val="dotted" w:sz="4" w:space="0" w:color="auto"/>
              <w:right w:val="dotted" w:sz="4" w:space="0" w:color="auto"/>
            </w:tcBorders>
          </w:tcPr>
          <w:p w14:paraId="2DF6A7A5" w14:textId="77777777" w:rsidR="00EC50EF"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A8A2407"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14:paraId="40537274"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3BFD4F1"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58DD1E" w14:textId="77777777" w:rsidR="00EC50EF" w:rsidRDefault="00EC50EF" w:rsidP="00EC50EF">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1557" w:type="dxa"/>
            <w:tcBorders>
              <w:top w:val="dotted" w:sz="4" w:space="0" w:color="auto"/>
              <w:left w:val="dotted" w:sz="4" w:space="0" w:color="auto"/>
              <w:bottom w:val="dotted" w:sz="4" w:space="0" w:color="auto"/>
              <w:right w:val="dotted" w:sz="4" w:space="0" w:color="auto"/>
            </w:tcBorders>
          </w:tcPr>
          <w:p w14:paraId="7927B13F" w14:textId="77777777" w:rsidR="00EC50EF"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2C7A6B7"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14:paraId="0D5A897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C5A99EB"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CFABAF" w14:textId="77777777" w:rsidR="00EC50EF" w:rsidRPr="000E5DC8" w:rsidRDefault="00EC50EF" w:rsidP="00EC50EF">
            <w:pPr>
              <w:spacing w:after="0"/>
              <w:jc w:val="both"/>
              <w:rPr>
                <w:rFonts w:cs="Arial"/>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p>
        </w:tc>
        <w:tc>
          <w:tcPr>
            <w:tcW w:w="1557" w:type="dxa"/>
            <w:tcBorders>
              <w:top w:val="dotted" w:sz="4" w:space="0" w:color="auto"/>
              <w:left w:val="dotted" w:sz="4" w:space="0" w:color="auto"/>
              <w:bottom w:val="dotted" w:sz="4" w:space="0" w:color="auto"/>
              <w:right w:val="dotted" w:sz="4" w:space="0" w:color="auto"/>
            </w:tcBorders>
          </w:tcPr>
          <w:p w14:paraId="2BFA0DDA" w14:textId="77777777" w:rsidR="00EC50EF"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32F21D4B"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rsidRPr="00F7707A" w14:paraId="44236F3E"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55824B8"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85912C" w14:textId="77777777" w:rsidR="00EC50EF" w:rsidRPr="00F7707A" w:rsidRDefault="00EC50EF" w:rsidP="00EC50EF">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1557" w:type="dxa"/>
            <w:tcBorders>
              <w:top w:val="dotted" w:sz="4" w:space="0" w:color="auto"/>
              <w:left w:val="dotted" w:sz="4" w:space="0" w:color="auto"/>
              <w:bottom w:val="dotted" w:sz="4" w:space="0" w:color="auto"/>
              <w:right w:val="dotted" w:sz="4" w:space="0" w:color="auto"/>
            </w:tcBorders>
          </w:tcPr>
          <w:p w14:paraId="7C1EEECB" w14:textId="77777777" w:rsidR="00EC50EF" w:rsidRPr="00F7707A"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9BBC939"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14:paraId="3B2B588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E6F67B4"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EA377D" w14:textId="77777777" w:rsidR="00EC50EF" w:rsidRPr="00F7707A" w:rsidRDefault="00EC50EF" w:rsidP="00EC50EF">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1557" w:type="dxa"/>
            <w:tcBorders>
              <w:top w:val="dotted" w:sz="4" w:space="0" w:color="auto"/>
              <w:left w:val="dotted" w:sz="4" w:space="0" w:color="auto"/>
              <w:bottom w:val="dotted" w:sz="4" w:space="0" w:color="auto"/>
              <w:right w:val="dotted" w:sz="4" w:space="0" w:color="auto"/>
            </w:tcBorders>
          </w:tcPr>
          <w:p w14:paraId="5E5F7ABE" w14:textId="77777777" w:rsidR="00EC50EF"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FF4BE0B"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r w:rsidR="00EC50EF" w14:paraId="4EB7E5B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8EF22A9" w14:textId="77777777" w:rsidR="00EC50EF" w:rsidRPr="00651917" w:rsidRDefault="00EC50EF" w:rsidP="00EC50EF">
            <w:pPr>
              <w:numPr>
                <w:ilvl w:val="0"/>
                <w:numId w:val="9"/>
              </w:numPr>
              <w:jc w:val="both"/>
              <w:rPr>
                <w:rFonts w:cs="Arial"/>
                <w:color w:val="000000"/>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11600B" w14:textId="77777777" w:rsidR="00EC50EF" w:rsidRPr="00927AC8" w:rsidRDefault="00EC50EF" w:rsidP="00EC50EF">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0A9E7E1C" w14:textId="77777777" w:rsidR="00EC50EF" w:rsidRDefault="00EC50EF" w:rsidP="00EC50EF">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D58B22A" w14:textId="77777777" w:rsidR="00EC50EF" w:rsidRDefault="00EC50EF" w:rsidP="00EC50EF">
            <w:pPr>
              <w:spacing w:after="0"/>
              <w:rPr>
                <w:rFonts w:cs="Arial"/>
                <w:color w:val="000000"/>
                <w:szCs w:val="22"/>
                <w:lang w:eastAsia="cs-CZ"/>
              </w:rPr>
            </w:pPr>
            <w:r w:rsidRPr="009E4E43">
              <w:rPr>
                <w:rFonts w:cs="Arial"/>
                <w:bCs/>
                <w:color w:val="000000"/>
                <w:szCs w:val="22"/>
                <w:lang w:eastAsia="cs-CZ"/>
              </w:rPr>
              <w:t>Bez dopadu</w:t>
            </w:r>
          </w:p>
        </w:tc>
      </w:tr>
    </w:tbl>
    <w:p w14:paraId="7FF4DCC5" w14:textId="77777777" w:rsidR="0000551E" w:rsidRDefault="0000551E" w:rsidP="004A3B16">
      <w:pPr>
        <w:rPr>
          <w:rFonts w:cs="Arial"/>
        </w:rPr>
      </w:pPr>
    </w:p>
    <w:p w14:paraId="6FC6675A"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977D637" w14:textId="77777777" w:rsidR="0000551E" w:rsidRDefault="0000551E" w:rsidP="004C756F"/>
    <w:p w14:paraId="7561D2D2"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78E68A29" w14:textId="77777777" w:rsidTr="0018148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1B022"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2EED48"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051B05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EC50EF" w:rsidRPr="006C3557" w14:paraId="38A305E4" w14:textId="77777777" w:rsidTr="00181484">
        <w:trPr>
          <w:trHeight w:val="284"/>
        </w:trPr>
        <w:tc>
          <w:tcPr>
            <w:tcW w:w="1843" w:type="dxa"/>
            <w:tcBorders>
              <w:right w:val="dotted" w:sz="4" w:space="0" w:color="auto"/>
            </w:tcBorders>
            <w:shd w:val="clear" w:color="auto" w:fill="auto"/>
            <w:noWrap/>
            <w:vAlign w:val="bottom"/>
          </w:tcPr>
          <w:p w14:paraId="3F4F4C91" w14:textId="77777777" w:rsidR="00EC50EF" w:rsidRPr="006C3557" w:rsidRDefault="00707441" w:rsidP="00707441">
            <w:pPr>
              <w:spacing w:after="0"/>
              <w:rPr>
                <w:rFonts w:cs="Arial"/>
                <w:color w:val="000000"/>
                <w:szCs w:val="22"/>
                <w:lang w:eastAsia="cs-CZ"/>
              </w:rPr>
            </w:pPr>
            <w:proofErr w:type="spellStart"/>
            <w:r>
              <w:rPr>
                <w:rFonts w:cs="Arial"/>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60393250" w14:textId="77777777" w:rsidR="00EC50EF" w:rsidRPr="006C3557" w:rsidRDefault="00EC50EF" w:rsidP="00EC50EF">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0D4C0686" w14:textId="77777777" w:rsidR="00EC50EF" w:rsidRPr="006C3557" w:rsidRDefault="00707441" w:rsidP="00EC50EF">
            <w:pPr>
              <w:spacing w:after="0"/>
              <w:rPr>
                <w:rFonts w:cs="Arial"/>
                <w:color w:val="000000"/>
                <w:szCs w:val="22"/>
                <w:lang w:eastAsia="cs-CZ"/>
              </w:rPr>
            </w:pPr>
            <w:r>
              <w:rPr>
                <w:rFonts w:cs="Arial"/>
                <w:color w:val="000000"/>
                <w:szCs w:val="22"/>
                <w:lang w:eastAsia="cs-CZ"/>
              </w:rPr>
              <w:t>Iva Vojtová</w:t>
            </w:r>
          </w:p>
        </w:tc>
      </w:tr>
      <w:tr w:rsidR="00EC50EF" w:rsidRPr="006C3557" w14:paraId="775A08D8" w14:textId="77777777" w:rsidTr="00181484">
        <w:trPr>
          <w:trHeight w:val="284"/>
        </w:trPr>
        <w:tc>
          <w:tcPr>
            <w:tcW w:w="1843" w:type="dxa"/>
            <w:tcBorders>
              <w:right w:val="dotted" w:sz="4" w:space="0" w:color="auto"/>
            </w:tcBorders>
            <w:shd w:val="clear" w:color="auto" w:fill="auto"/>
            <w:noWrap/>
            <w:vAlign w:val="bottom"/>
          </w:tcPr>
          <w:p w14:paraId="6125D30B" w14:textId="77777777" w:rsidR="00EC50EF" w:rsidRPr="006C3557" w:rsidRDefault="00EC50EF" w:rsidP="00EC50EF">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31E3753" w14:textId="77777777" w:rsidR="00EC50EF" w:rsidRPr="006C3557" w:rsidRDefault="00EC50EF" w:rsidP="00EC50EF">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93D14F7" w14:textId="77777777" w:rsidR="00EC50EF" w:rsidRPr="006C3557" w:rsidRDefault="00EC50EF" w:rsidP="00EC50EF">
            <w:pPr>
              <w:spacing w:after="0"/>
              <w:rPr>
                <w:rFonts w:cs="Arial"/>
                <w:color w:val="000000"/>
                <w:szCs w:val="22"/>
                <w:lang w:eastAsia="cs-CZ"/>
              </w:rPr>
            </w:pPr>
          </w:p>
        </w:tc>
      </w:tr>
    </w:tbl>
    <w:p w14:paraId="54123164"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58FDAAF5" w14:textId="363C0ADC" w:rsidR="0000551E" w:rsidRDefault="0000551E" w:rsidP="00CB3C3C"/>
    <w:p w14:paraId="38797D6D" w14:textId="1DCA1478" w:rsidR="00CE35CE" w:rsidRDefault="00CE35CE" w:rsidP="00CB3C3C"/>
    <w:p w14:paraId="6C7FF311" w14:textId="1F85A7F8" w:rsidR="00CE35CE" w:rsidRDefault="00CE35CE" w:rsidP="00CB3C3C"/>
    <w:p w14:paraId="658994A2" w14:textId="46152C0E" w:rsidR="00CE35CE" w:rsidRDefault="00CE35CE" w:rsidP="00CB3C3C"/>
    <w:p w14:paraId="3547EC14" w14:textId="3A9273A6" w:rsidR="00CE35CE" w:rsidRDefault="00CE35CE" w:rsidP="00CB3C3C"/>
    <w:p w14:paraId="1F6B8BA3" w14:textId="6206FF77" w:rsidR="00CE35CE" w:rsidRDefault="00CE35CE" w:rsidP="00CB3C3C"/>
    <w:p w14:paraId="41836ADF" w14:textId="77777777" w:rsidR="00CE35CE" w:rsidRPr="004C756F" w:rsidRDefault="00CE35CE" w:rsidP="00CB3C3C"/>
    <w:p w14:paraId="16946CD9"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lastRenderedPageBreak/>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0844502F" w14:textId="77777777" w:rsidTr="00181484">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206D43"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20C9888"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2F714EF" w14:textId="77777777" w:rsidTr="00181484">
        <w:trPr>
          <w:trHeight w:val="284"/>
        </w:trPr>
        <w:tc>
          <w:tcPr>
            <w:tcW w:w="7513" w:type="dxa"/>
            <w:tcBorders>
              <w:top w:val="single" w:sz="8" w:space="0" w:color="auto"/>
              <w:right w:val="dotted" w:sz="4" w:space="0" w:color="auto"/>
            </w:tcBorders>
            <w:shd w:val="clear" w:color="auto" w:fill="auto"/>
            <w:noWrap/>
            <w:vAlign w:val="bottom"/>
          </w:tcPr>
          <w:p w14:paraId="3FC4C615"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AEFF781" w14:textId="3765459D" w:rsidR="0000551E" w:rsidRPr="00F23D33" w:rsidRDefault="00CE35CE" w:rsidP="001E3C70">
            <w:pPr>
              <w:spacing w:after="0"/>
              <w:rPr>
                <w:rFonts w:cs="Arial"/>
                <w:color w:val="000000"/>
                <w:szCs w:val="22"/>
                <w:lang w:eastAsia="cs-CZ"/>
              </w:rPr>
            </w:pPr>
            <w:r>
              <w:rPr>
                <w:rFonts w:cs="Arial"/>
                <w:color w:val="000000"/>
                <w:szCs w:val="22"/>
                <w:lang w:eastAsia="cs-CZ"/>
              </w:rPr>
              <w:t>Zveřejněním v registru smluv</w:t>
            </w:r>
          </w:p>
        </w:tc>
      </w:tr>
      <w:tr w:rsidR="0000551E" w:rsidRPr="00F23D33" w14:paraId="29F1311D" w14:textId="77777777" w:rsidTr="00181484">
        <w:trPr>
          <w:trHeight w:val="284"/>
        </w:trPr>
        <w:tc>
          <w:tcPr>
            <w:tcW w:w="7513" w:type="dxa"/>
            <w:tcBorders>
              <w:right w:val="dotted" w:sz="4" w:space="0" w:color="auto"/>
            </w:tcBorders>
            <w:shd w:val="clear" w:color="auto" w:fill="auto"/>
            <w:noWrap/>
            <w:vAlign w:val="bottom"/>
          </w:tcPr>
          <w:p w14:paraId="3BEB0571" w14:textId="77777777" w:rsidR="0000551E" w:rsidRDefault="00181484" w:rsidP="001E3C70">
            <w:pPr>
              <w:spacing w:after="0"/>
              <w:rPr>
                <w:rFonts w:cs="Arial"/>
                <w:color w:val="000000"/>
                <w:szCs w:val="22"/>
                <w:lang w:eastAsia="cs-CZ"/>
              </w:rPr>
            </w:pPr>
            <w:r>
              <w:rPr>
                <w:rFonts w:cs="Arial"/>
                <w:color w:val="000000"/>
                <w:szCs w:val="22"/>
                <w:lang w:eastAsia="cs-CZ"/>
              </w:rPr>
              <w:t>Nasazení na testovací provoz</w:t>
            </w:r>
          </w:p>
        </w:tc>
        <w:tc>
          <w:tcPr>
            <w:tcW w:w="2268" w:type="dxa"/>
            <w:tcBorders>
              <w:left w:val="dotted" w:sz="4" w:space="0" w:color="auto"/>
            </w:tcBorders>
            <w:shd w:val="clear" w:color="auto" w:fill="auto"/>
            <w:vAlign w:val="bottom"/>
          </w:tcPr>
          <w:p w14:paraId="423C9A1D" w14:textId="77777777" w:rsidR="0000551E" w:rsidRPr="00F23D33" w:rsidRDefault="002D2E5D" w:rsidP="008A35F6">
            <w:pPr>
              <w:spacing w:after="0"/>
              <w:rPr>
                <w:rFonts w:cs="Arial"/>
                <w:color w:val="000000"/>
                <w:szCs w:val="22"/>
                <w:lang w:eastAsia="cs-CZ"/>
              </w:rPr>
            </w:pPr>
            <w:r>
              <w:rPr>
                <w:rFonts w:cs="Arial"/>
                <w:color w:val="000000"/>
                <w:szCs w:val="22"/>
                <w:lang w:eastAsia="cs-CZ"/>
              </w:rPr>
              <w:t>30. 11. 2021</w:t>
            </w:r>
          </w:p>
        </w:tc>
      </w:tr>
      <w:tr w:rsidR="00181484" w:rsidRPr="00F23D33" w14:paraId="381B33F2" w14:textId="77777777" w:rsidTr="00181484">
        <w:trPr>
          <w:trHeight w:val="284"/>
        </w:trPr>
        <w:tc>
          <w:tcPr>
            <w:tcW w:w="7513" w:type="dxa"/>
            <w:tcBorders>
              <w:right w:val="dotted" w:sz="4" w:space="0" w:color="auto"/>
            </w:tcBorders>
            <w:shd w:val="clear" w:color="auto" w:fill="auto"/>
            <w:noWrap/>
            <w:vAlign w:val="bottom"/>
          </w:tcPr>
          <w:p w14:paraId="24F5F290" w14:textId="77777777" w:rsidR="00181484" w:rsidRDefault="00181484" w:rsidP="002D2E5D">
            <w:pPr>
              <w:spacing w:after="0"/>
              <w:rPr>
                <w:rFonts w:cs="Arial"/>
                <w:color w:val="000000"/>
                <w:szCs w:val="22"/>
                <w:lang w:eastAsia="cs-CZ"/>
              </w:rPr>
            </w:pPr>
            <w:r>
              <w:rPr>
                <w:rFonts w:cs="Arial"/>
                <w:color w:val="000000"/>
                <w:szCs w:val="22"/>
                <w:lang w:eastAsia="cs-CZ"/>
              </w:rPr>
              <w:t xml:space="preserve">Nasazení na </w:t>
            </w:r>
            <w:r w:rsidR="002D2E5D">
              <w:rPr>
                <w:rFonts w:cs="Arial"/>
                <w:color w:val="000000"/>
                <w:szCs w:val="22"/>
                <w:lang w:eastAsia="cs-CZ"/>
              </w:rPr>
              <w:t>pilotní provoz na ostrém prostředí</w:t>
            </w:r>
          </w:p>
        </w:tc>
        <w:tc>
          <w:tcPr>
            <w:tcW w:w="2268" w:type="dxa"/>
            <w:tcBorders>
              <w:left w:val="dotted" w:sz="4" w:space="0" w:color="auto"/>
            </w:tcBorders>
            <w:shd w:val="clear" w:color="auto" w:fill="auto"/>
            <w:vAlign w:val="bottom"/>
          </w:tcPr>
          <w:p w14:paraId="0A674DAA" w14:textId="77777777" w:rsidR="00181484" w:rsidRPr="00F23D33" w:rsidRDefault="002D2E5D" w:rsidP="001E3C70">
            <w:pPr>
              <w:spacing w:after="0"/>
              <w:rPr>
                <w:rFonts w:cs="Arial"/>
                <w:color w:val="000000"/>
                <w:szCs w:val="22"/>
                <w:lang w:eastAsia="cs-CZ"/>
              </w:rPr>
            </w:pPr>
            <w:r>
              <w:rPr>
                <w:rFonts w:cs="Arial"/>
                <w:color w:val="000000"/>
                <w:szCs w:val="22"/>
                <w:lang w:eastAsia="cs-CZ"/>
              </w:rPr>
              <w:t>31. 12. 2021</w:t>
            </w:r>
          </w:p>
        </w:tc>
      </w:tr>
      <w:tr w:rsidR="0000551E" w:rsidRPr="00F23D33" w14:paraId="53952FE1" w14:textId="77777777" w:rsidTr="00181484">
        <w:trPr>
          <w:trHeight w:val="284"/>
        </w:trPr>
        <w:tc>
          <w:tcPr>
            <w:tcW w:w="7513" w:type="dxa"/>
            <w:tcBorders>
              <w:right w:val="dotted" w:sz="4" w:space="0" w:color="auto"/>
            </w:tcBorders>
            <w:shd w:val="clear" w:color="auto" w:fill="auto"/>
            <w:noWrap/>
            <w:vAlign w:val="bottom"/>
          </w:tcPr>
          <w:p w14:paraId="06A4A5CE"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r w:rsidR="00181484">
              <w:rPr>
                <w:rFonts w:cs="Arial"/>
                <w:color w:val="000000"/>
                <w:szCs w:val="22"/>
                <w:lang w:eastAsia="cs-CZ"/>
              </w:rPr>
              <w:t>, akceptace</w:t>
            </w:r>
          </w:p>
        </w:tc>
        <w:tc>
          <w:tcPr>
            <w:tcW w:w="2268" w:type="dxa"/>
            <w:tcBorders>
              <w:left w:val="dotted" w:sz="4" w:space="0" w:color="auto"/>
            </w:tcBorders>
            <w:shd w:val="clear" w:color="auto" w:fill="auto"/>
            <w:vAlign w:val="bottom"/>
          </w:tcPr>
          <w:p w14:paraId="75798FF9" w14:textId="77777777" w:rsidR="0000551E" w:rsidRPr="00F23D33" w:rsidRDefault="002D2E5D" w:rsidP="008A35F6">
            <w:pPr>
              <w:spacing w:after="0"/>
              <w:rPr>
                <w:rFonts w:cs="Arial"/>
                <w:color w:val="000000"/>
                <w:szCs w:val="22"/>
                <w:lang w:eastAsia="cs-CZ"/>
              </w:rPr>
            </w:pPr>
            <w:r>
              <w:rPr>
                <w:rFonts w:cs="Arial"/>
                <w:color w:val="000000"/>
                <w:szCs w:val="22"/>
                <w:lang w:eastAsia="cs-CZ"/>
              </w:rPr>
              <w:t>31. 1. 2022</w:t>
            </w:r>
          </w:p>
        </w:tc>
      </w:tr>
    </w:tbl>
    <w:p w14:paraId="1D5A9E49" w14:textId="77777777" w:rsidR="0000551E" w:rsidRPr="004C756F" w:rsidRDefault="0000551E" w:rsidP="004C756F"/>
    <w:p w14:paraId="38771E4D"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4CD24A43" w14:textId="77777777" w:rsidR="0000551E" w:rsidRDefault="0000551E" w:rsidP="001E3C70">
      <w:pPr>
        <w:spacing w:before="120"/>
        <w:ind w:left="425"/>
        <w:rPr>
          <w:rFonts w:cs="Arial"/>
          <w:b/>
        </w:rPr>
      </w:pPr>
      <w:r w:rsidRPr="00F23D33">
        <w:rPr>
          <w:rFonts w:cs="Arial"/>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551"/>
        <w:gridCol w:w="1701"/>
        <w:gridCol w:w="1701"/>
        <w:gridCol w:w="1841"/>
      </w:tblGrid>
      <w:tr w:rsidR="0000551E" w:rsidRPr="00F23D33" w14:paraId="03E1BE7D" w14:textId="77777777" w:rsidTr="008A35F6">
        <w:tc>
          <w:tcPr>
            <w:tcW w:w="1985" w:type="dxa"/>
            <w:tcBorders>
              <w:top w:val="single" w:sz="8" w:space="0" w:color="auto"/>
              <w:left w:val="single" w:sz="8" w:space="0" w:color="auto"/>
              <w:bottom w:val="single" w:sz="8" w:space="0" w:color="auto"/>
              <w:right w:val="single" w:sz="8" w:space="0" w:color="auto"/>
            </w:tcBorders>
            <w:shd w:val="clear" w:color="auto" w:fill="auto"/>
          </w:tcPr>
          <w:p w14:paraId="3A77C176" w14:textId="77777777" w:rsidR="0000551E" w:rsidRPr="009D0844" w:rsidRDefault="0000551E" w:rsidP="00153C10">
            <w:pPr>
              <w:rPr>
                <w:szCs w:val="22"/>
              </w:rPr>
            </w:pPr>
            <w:r w:rsidRPr="009D0844">
              <w:rPr>
                <w:b/>
                <w:szCs w:val="22"/>
              </w:rPr>
              <w:t>Oblast / role</w:t>
            </w:r>
            <w:r w:rsidRPr="009D0844">
              <w:rPr>
                <w:szCs w:val="22"/>
              </w:rPr>
              <w:endnoteReference w:id="22"/>
            </w:r>
          </w:p>
        </w:tc>
        <w:tc>
          <w:tcPr>
            <w:tcW w:w="2551" w:type="dxa"/>
            <w:tcBorders>
              <w:top w:val="single" w:sz="8" w:space="0" w:color="auto"/>
              <w:left w:val="single" w:sz="8" w:space="0" w:color="auto"/>
              <w:bottom w:val="single" w:sz="8" w:space="0" w:color="auto"/>
              <w:right w:val="single" w:sz="8" w:space="0" w:color="auto"/>
            </w:tcBorders>
            <w:shd w:val="clear" w:color="auto" w:fill="auto"/>
          </w:tcPr>
          <w:p w14:paraId="1F458C88" w14:textId="77777777" w:rsidR="0000551E" w:rsidRPr="009D0844" w:rsidRDefault="0000551E" w:rsidP="00153C10">
            <w:pPr>
              <w:rPr>
                <w:b/>
                <w:szCs w:val="22"/>
              </w:rPr>
            </w:pPr>
            <w:r w:rsidRPr="009D0844">
              <w:rPr>
                <w:b/>
                <w:szCs w:val="22"/>
              </w:rPr>
              <w:t>Popis</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4A2D0DE1" w14:textId="77777777" w:rsidR="0000551E" w:rsidRPr="009D0844" w:rsidRDefault="0000551E" w:rsidP="00153C10">
            <w:pPr>
              <w:rPr>
                <w:b/>
                <w:szCs w:val="22"/>
              </w:rPr>
            </w:pPr>
            <w:r w:rsidRPr="009D0844">
              <w:rPr>
                <w:b/>
                <w:szCs w:val="22"/>
              </w:rPr>
              <w:t>Pracnost v MD/MJ</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D7A4DBA" w14:textId="77777777" w:rsidR="0000551E" w:rsidRPr="009D0844" w:rsidRDefault="0000551E" w:rsidP="00153C10">
            <w:pPr>
              <w:rPr>
                <w:b/>
                <w:szCs w:val="22"/>
              </w:rPr>
            </w:pPr>
            <w:r w:rsidRPr="009D0844">
              <w:rPr>
                <w:b/>
                <w:szCs w:val="22"/>
              </w:rPr>
              <w:t>v Kč bez DPH:</w:t>
            </w:r>
          </w:p>
        </w:tc>
        <w:tc>
          <w:tcPr>
            <w:tcW w:w="1841" w:type="dxa"/>
            <w:tcBorders>
              <w:top w:val="single" w:sz="8" w:space="0" w:color="auto"/>
              <w:left w:val="single" w:sz="8" w:space="0" w:color="auto"/>
              <w:bottom w:val="single" w:sz="8" w:space="0" w:color="auto"/>
              <w:right w:val="single" w:sz="8" w:space="0" w:color="auto"/>
            </w:tcBorders>
            <w:shd w:val="clear" w:color="auto" w:fill="auto"/>
          </w:tcPr>
          <w:p w14:paraId="18049C02" w14:textId="77777777" w:rsidR="0000551E" w:rsidRPr="009D0844" w:rsidRDefault="0000551E" w:rsidP="00153C10">
            <w:pPr>
              <w:rPr>
                <w:b/>
                <w:szCs w:val="22"/>
              </w:rPr>
            </w:pPr>
            <w:r w:rsidRPr="009D0844">
              <w:rPr>
                <w:b/>
                <w:szCs w:val="22"/>
              </w:rPr>
              <w:t>v Kč s DPH:</w:t>
            </w:r>
          </w:p>
        </w:tc>
      </w:tr>
      <w:tr w:rsidR="0000551E" w:rsidRPr="00F23D33" w14:paraId="1F923F03" w14:textId="77777777" w:rsidTr="008A35F6">
        <w:trPr>
          <w:trHeight w:hRule="exact" w:val="20"/>
        </w:trPr>
        <w:tc>
          <w:tcPr>
            <w:tcW w:w="1985" w:type="dxa"/>
            <w:tcBorders>
              <w:top w:val="single" w:sz="8" w:space="0" w:color="auto"/>
              <w:left w:val="dotted" w:sz="4" w:space="0" w:color="auto"/>
            </w:tcBorders>
            <w:shd w:val="clear" w:color="auto" w:fill="auto"/>
          </w:tcPr>
          <w:p w14:paraId="06557903" w14:textId="77777777" w:rsidR="0000551E" w:rsidRPr="009D0844" w:rsidRDefault="0000551E" w:rsidP="00153C10">
            <w:pPr>
              <w:rPr>
                <w:szCs w:val="22"/>
              </w:rPr>
            </w:pPr>
          </w:p>
        </w:tc>
        <w:tc>
          <w:tcPr>
            <w:tcW w:w="2551" w:type="dxa"/>
            <w:tcBorders>
              <w:top w:val="single" w:sz="8" w:space="0" w:color="auto"/>
              <w:left w:val="dotted" w:sz="4" w:space="0" w:color="auto"/>
            </w:tcBorders>
            <w:shd w:val="clear" w:color="auto" w:fill="auto"/>
          </w:tcPr>
          <w:p w14:paraId="18101307" w14:textId="77777777" w:rsidR="0000551E" w:rsidRPr="009D0844" w:rsidRDefault="0000551E" w:rsidP="00153C10">
            <w:pPr>
              <w:rPr>
                <w:szCs w:val="22"/>
              </w:rPr>
            </w:pPr>
          </w:p>
        </w:tc>
        <w:tc>
          <w:tcPr>
            <w:tcW w:w="1701" w:type="dxa"/>
            <w:tcBorders>
              <w:top w:val="single" w:sz="8" w:space="0" w:color="auto"/>
            </w:tcBorders>
            <w:shd w:val="clear" w:color="auto" w:fill="auto"/>
          </w:tcPr>
          <w:p w14:paraId="3BB6AA17" w14:textId="77777777" w:rsidR="0000551E" w:rsidRPr="009D0844" w:rsidRDefault="0000551E" w:rsidP="00153C10">
            <w:pPr>
              <w:rPr>
                <w:szCs w:val="22"/>
              </w:rPr>
            </w:pPr>
          </w:p>
        </w:tc>
        <w:tc>
          <w:tcPr>
            <w:tcW w:w="1701" w:type="dxa"/>
            <w:tcBorders>
              <w:top w:val="single" w:sz="8" w:space="0" w:color="auto"/>
            </w:tcBorders>
            <w:shd w:val="clear" w:color="auto" w:fill="auto"/>
          </w:tcPr>
          <w:p w14:paraId="69A8172F" w14:textId="77777777" w:rsidR="0000551E" w:rsidRPr="009D0844" w:rsidRDefault="0000551E" w:rsidP="00153C10">
            <w:pPr>
              <w:rPr>
                <w:szCs w:val="22"/>
              </w:rPr>
            </w:pPr>
          </w:p>
        </w:tc>
        <w:tc>
          <w:tcPr>
            <w:tcW w:w="1841" w:type="dxa"/>
            <w:tcBorders>
              <w:top w:val="single" w:sz="8" w:space="0" w:color="auto"/>
            </w:tcBorders>
            <w:shd w:val="clear" w:color="auto" w:fill="auto"/>
          </w:tcPr>
          <w:p w14:paraId="708E5650" w14:textId="77777777" w:rsidR="0000551E" w:rsidRPr="009D0844" w:rsidRDefault="0000551E" w:rsidP="00153C10">
            <w:pPr>
              <w:rPr>
                <w:szCs w:val="22"/>
              </w:rPr>
            </w:pPr>
          </w:p>
        </w:tc>
      </w:tr>
      <w:tr w:rsidR="002D2E5D" w:rsidRPr="00F23D33" w14:paraId="5E09DC97" w14:textId="77777777" w:rsidTr="008A35F6">
        <w:trPr>
          <w:trHeight w:val="397"/>
        </w:trPr>
        <w:tc>
          <w:tcPr>
            <w:tcW w:w="1985" w:type="dxa"/>
            <w:tcBorders>
              <w:top w:val="dotted" w:sz="4" w:space="0" w:color="auto"/>
              <w:left w:val="dotted" w:sz="4" w:space="0" w:color="auto"/>
            </w:tcBorders>
            <w:shd w:val="clear" w:color="auto" w:fill="auto"/>
          </w:tcPr>
          <w:p w14:paraId="48882AFC" w14:textId="77777777" w:rsidR="002D2E5D" w:rsidRPr="009D0844" w:rsidRDefault="002D2E5D" w:rsidP="002D2E5D">
            <w:pPr>
              <w:rPr>
                <w:szCs w:val="22"/>
              </w:rPr>
            </w:pPr>
          </w:p>
        </w:tc>
        <w:tc>
          <w:tcPr>
            <w:tcW w:w="2551" w:type="dxa"/>
            <w:tcBorders>
              <w:top w:val="dotted" w:sz="4" w:space="0" w:color="auto"/>
              <w:left w:val="dotted" w:sz="4" w:space="0" w:color="auto"/>
            </w:tcBorders>
            <w:shd w:val="clear" w:color="auto" w:fill="auto"/>
          </w:tcPr>
          <w:p w14:paraId="2AE5D7AB" w14:textId="77777777" w:rsidR="002D2E5D" w:rsidRPr="009D0844" w:rsidRDefault="002D2E5D" w:rsidP="002D2E5D">
            <w:pPr>
              <w:rPr>
                <w:szCs w:val="22"/>
              </w:rPr>
            </w:pPr>
            <w:r w:rsidRPr="003246E0">
              <w:t>Viz cenová nabídka v příloze č.01</w:t>
            </w:r>
          </w:p>
        </w:tc>
        <w:tc>
          <w:tcPr>
            <w:tcW w:w="1701" w:type="dxa"/>
            <w:tcBorders>
              <w:top w:val="dotted" w:sz="4" w:space="0" w:color="auto"/>
            </w:tcBorders>
            <w:shd w:val="clear" w:color="auto" w:fill="auto"/>
          </w:tcPr>
          <w:p w14:paraId="4E8F97F5" w14:textId="77777777" w:rsidR="002D2E5D" w:rsidRPr="009D0844" w:rsidRDefault="002D2E5D" w:rsidP="002D2E5D">
            <w:pPr>
              <w:rPr>
                <w:szCs w:val="22"/>
              </w:rPr>
            </w:pPr>
            <w:r>
              <w:rPr>
                <w:szCs w:val="22"/>
              </w:rPr>
              <w:t xml:space="preserve">    105,25</w:t>
            </w:r>
          </w:p>
        </w:tc>
        <w:tc>
          <w:tcPr>
            <w:tcW w:w="1701" w:type="dxa"/>
            <w:tcBorders>
              <w:top w:val="dotted" w:sz="4" w:space="0" w:color="auto"/>
            </w:tcBorders>
            <w:shd w:val="clear" w:color="auto" w:fill="auto"/>
          </w:tcPr>
          <w:p w14:paraId="75C56DDD" w14:textId="77777777" w:rsidR="002D2E5D" w:rsidRPr="009D0844" w:rsidRDefault="002D2E5D" w:rsidP="002D2E5D">
            <w:pPr>
              <w:rPr>
                <w:szCs w:val="22"/>
              </w:rPr>
            </w:pPr>
            <w:r w:rsidRPr="00A87927">
              <w:t xml:space="preserve"> 936 725,00</w:t>
            </w:r>
          </w:p>
        </w:tc>
        <w:tc>
          <w:tcPr>
            <w:tcW w:w="1841" w:type="dxa"/>
            <w:tcBorders>
              <w:top w:val="dotted" w:sz="4" w:space="0" w:color="auto"/>
            </w:tcBorders>
            <w:shd w:val="clear" w:color="auto" w:fill="auto"/>
          </w:tcPr>
          <w:p w14:paraId="3214ABA6" w14:textId="77777777" w:rsidR="002D2E5D" w:rsidRPr="009D0844" w:rsidRDefault="002D2E5D" w:rsidP="002D2E5D">
            <w:pPr>
              <w:rPr>
                <w:szCs w:val="22"/>
              </w:rPr>
            </w:pPr>
            <w:r w:rsidRPr="00A87927">
              <w:t>1 133 437,25</w:t>
            </w:r>
          </w:p>
        </w:tc>
      </w:tr>
      <w:tr w:rsidR="002D2E5D" w:rsidRPr="00F23D33" w14:paraId="267CEDB3" w14:textId="77777777" w:rsidTr="008A35F6">
        <w:trPr>
          <w:trHeight w:val="397"/>
        </w:trPr>
        <w:tc>
          <w:tcPr>
            <w:tcW w:w="4536" w:type="dxa"/>
            <w:gridSpan w:val="2"/>
            <w:tcBorders>
              <w:left w:val="dotted" w:sz="4" w:space="0" w:color="auto"/>
              <w:bottom w:val="dotted" w:sz="4" w:space="0" w:color="auto"/>
            </w:tcBorders>
            <w:shd w:val="clear" w:color="auto" w:fill="auto"/>
          </w:tcPr>
          <w:p w14:paraId="3B606C2A" w14:textId="77777777" w:rsidR="002D2E5D" w:rsidRPr="009D0844" w:rsidRDefault="002D2E5D" w:rsidP="002D2E5D">
            <w:pPr>
              <w:rPr>
                <w:b/>
                <w:szCs w:val="22"/>
              </w:rPr>
            </w:pPr>
            <w:r w:rsidRPr="003246E0">
              <w:t>Celkem:</w:t>
            </w:r>
          </w:p>
        </w:tc>
        <w:tc>
          <w:tcPr>
            <w:tcW w:w="1701" w:type="dxa"/>
            <w:tcBorders>
              <w:bottom w:val="dotted" w:sz="4" w:space="0" w:color="auto"/>
            </w:tcBorders>
            <w:shd w:val="clear" w:color="auto" w:fill="auto"/>
          </w:tcPr>
          <w:p w14:paraId="7D2262E4" w14:textId="77777777" w:rsidR="002D2E5D" w:rsidRPr="009D0844" w:rsidRDefault="002D2E5D" w:rsidP="002D2E5D">
            <w:pPr>
              <w:jc w:val="center"/>
              <w:rPr>
                <w:szCs w:val="22"/>
              </w:rPr>
            </w:pPr>
            <w:r>
              <w:rPr>
                <w:szCs w:val="22"/>
              </w:rPr>
              <w:t>105,25</w:t>
            </w:r>
          </w:p>
        </w:tc>
        <w:tc>
          <w:tcPr>
            <w:tcW w:w="1701" w:type="dxa"/>
            <w:tcBorders>
              <w:bottom w:val="dotted" w:sz="4" w:space="0" w:color="auto"/>
            </w:tcBorders>
            <w:shd w:val="clear" w:color="auto" w:fill="auto"/>
          </w:tcPr>
          <w:p w14:paraId="2B38CAA7" w14:textId="77777777" w:rsidR="002D2E5D" w:rsidRPr="009D0844" w:rsidRDefault="002D2E5D" w:rsidP="002D2E5D">
            <w:pPr>
              <w:rPr>
                <w:szCs w:val="22"/>
              </w:rPr>
            </w:pPr>
            <w:r w:rsidRPr="00A87927">
              <w:t xml:space="preserve"> 936 725,00</w:t>
            </w:r>
          </w:p>
        </w:tc>
        <w:tc>
          <w:tcPr>
            <w:tcW w:w="1841" w:type="dxa"/>
            <w:tcBorders>
              <w:bottom w:val="dotted" w:sz="4" w:space="0" w:color="auto"/>
            </w:tcBorders>
            <w:shd w:val="clear" w:color="auto" w:fill="auto"/>
          </w:tcPr>
          <w:p w14:paraId="3CC32C07" w14:textId="77777777" w:rsidR="002D2E5D" w:rsidRPr="009D0844" w:rsidRDefault="002D2E5D" w:rsidP="002D2E5D">
            <w:pPr>
              <w:rPr>
                <w:szCs w:val="22"/>
              </w:rPr>
            </w:pPr>
            <w:r w:rsidRPr="00A87927">
              <w:t>1 133 437,25</w:t>
            </w:r>
          </w:p>
        </w:tc>
      </w:tr>
    </w:tbl>
    <w:p w14:paraId="21B7A7BF" w14:textId="77777777" w:rsidR="0000551E" w:rsidRPr="00F23D33" w:rsidRDefault="0000551E" w:rsidP="00CC6780">
      <w:pPr>
        <w:spacing w:after="0"/>
        <w:rPr>
          <w:rFonts w:cs="Arial"/>
          <w:sz w:val="8"/>
          <w:szCs w:val="8"/>
        </w:rPr>
      </w:pPr>
    </w:p>
    <w:p w14:paraId="1DAB1B50"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48438622" w14:textId="77777777" w:rsidR="0000551E" w:rsidRPr="00110ED2" w:rsidRDefault="0000551E" w:rsidP="00181484"/>
    <w:p w14:paraId="617D976C" w14:textId="77777777" w:rsidR="00926D78" w:rsidRPr="004C756F" w:rsidRDefault="00926D78" w:rsidP="00CB3C3C"/>
    <w:p w14:paraId="2A26F89B" w14:textId="77777777"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Fonts w:cs="Arial"/>
          <w:b w:val="0"/>
          <w:sz w:val="22"/>
          <w:szCs w:val="22"/>
        </w:rPr>
        <w:endnoteReference w:id="23"/>
      </w:r>
    </w:p>
    <w:p w14:paraId="341C1B24" w14:textId="77777777" w:rsidR="002B12D5" w:rsidRPr="004C756F" w:rsidRDefault="002B12D5" w:rsidP="0085506E">
      <w:pPr>
        <w:spacing w:after="0"/>
      </w:pPr>
    </w:p>
    <w:p w14:paraId="3549FCD6"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4"/>
      </w:r>
    </w:p>
    <w:p w14:paraId="72755F87" w14:textId="77777777" w:rsidR="00DB087F" w:rsidRPr="00A219DB" w:rsidRDefault="00DB087F" w:rsidP="00DB087F">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w:t>
      </w:r>
      <w:proofErr w:type="spellStart"/>
      <w:r w:rsidRPr="00A219DB">
        <w:rPr>
          <w:rFonts w:cs="Arial"/>
        </w:rPr>
        <w:t>MZe</w:t>
      </w:r>
      <w:proofErr w:type="spellEnd"/>
      <w:r w:rsidRPr="00A219DB">
        <w:rPr>
          <w:rFonts w:cs="Arial"/>
        </w:rPr>
        <w:t xml:space="preserve"> </w:t>
      </w:r>
      <w:r w:rsidRPr="00A219DB">
        <w:rPr>
          <w:rFonts w:cs="Arial"/>
          <w:lang w:eastAsia="cs-CZ"/>
        </w:rPr>
        <w:t xml:space="preserve">a doporučují změnu k realizaci. </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2372"/>
        <w:gridCol w:w="2372"/>
      </w:tblGrid>
      <w:tr w:rsidR="00F23659" w:rsidRPr="00194CEC" w14:paraId="6F45812E" w14:textId="77777777" w:rsidTr="00157603">
        <w:trPr>
          <w:trHeight w:val="374"/>
        </w:trPr>
        <w:tc>
          <w:tcPr>
            <w:tcW w:w="2547" w:type="dxa"/>
            <w:shd w:val="clear" w:color="auto" w:fill="auto"/>
            <w:vAlign w:val="center"/>
          </w:tcPr>
          <w:p w14:paraId="1BDEAA51" w14:textId="77777777" w:rsidR="00F23659" w:rsidRPr="009D0844" w:rsidRDefault="00F23659" w:rsidP="00153C10">
            <w:pPr>
              <w:rPr>
                <w:b/>
              </w:rPr>
            </w:pPr>
            <w:r w:rsidRPr="009D0844">
              <w:rPr>
                <w:b/>
              </w:rPr>
              <w:t>Role</w:t>
            </w:r>
          </w:p>
        </w:tc>
        <w:tc>
          <w:tcPr>
            <w:tcW w:w="2371" w:type="dxa"/>
            <w:shd w:val="clear" w:color="auto" w:fill="auto"/>
            <w:vAlign w:val="center"/>
          </w:tcPr>
          <w:p w14:paraId="4838AB09" w14:textId="77777777" w:rsidR="00F23659" w:rsidRPr="009D0844" w:rsidRDefault="00F23659" w:rsidP="00153C10">
            <w:pPr>
              <w:rPr>
                <w:b/>
              </w:rPr>
            </w:pPr>
            <w:r w:rsidRPr="009D0844">
              <w:rPr>
                <w:b/>
              </w:rPr>
              <w:t>Jméno</w:t>
            </w:r>
          </w:p>
        </w:tc>
        <w:tc>
          <w:tcPr>
            <w:tcW w:w="4744" w:type="dxa"/>
            <w:gridSpan w:val="2"/>
            <w:shd w:val="clear" w:color="auto" w:fill="auto"/>
            <w:vAlign w:val="center"/>
          </w:tcPr>
          <w:p w14:paraId="15765834" w14:textId="77777777" w:rsidR="00F23659" w:rsidRPr="009D0844" w:rsidRDefault="00F23659" w:rsidP="00153C10">
            <w:pPr>
              <w:rPr>
                <w:b/>
              </w:rPr>
            </w:pPr>
            <w:r w:rsidRPr="009D0844">
              <w:rPr>
                <w:b/>
              </w:rPr>
              <w:t>Datum</w:t>
            </w:r>
          </w:p>
          <w:p w14:paraId="29103ECA" w14:textId="48D45965" w:rsidR="00F23659" w:rsidRPr="009D0844" w:rsidRDefault="00F23659" w:rsidP="00153C10">
            <w:pPr>
              <w:rPr>
                <w:b/>
              </w:rPr>
            </w:pPr>
            <w:r w:rsidRPr="009D0844">
              <w:rPr>
                <w:b/>
              </w:rPr>
              <w:t>Podpis/Mail</w:t>
            </w:r>
            <w:r w:rsidRPr="009D0844">
              <w:rPr>
                <w:b/>
              </w:rPr>
              <w:endnoteReference w:id="25"/>
            </w:r>
          </w:p>
        </w:tc>
      </w:tr>
      <w:tr w:rsidR="00F23659" w14:paraId="471260FB" w14:textId="77777777" w:rsidTr="00F23659">
        <w:trPr>
          <w:trHeight w:val="612"/>
        </w:trPr>
        <w:tc>
          <w:tcPr>
            <w:tcW w:w="2547" w:type="dxa"/>
            <w:shd w:val="clear" w:color="auto" w:fill="auto"/>
            <w:vAlign w:val="center"/>
          </w:tcPr>
          <w:p w14:paraId="5879AB95" w14:textId="77777777" w:rsidR="00F23659" w:rsidRDefault="00F23659" w:rsidP="00153C10">
            <w:r>
              <w:t>Bezpečnostní garant</w:t>
            </w:r>
          </w:p>
        </w:tc>
        <w:tc>
          <w:tcPr>
            <w:tcW w:w="2371" w:type="dxa"/>
            <w:shd w:val="clear" w:color="auto" w:fill="auto"/>
            <w:vAlign w:val="center"/>
          </w:tcPr>
          <w:p w14:paraId="4EB8664B" w14:textId="041799AE" w:rsidR="00F23659" w:rsidRDefault="00F23659" w:rsidP="00153C10">
            <w:r>
              <w:t>Roman Smetana</w:t>
            </w:r>
          </w:p>
        </w:tc>
        <w:tc>
          <w:tcPr>
            <w:tcW w:w="4744" w:type="dxa"/>
            <w:gridSpan w:val="2"/>
            <w:shd w:val="clear" w:color="auto" w:fill="auto"/>
            <w:vAlign w:val="center"/>
          </w:tcPr>
          <w:p w14:paraId="135BE2A4" w14:textId="77777777" w:rsidR="00F23659" w:rsidRDefault="00F23659" w:rsidP="00153C10"/>
        </w:tc>
      </w:tr>
      <w:tr w:rsidR="00F23659" w14:paraId="65C6B3EE" w14:textId="77777777" w:rsidTr="00F23659">
        <w:trPr>
          <w:trHeight w:val="663"/>
        </w:trPr>
        <w:tc>
          <w:tcPr>
            <w:tcW w:w="2547" w:type="dxa"/>
            <w:shd w:val="clear" w:color="auto" w:fill="auto"/>
            <w:vAlign w:val="center"/>
          </w:tcPr>
          <w:p w14:paraId="271F47E4" w14:textId="77777777" w:rsidR="00F23659" w:rsidRDefault="00F23659" w:rsidP="00153C10">
            <w:r>
              <w:t>Provozní garant</w:t>
            </w:r>
          </w:p>
        </w:tc>
        <w:tc>
          <w:tcPr>
            <w:tcW w:w="2371" w:type="dxa"/>
            <w:shd w:val="clear" w:color="auto" w:fill="auto"/>
            <w:vAlign w:val="center"/>
          </w:tcPr>
          <w:p w14:paraId="7615ACF9" w14:textId="77777777" w:rsidR="00F23659" w:rsidRDefault="00F23659" w:rsidP="00153C10">
            <w:r>
              <w:t>Ivo Jančík</w:t>
            </w:r>
          </w:p>
        </w:tc>
        <w:tc>
          <w:tcPr>
            <w:tcW w:w="4744" w:type="dxa"/>
            <w:gridSpan w:val="2"/>
            <w:shd w:val="clear" w:color="auto" w:fill="auto"/>
            <w:vAlign w:val="center"/>
          </w:tcPr>
          <w:p w14:paraId="7D8155D4" w14:textId="77777777" w:rsidR="00F23659" w:rsidRDefault="00F23659" w:rsidP="00153C10"/>
        </w:tc>
      </w:tr>
      <w:tr w:rsidR="0000551E" w14:paraId="78C07976" w14:textId="77777777" w:rsidTr="00CB625B">
        <w:trPr>
          <w:trHeight w:val="510"/>
        </w:trPr>
        <w:tc>
          <w:tcPr>
            <w:tcW w:w="2547" w:type="dxa"/>
            <w:shd w:val="clear" w:color="auto" w:fill="auto"/>
            <w:vAlign w:val="center"/>
          </w:tcPr>
          <w:p w14:paraId="12F18C80" w14:textId="77777777" w:rsidR="0000551E" w:rsidRDefault="0000551E" w:rsidP="00153C10">
            <w:r>
              <w:t>Architekt</w:t>
            </w:r>
          </w:p>
        </w:tc>
        <w:tc>
          <w:tcPr>
            <w:tcW w:w="2371" w:type="dxa"/>
            <w:shd w:val="clear" w:color="auto" w:fill="auto"/>
            <w:vAlign w:val="center"/>
          </w:tcPr>
          <w:p w14:paraId="57A7D893" w14:textId="77777777" w:rsidR="0000551E" w:rsidRDefault="0000551E" w:rsidP="00153C10"/>
        </w:tc>
        <w:tc>
          <w:tcPr>
            <w:tcW w:w="2372" w:type="dxa"/>
            <w:shd w:val="clear" w:color="auto" w:fill="auto"/>
            <w:vAlign w:val="center"/>
          </w:tcPr>
          <w:p w14:paraId="5D2C6394" w14:textId="77777777" w:rsidR="0000551E" w:rsidRDefault="0000551E" w:rsidP="00153C10"/>
        </w:tc>
        <w:tc>
          <w:tcPr>
            <w:tcW w:w="2372" w:type="dxa"/>
            <w:shd w:val="clear" w:color="auto" w:fill="auto"/>
            <w:vAlign w:val="center"/>
          </w:tcPr>
          <w:p w14:paraId="0AF51F5A" w14:textId="77777777" w:rsidR="0000551E" w:rsidRDefault="0000551E" w:rsidP="00153C10"/>
        </w:tc>
      </w:tr>
    </w:tbl>
    <w:p w14:paraId="0B00A5CC" w14:textId="77777777" w:rsidR="0000551E" w:rsidRDefault="0000551E" w:rsidP="00E921FF">
      <w:pPr>
        <w:spacing w:before="60"/>
      </w:pPr>
      <w:r w:rsidRPr="00CB625B">
        <w:rPr>
          <w:sz w:val="16"/>
        </w:rPr>
        <w:t>(Pozn.:</w:t>
      </w:r>
      <w:r w:rsidRPr="00110ED2">
        <w:t xml:space="preserve"> </w:t>
      </w:r>
      <w:proofErr w:type="spellStart"/>
      <w:r w:rsidR="00E921FF" w:rsidRPr="00DE7ACF">
        <w:rPr>
          <w:sz w:val="16"/>
          <w:szCs w:val="16"/>
        </w:rPr>
        <w:t>RfC</w:t>
      </w:r>
      <w:proofErr w:type="spellEnd"/>
      <w:r w:rsidR="00E921FF"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proofErr w:type="spellStart"/>
      <w:r w:rsidR="00E921FF" w:rsidRPr="00DE7ACF">
        <w:rPr>
          <w:sz w:val="16"/>
          <w:szCs w:val="16"/>
        </w:rPr>
        <w:t>Change</w:t>
      </w:r>
      <w:proofErr w:type="spellEnd"/>
      <w:r w:rsidR="00E921FF" w:rsidRPr="00DE7ACF">
        <w:rPr>
          <w:sz w:val="16"/>
          <w:szCs w:val="16"/>
        </w:rPr>
        <w:t xml:space="preserve"> koordinátor rozhodne, od koho vyžádat posouzení dle konkrétního případu změnového požadavku.)</w:t>
      </w:r>
    </w:p>
    <w:p w14:paraId="32E53563" w14:textId="1268EAB1" w:rsidR="0000551E" w:rsidRDefault="0000551E" w:rsidP="00BD6765"/>
    <w:p w14:paraId="5E004EF6" w14:textId="6B03AD3E" w:rsidR="00CE35CE" w:rsidRDefault="00CE35CE" w:rsidP="00BD6765"/>
    <w:p w14:paraId="071A109F" w14:textId="51A4CA96" w:rsidR="00CE35CE" w:rsidRDefault="00CE35CE" w:rsidP="00BD6765"/>
    <w:p w14:paraId="39FCC624" w14:textId="24D53221" w:rsidR="00CE35CE" w:rsidRDefault="00CE35CE" w:rsidP="00BD6765"/>
    <w:p w14:paraId="21F0EB6A" w14:textId="1E8057C9" w:rsidR="00CE35CE" w:rsidRDefault="00CE35CE" w:rsidP="00BD6765"/>
    <w:p w14:paraId="3CB4754A" w14:textId="6496EC3E" w:rsidR="00CE35CE" w:rsidRDefault="00CE35CE" w:rsidP="00BD6765"/>
    <w:p w14:paraId="0CF1E922" w14:textId="6FB12FE8" w:rsidR="00CE35CE" w:rsidRDefault="00CE35CE" w:rsidP="00BD6765"/>
    <w:p w14:paraId="7B87C725" w14:textId="6A651A88" w:rsidR="00CE35CE" w:rsidRDefault="00CE35CE" w:rsidP="00BD6765"/>
    <w:p w14:paraId="43B7C2C0" w14:textId="77777777" w:rsidR="00CE35CE" w:rsidRDefault="00CE35CE" w:rsidP="00BD6765"/>
    <w:p w14:paraId="1E3DEC3C" w14:textId="77777777" w:rsidR="0000551E" w:rsidRDefault="0000551E" w:rsidP="00875247">
      <w:pPr>
        <w:rPr>
          <w:rFonts w:cs="Arial"/>
          <w:szCs w:val="22"/>
        </w:rPr>
      </w:pPr>
    </w:p>
    <w:p w14:paraId="489C8865"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lastRenderedPageBreak/>
        <w:t>Schválení</w:t>
      </w:r>
    </w:p>
    <w:p w14:paraId="38297949" w14:textId="66C5EE20" w:rsidR="00DB087F" w:rsidRDefault="002D2E5D" w:rsidP="00DB087F">
      <w:pPr>
        <w:spacing w:before="60"/>
        <w:rPr>
          <w:szCs w:val="22"/>
        </w:rPr>
      </w:pPr>
      <w:r>
        <w:rPr>
          <w:szCs w:val="22"/>
        </w:rPr>
        <w:t>Žadatel</w:t>
      </w:r>
      <w:r w:rsidR="00DB087F" w:rsidRPr="00C617F0">
        <w:rPr>
          <w:szCs w:val="22"/>
        </w:rPr>
        <w:t xml:space="preserve"> garant</w:t>
      </w:r>
      <w:r w:rsidR="00DB087F">
        <w:rPr>
          <w:szCs w:val="22"/>
        </w:rPr>
        <w:t xml:space="preserve"> svým podpisem potvrzuje svůj požadavek na realizaci změny za cenu uvedenou v </w:t>
      </w:r>
      <w:proofErr w:type="gramStart"/>
      <w:r w:rsidR="00DB087F">
        <w:rPr>
          <w:szCs w:val="22"/>
        </w:rPr>
        <w:t xml:space="preserve">bodu </w:t>
      </w:r>
      <w:r w:rsidR="00853C6F">
        <w:rPr>
          <w:szCs w:val="22"/>
        </w:rPr>
        <w:t xml:space="preserve"> 5</w:t>
      </w:r>
      <w:proofErr w:type="gramEnd"/>
      <w:r w:rsidR="00853C6F">
        <w:rPr>
          <w:szCs w:val="22"/>
        </w:rPr>
        <w:t xml:space="preserve"> </w:t>
      </w:r>
      <w:r w:rsidR="00DB087F">
        <w:rPr>
          <w:szCs w:val="22"/>
        </w:rPr>
        <w:t xml:space="preserve">- </w:t>
      </w:r>
      <w:r w:rsidR="00DB087F" w:rsidRPr="00EB2D4C">
        <w:rPr>
          <w:szCs w:val="22"/>
        </w:rPr>
        <w:t>Pracnost a cenová nabídka navrhovaného řešení</w:t>
      </w:r>
      <w:r w:rsidR="00DB087F">
        <w:rPr>
          <w:szCs w:val="22"/>
        </w:rPr>
        <w:t>.</w:t>
      </w:r>
    </w:p>
    <w:p w14:paraId="2A1EC342" w14:textId="77777777" w:rsidR="00DB087F" w:rsidRPr="00DB087F" w:rsidRDefault="00DB087F" w:rsidP="00DB087F"/>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22"/>
        <w:gridCol w:w="3571"/>
      </w:tblGrid>
      <w:tr w:rsidR="00F23659" w:rsidRPr="00194CEC" w14:paraId="7FEEAE33" w14:textId="77777777" w:rsidTr="006C6A0E">
        <w:trPr>
          <w:trHeight w:val="374"/>
        </w:trPr>
        <w:tc>
          <w:tcPr>
            <w:tcW w:w="3369" w:type="dxa"/>
            <w:shd w:val="clear" w:color="auto" w:fill="auto"/>
            <w:vAlign w:val="center"/>
          </w:tcPr>
          <w:p w14:paraId="7935775E" w14:textId="77777777" w:rsidR="00F23659" w:rsidRPr="009D0844" w:rsidRDefault="00F23659" w:rsidP="00371CE8">
            <w:pPr>
              <w:rPr>
                <w:b/>
              </w:rPr>
            </w:pPr>
            <w:r w:rsidRPr="009D0844">
              <w:rPr>
                <w:b/>
              </w:rPr>
              <w:t>Role</w:t>
            </w:r>
          </w:p>
        </w:tc>
        <w:tc>
          <w:tcPr>
            <w:tcW w:w="2722" w:type="dxa"/>
            <w:shd w:val="clear" w:color="auto" w:fill="auto"/>
            <w:vAlign w:val="center"/>
          </w:tcPr>
          <w:p w14:paraId="13313A6D" w14:textId="77777777" w:rsidR="00F23659" w:rsidRPr="009D0844" w:rsidRDefault="00F23659" w:rsidP="00371CE8">
            <w:pPr>
              <w:rPr>
                <w:b/>
              </w:rPr>
            </w:pPr>
            <w:r w:rsidRPr="009D0844">
              <w:rPr>
                <w:b/>
              </w:rPr>
              <w:t>Jméno</w:t>
            </w:r>
          </w:p>
        </w:tc>
        <w:tc>
          <w:tcPr>
            <w:tcW w:w="3571" w:type="dxa"/>
            <w:shd w:val="clear" w:color="auto" w:fill="auto"/>
            <w:vAlign w:val="center"/>
          </w:tcPr>
          <w:p w14:paraId="409B9BB5" w14:textId="77777777" w:rsidR="00F23659" w:rsidRPr="009D0844" w:rsidRDefault="00F23659" w:rsidP="00371CE8">
            <w:pPr>
              <w:rPr>
                <w:b/>
              </w:rPr>
            </w:pPr>
            <w:r w:rsidRPr="009D0844">
              <w:rPr>
                <w:b/>
              </w:rPr>
              <w:t>Datum</w:t>
            </w:r>
          </w:p>
          <w:p w14:paraId="749B2BDD" w14:textId="5A7B2086" w:rsidR="00F23659" w:rsidRPr="009D0844" w:rsidRDefault="00F23659" w:rsidP="00371CE8">
            <w:pPr>
              <w:rPr>
                <w:b/>
              </w:rPr>
            </w:pPr>
            <w:r w:rsidRPr="009D0844">
              <w:rPr>
                <w:b/>
              </w:rPr>
              <w:t>Podpis</w:t>
            </w:r>
          </w:p>
        </w:tc>
      </w:tr>
      <w:tr w:rsidR="00F23659" w14:paraId="04645C8F" w14:textId="77777777" w:rsidTr="00F23659">
        <w:trPr>
          <w:trHeight w:val="688"/>
        </w:trPr>
        <w:tc>
          <w:tcPr>
            <w:tcW w:w="3369" w:type="dxa"/>
            <w:shd w:val="clear" w:color="auto" w:fill="auto"/>
            <w:vAlign w:val="center"/>
          </w:tcPr>
          <w:p w14:paraId="029DD08B" w14:textId="77777777" w:rsidR="00F23659" w:rsidRDefault="00F23659" w:rsidP="00371CE8">
            <w:r>
              <w:t>Žadatel/věcný garant</w:t>
            </w:r>
          </w:p>
        </w:tc>
        <w:tc>
          <w:tcPr>
            <w:tcW w:w="2722" w:type="dxa"/>
            <w:shd w:val="clear" w:color="auto" w:fill="auto"/>
            <w:vAlign w:val="center"/>
          </w:tcPr>
          <w:p w14:paraId="7B561B44" w14:textId="77777777" w:rsidR="00F23659" w:rsidRDefault="00F23659" w:rsidP="00371CE8">
            <w:r>
              <w:t>David Kuna</w:t>
            </w:r>
          </w:p>
        </w:tc>
        <w:tc>
          <w:tcPr>
            <w:tcW w:w="3571" w:type="dxa"/>
            <w:shd w:val="clear" w:color="auto" w:fill="auto"/>
            <w:vAlign w:val="center"/>
          </w:tcPr>
          <w:p w14:paraId="70017EA4" w14:textId="77777777" w:rsidR="00F23659" w:rsidRDefault="00F23659" w:rsidP="00371CE8"/>
        </w:tc>
      </w:tr>
      <w:tr w:rsidR="00F23659" w14:paraId="64E99EB2" w14:textId="77777777" w:rsidTr="00F23659">
        <w:trPr>
          <w:trHeight w:val="724"/>
        </w:trPr>
        <w:tc>
          <w:tcPr>
            <w:tcW w:w="3369" w:type="dxa"/>
            <w:shd w:val="clear" w:color="auto" w:fill="auto"/>
            <w:vAlign w:val="center"/>
          </w:tcPr>
          <w:p w14:paraId="193F7A8C" w14:textId="77777777" w:rsidR="00F23659" w:rsidRDefault="00F23659" w:rsidP="00371CE8">
            <w:proofErr w:type="spellStart"/>
            <w:r>
              <w:t>Change</w:t>
            </w:r>
            <w:proofErr w:type="spellEnd"/>
            <w:r>
              <w:t xml:space="preserve"> koordinátor</w:t>
            </w:r>
          </w:p>
        </w:tc>
        <w:tc>
          <w:tcPr>
            <w:tcW w:w="2722" w:type="dxa"/>
            <w:shd w:val="clear" w:color="auto" w:fill="auto"/>
            <w:vAlign w:val="center"/>
          </w:tcPr>
          <w:p w14:paraId="334D00DC" w14:textId="77777777" w:rsidR="00F23659" w:rsidRDefault="00F23659" w:rsidP="00371CE8">
            <w:r>
              <w:t>Jiří Bukovský</w:t>
            </w:r>
          </w:p>
        </w:tc>
        <w:tc>
          <w:tcPr>
            <w:tcW w:w="3571" w:type="dxa"/>
            <w:shd w:val="clear" w:color="auto" w:fill="auto"/>
            <w:vAlign w:val="center"/>
          </w:tcPr>
          <w:p w14:paraId="68A033A1" w14:textId="77777777" w:rsidR="00F23659" w:rsidRDefault="00F23659" w:rsidP="00371CE8"/>
        </w:tc>
      </w:tr>
      <w:tr w:rsidR="00F23659" w14:paraId="4A7A1CDB" w14:textId="77777777" w:rsidTr="00F23659">
        <w:trPr>
          <w:trHeight w:val="794"/>
        </w:trPr>
        <w:tc>
          <w:tcPr>
            <w:tcW w:w="3369" w:type="dxa"/>
            <w:shd w:val="clear" w:color="auto" w:fill="auto"/>
            <w:vAlign w:val="center"/>
          </w:tcPr>
          <w:p w14:paraId="717A127D" w14:textId="77777777" w:rsidR="00F23659" w:rsidRDefault="00F23659" w:rsidP="0085497D">
            <w:r>
              <w:t>Oprávněná osoba dle smlouvy</w:t>
            </w:r>
          </w:p>
        </w:tc>
        <w:tc>
          <w:tcPr>
            <w:tcW w:w="2722" w:type="dxa"/>
            <w:shd w:val="clear" w:color="auto" w:fill="auto"/>
            <w:vAlign w:val="center"/>
          </w:tcPr>
          <w:p w14:paraId="732440F7" w14:textId="77777777" w:rsidR="00F23659" w:rsidRDefault="00F23659" w:rsidP="00371CE8">
            <w:r>
              <w:t>Vladimír Velas</w:t>
            </w:r>
          </w:p>
        </w:tc>
        <w:tc>
          <w:tcPr>
            <w:tcW w:w="3571" w:type="dxa"/>
            <w:shd w:val="clear" w:color="auto" w:fill="auto"/>
            <w:vAlign w:val="center"/>
          </w:tcPr>
          <w:p w14:paraId="50CC58DE" w14:textId="77777777" w:rsidR="00F23659" w:rsidRDefault="00F23659" w:rsidP="00371CE8"/>
        </w:tc>
      </w:tr>
    </w:tbl>
    <w:p w14:paraId="49B1E017"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47EEA6B9" w14:textId="77777777" w:rsidR="00C91707" w:rsidRDefault="00C91707" w:rsidP="00E921FF">
      <w:pPr>
        <w:spacing w:before="60"/>
        <w:rPr>
          <w:sz w:val="16"/>
          <w:szCs w:val="16"/>
        </w:rPr>
      </w:pPr>
    </w:p>
    <w:p w14:paraId="297EF547" w14:textId="77777777" w:rsidR="00C91707" w:rsidRDefault="00C91707" w:rsidP="00E921FF">
      <w:pPr>
        <w:spacing w:before="60"/>
        <w:rPr>
          <w:sz w:val="16"/>
          <w:szCs w:val="16"/>
        </w:rPr>
      </w:pPr>
    </w:p>
    <w:p w14:paraId="0694781E" w14:textId="77777777" w:rsidR="00C91707" w:rsidRDefault="00C91707">
      <w:pPr>
        <w:spacing w:after="0"/>
        <w:rPr>
          <w:sz w:val="16"/>
          <w:szCs w:val="16"/>
        </w:rPr>
      </w:pPr>
      <w:r>
        <w:rPr>
          <w:sz w:val="16"/>
          <w:szCs w:val="16"/>
        </w:rPr>
        <w:br w:type="page"/>
      </w:r>
    </w:p>
    <w:p w14:paraId="08D0C9C7" w14:textId="77777777" w:rsidR="00C91707" w:rsidRDefault="00C91707" w:rsidP="00E921FF">
      <w:pPr>
        <w:spacing w:before="60"/>
        <w:rPr>
          <w:sz w:val="16"/>
          <w:szCs w:val="16"/>
        </w:rPr>
        <w:sectPr w:rsidR="00C91707" w:rsidSect="00223FDB">
          <w:footerReference w:type="default" r:id="rId13"/>
          <w:pgSz w:w="11906" w:h="16838" w:code="9"/>
          <w:pgMar w:top="1560" w:right="1418" w:bottom="1134" w:left="992" w:header="567" w:footer="567" w:gutter="0"/>
          <w:pgNumType w:start="1"/>
          <w:cols w:space="708"/>
          <w:docGrid w:linePitch="360"/>
        </w:sectPr>
      </w:pPr>
    </w:p>
    <w:p w14:paraId="4CD99795" w14:textId="77777777" w:rsidR="0000551E" w:rsidRDefault="0000551E" w:rsidP="00110ED2">
      <w:pPr>
        <w:pStyle w:val="Nadpis1"/>
        <w:numPr>
          <w:ilvl w:val="0"/>
          <w:numId w:val="0"/>
        </w:numPr>
        <w:tabs>
          <w:tab w:val="clear" w:pos="540"/>
        </w:tabs>
        <w:rPr>
          <w:rFonts w:cs="Arial"/>
        </w:rPr>
      </w:pPr>
      <w:r w:rsidRPr="00340225">
        <w:rPr>
          <w:rFonts w:cs="Arial"/>
        </w:rPr>
        <w:lastRenderedPageBreak/>
        <w:t>Vysvětlivky</w:t>
      </w:r>
    </w:p>
    <w:sectPr w:rsidR="0000551E" w:rsidSect="00440CB4">
      <w:footerReference w:type="default" r:id="rId1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64214" w14:textId="77777777" w:rsidR="00534768" w:rsidRDefault="00534768" w:rsidP="0000551E">
      <w:pPr>
        <w:spacing w:after="0"/>
      </w:pPr>
      <w:r>
        <w:separator/>
      </w:r>
    </w:p>
  </w:endnote>
  <w:endnote w:type="continuationSeparator" w:id="0">
    <w:p w14:paraId="0760C4B0" w14:textId="77777777" w:rsidR="00534768" w:rsidRDefault="00534768" w:rsidP="0000551E">
      <w:pPr>
        <w:spacing w:after="0"/>
      </w:pPr>
      <w:r>
        <w:continuationSeparator/>
      </w:r>
    </w:p>
  </w:endnote>
  <w:endnote w:type="continuationNotice" w:id="1">
    <w:p w14:paraId="3B4D5083" w14:textId="77777777" w:rsidR="00534768" w:rsidRDefault="00534768">
      <w:pPr>
        <w:spacing w:after="0"/>
      </w:pPr>
    </w:p>
  </w:endnote>
  <w:endnote w:id="2">
    <w:p w14:paraId="43D5019C" w14:textId="77777777" w:rsidR="00EC50EF" w:rsidRPr="00E56B5D" w:rsidRDefault="00EC50EF" w:rsidP="008F29B6">
      <w:pPr>
        <w:ind w:left="142" w:hanging="142"/>
        <w:rPr>
          <w:rFonts w:cs="Arial"/>
          <w:sz w:val="18"/>
          <w:szCs w:val="18"/>
        </w:rPr>
      </w:pPr>
      <w:r w:rsidRPr="00340225">
        <w:rPr>
          <w:rFonts w:cs="Arial"/>
          <w:sz w:val="18"/>
          <w:szCs w:val="18"/>
        </w:rPr>
        <w:endnoteRef/>
      </w:r>
      <w:r w:rsidRPr="00340225">
        <w:rPr>
          <w:rFonts w:cs="Arial"/>
          <w:sz w:val="18"/>
          <w:szCs w:val="18"/>
        </w:rPr>
        <w:t xml:space="preserve"> </w:t>
      </w:r>
      <w:r w:rsidRPr="00E56B5D">
        <w:rPr>
          <w:rFonts w:cs="Arial"/>
          <w:sz w:val="18"/>
          <w:szCs w:val="18"/>
        </w:rPr>
        <w:t xml:space="preserve">Formulář </w:t>
      </w:r>
      <w:proofErr w:type="spellStart"/>
      <w:r w:rsidRPr="00E56B5D">
        <w:rPr>
          <w:rFonts w:cs="Arial"/>
          <w:sz w:val="18"/>
          <w:szCs w:val="18"/>
        </w:rPr>
        <w:t>RfC</w:t>
      </w:r>
      <w:proofErr w:type="spellEnd"/>
      <w:r w:rsidRPr="00E56B5D">
        <w:rPr>
          <w:rFonts w:cs="Arial"/>
          <w:sz w:val="18"/>
          <w:szCs w:val="18"/>
        </w:rPr>
        <w:t xml:space="preserve"> je tvořen třemi částmi, </w:t>
      </w:r>
      <w:proofErr w:type="gramStart"/>
      <w:r w:rsidRPr="00E56B5D">
        <w:rPr>
          <w:rFonts w:cs="Arial"/>
          <w:sz w:val="18"/>
          <w:szCs w:val="18"/>
        </w:rPr>
        <w:t>A - Věcné</w:t>
      </w:r>
      <w:proofErr w:type="gramEnd"/>
      <w:r w:rsidRPr="00E56B5D">
        <w:rPr>
          <w:rFonts w:cs="Arial"/>
          <w:sz w:val="18"/>
          <w:szCs w:val="18"/>
        </w:rPr>
        <w:t xml:space="preserve"> zadání, B – Nabídka řešení, C - Potvrzení realizace požadavku. První část (Věcné zadání) je předložena poskytovateli/dodavateli jako pobídka k předložení nabídky řešení. Druhou část, tj. část B použije dodavatel řešení k vypracování nabídky, kterou předloží </w:t>
      </w:r>
      <w:proofErr w:type="spellStart"/>
      <w:r w:rsidRPr="00E56B5D">
        <w:rPr>
          <w:rFonts w:cs="Arial"/>
          <w:sz w:val="18"/>
          <w:szCs w:val="18"/>
        </w:rPr>
        <w:t>MZe</w:t>
      </w:r>
      <w:proofErr w:type="spellEnd"/>
      <w:r w:rsidRPr="00E56B5D">
        <w:rPr>
          <w:rFonts w:cs="Arial"/>
          <w:sz w:val="18"/>
          <w:szCs w:val="18"/>
        </w:rPr>
        <w:t xml:space="preserve">. Třetí část (Potvrzení realizace požadavku) se po vyplnění přiloží k první a druhé části a 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pokynem pro dodavatele/poskytovatele k realizaci změny.</w:t>
      </w:r>
    </w:p>
  </w:endnote>
  <w:endnote w:id="3">
    <w:p w14:paraId="5DABA200" w14:textId="77777777" w:rsidR="00EC50EF" w:rsidRPr="00E56B5D" w:rsidRDefault="00EC50EF" w:rsidP="008E77F3">
      <w:pPr>
        <w:rPr>
          <w:rFonts w:cs="Arial"/>
          <w:sz w:val="18"/>
          <w:szCs w:val="18"/>
        </w:rPr>
      </w:pPr>
      <w:r w:rsidRPr="00E56B5D">
        <w:rPr>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4">
    <w:p w14:paraId="1C72BC29" w14:textId="77777777" w:rsidR="00EC50EF" w:rsidRPr="00E56B5D" w:rsidRDefault="00EC50EF" w:rsidP="00A5471A">
      <w:pPr>
        <w:ind w:left="142" w:hanging="142"/>
        <w:rPr>
          <w:rFonts w:cs="Arial"/>
          <w:sz w:val="18"/>
          <w:szCs w:val="18"/>
        </w:rPr>
      </w:pPr>
      <w:r w:rsidRPr="00E56B5D">
        <w:rPr>
          <w:rFonts w:cs="Arial"/>
          <w:sz w:val="18"/>
          <w:szCs w:val="18"/>
        </w:rPr>
        <w:endnoteRef/>
      </w:r>
      <w:r w:rsidRPr="00E56B5D">
        <w:rPr>
          <w:rFonts w:cs="Arial"/>
          <w:sz w:val="18"/>
          <w:szCs w:val="18"/>
        </w:rPr>
        <w:t xml:space="preserve"> Předmět změny – stručná informace, název požadavku</w:t>
      </w:r>
    </w:p>
  </w:endnote>
  <w:endnote w:id="5">
    <w:p w14:paraId="78A9226B" w14:textId="77777777" w:rsidR="00EC50EF" w:rsidRPr="00E56B5D" w:rsidRDefault="00EC50EF" w:rsidP="0065507A">
      <w:pPr>
        <w:rPr>
          <w:rFonts w:cs="Arial"/>
          <w:sz w:val="18"/>
          <w:szCs w:val="18"/>
        </w:rPr>
      </w:pPr>
      <w:r w:rsidRPr="00E56B5D">
        <w:rPr>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0B9A658D" w14:textId="77777777" w:rsidR="00EC50EF" w:rsidRPr="00E56B5D" w:rsidRDefault="00EC50EF" w:rsidP="0065507A">
      <w:pPr>
        <w:rPr>
          <w:rFonts w:cs="Arial"/>
          <w:sz w:val="18"/>
          <w:szCs w:val="18"/>
        </w:rPr>
      </w:pPr>
      <w:r w:rsidRPr="00E56B5D">
        <w:rPr>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3D367D4F" w14:textId="77777777" w:rsidR="00EC50EF" w:rsidRPr="00E56B5D" w:rsidRDefault="00EC50EF" w:rsidP="00EB2480">
      <w:pPr>
        <w:rPr>
          <w:rFonts w:cs="Arial"/>
          <w:sz w:val="18"/>
          <w:szCs w:val="18"/>
        </w:rPr>
      </w:pPr>
      <w:r w:rsidRPr="00E56B5D">
        <w:rPr>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6E72042E" w14:textId="77777777" w:rsidR="00EC50EF" w:rsidRPr="00E56B5D" w:rsidRDefault="00EC50EF" w:rsidP="00397293">
      <w:pPr>
        <w:ind w:left="142" w:hanging="142"/>
        <w:rPr>
          <w:rFonts w:cs="Arial"/>
          <w:sz w:val="18"/>
          <w:szCs w:val="18"/>
        </w:rPr>
      </w:pPr>
      <w:r w:rsidRPr="00E56B5D">
        <w:rPr>
          <w:rFonts w:cs="Arial"/>
          <w:sz w:val="18"/>
          <w:szCs w:val="18"/>
        </w:rPr>
        <w:endnoteRef/>
      </w:r>
      <w:r w:rsidRPr="00E56B5D">
        <w:rPr>
          <w:rFonts w:cs="Arial"/>
          <w:sz w:val="18"/>
          <w:szCs w:val="18"/>
        </w:rPr>
        <w:t xml:space="preserve"> Smlouva č. – uvede se, pokud existuje smlouva, v </w:t>
      </w:r>
      <w:proofErr w:type="gramStart"/>
      <w:r w:rsidRPr="00E56B5D">
        <w:rPr>
          <w:rFonts w:cs="Arial"/>
          <w:sz w:val="18"/>
          <w:szCs w:val="18"/>
        </w:rPr>
        <w:t>rámci</w:t>
      </w:r>
      <w:proofErr w:type="gramEnd"/>
      <w:r w:rsidRPr="00E56B5D">
        <w:rPr>
          <w:rFonts w:cs="Arial"/>
          <w:sz w:val="18"/>
          <w:szCs w:val="18"/>
        </w:rPr>
        <w:t xml:space="preserve"> níž se požadavky předkládají, totéž platí pro KL (katalogový list).</w:t>
      </w:r>
    </w:p>
  </w:endnote>
  <w:endnote w:id="9">
    <w:p w14:paraId="271759AA" w14:textId="77777777" w:rsidR="00EC50EF" w:rsidRPr="00E56B5D" w:rsidRDefault="00EC50EF" w:rsidP="001E3C70">
      <w:pPr>
        <w:rPr>
          <w:rFonts w:cs="Arial"/>
        </w:rPr>
      </w:pPr>
      <w:r w:rsidRPr="00E56B5D">
        <w:rPr>
          <w:rFonts w:cs="Arial"/>
        </w:rPr>
        <w:endnoteRef/>
      </w:r>
      <w:r w:rsidRPr="00E56B5D">
        <w:rPr>
          <w:rFonts w:cs="Arial"/>
        </w:rPr>
        <w:t xml:space="preserve"> </w:t>
      </w:r>
      <w:r w:rsidRPr="00E56B5D">
        <w:rPr>
          <w:rFonts w:cs="Arial"/>
          <w:sz w:val="18"/>
          <w:szCs w:val="18"/>
        </w:rPr>
        <w:t xml:space="preserve">Vyplní </w:t>
      </w:r>
      <w:proofErr w:type="spellStart"/>
      <w:r w:rsidRPr="00E56B5D">
        <w:rPr>
          <w:rFonts w:cs="Arial"/>
          <w:sz w:val="18"/>
          <w:szCs w:val="18"/>
        </w:rPr>
        <w:t>Change</w:t>
      </w:r>
      <w:proofErr w:type="spellEnd"/>
      <w:r w:rsidRPr="00E56B5D">
        <w:rPr>
          <w:rFonts w:cs="Arial"/>
          <w:sz w:val="18"/>
          <w:szCs w:val="18"/>
        </w:rPr>
        <w:t xml:space="preserve"> koordinátor</w:t>
      </w:r>
      <w:r w:rsidRPr="00686C37">
        <w:rPr>
          <w:rFonts w:cs="Arial"/>
          <w:sz w:val="18"/>
          <w:szCs w:val="18"/>
        </w:rPr>
        <w:t>.</w:t>
      </w:r>
      <w:r w:rsidRPr="00E56B5D">
        <w:rPr>
          <w:rFonts w:cs="Arial"/>
          <w:sz w:val="18"/>
          <w:szCs w:val="18"/>
        </w:rPr>
        <w:t xml:space="preserve"> s Provozním garantem</w:t>
      </w:r>
      <w:r w:rsidRPr="00686C37">
        <w:rPr>
          <w:rFonts w:cs="Arial"/>
          <w:sz w:val="18"/>
          <w:szCs w:val="18"/>
        </w:rPr>
        <w:t>. Uvedený seznam dokumentace je pouze příkladem.</w:t>
      </w:r>
    </w:p>
  </w:endnote>
  <w:endnote w:id="10">
    <w:p w14:paraId="45D79976" w14:textId="77777777" w:rsidR="00EC50EF" w:rsidRDefault="00EC50EF">
      <w:r>
        <w:endnoteRef/>
      </w:r>
      <w:r>
        <w:t xml:space="preserve"> </w:t>
      </w:r>
      <w:r w:rsidRPr="00C54E9D">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sidRPr="00C54E9D">
        <w:rPr>
          <w:sz w:val="18"/>
          <w:szCs w:val="18"/>
        </w:rPr>
        <w:t>technologíí</w:t>
      </w:r>
      <w:proofErr w:type="spellEnd"/>
      <w:r w:rsidRPr="00C54E9D">
        <w:rPr>
          <w:sz w:val="18"/>
          <w:szCs w:val="18"/>
        </w:rPr>
        <w:t xml:space="preserve"> (OPPT).</w:t>
      </w:r>
    </w:p>
  </w:endnote>
  <w:endnote w:id="11">
    <w:p w14:paraId="7B272160" w14:textId="77777777" w:rsidR="00EC50EF" w:rsidRPr="00E56B5D" w:rsidRDefault="00EC50EF">
      <w:pPr>
        <w:rPr>
          <w:rFonts w:cs="Arial"/>
        </w:rPr>
      </w:pPr>
      <w:r w:rsidRPr="00E56B5D">
        <w:rPr>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27385417" w14:textId="77777777" w:rsidR="00EC50EF" w:rsidRPr="00103605" w:rsidRDefault="00EC50EF">
      <w:pPr>
        <w:rPr>
          <w:sz w:val="18"/>
          <w:szCs w:val="18"/>
        </w:rPr>
      </w:pPr>
      <w:r w:rsidRPr="00103605">
        <w:rPr>
          <w:sz w:val="18"/>
          <w:szCs w:val="18"/>
        </w:rPr>
        <w:endnoteRef/>
      </w:r>
      <w:r w:rsidRPr="00103605">
        <w:rPr>
          <w:sz w:val="18"/>
          <w:szCs w:val="18"/>
        </w:rPr>
        <w:t xml:space="preserve"> OKB – Oddělení kybernetické bezpečnosti, OPPT – Oddělení provozu a podpory technologií</w:t>
      </w:r>
    </w:p>
  </w:endnote>
  <w:endnote w:id="13">
    <w:p w14:paraId="36FEC5B5" w14:textId="77777777" w:rsidR="00EC50EF" w:rsidRPr="004642D2" w:rsidRDefault="00EC50EF">
      <w:pPr>
        <w:rPr>
          <w:sz w:val="16"/>
          <w:szCs w:val="16"/>
        </w:rPr>
      </w:pPr>
      <w:r w:rsidRPr="004642D2">
        <w:rPr>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66F371F1" w14:textId="77777777" w:rsidR="00EC50EF" w:rsidRPr="00E56B5D" w:rsidRDefault="00EC50EF" w:rsidP="00BD0D3F">
      <w:pPr>
        <w:rPr>
          <w:rFonts w:cs="Arial"/>
          <w:sz w:val="18"/>
          <w:szCs w:val="18"/>
        </w:rPr>
      </w:pPr>
      <w:r w:rsidRPr="00E56B5D">
        <w:rPr>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15">
    <w:p w14:paraId="24670571" w14:textId="77777777" w:rsidR="00EC50EF" w:rsidRPr="0036019B" w:rsidRDefault="00EC50EF" w:rsidP="00962388">
      <w:pPr>
        <w:rPr>
          <w:sz w:val="18"/>
          <w:szCs w:val="18"/>
        </w:rPr>
      </w:pPr>
      <w:r w:rsidRPr="0036019B">
        <w:rPr>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1F488031" w14:textId="77777777" w:rsidR="00EC50EF" w:rsidRPr="00360DA3" w:rsidRDefault="00EC50EF">
      <w:pPr>
        <w:rPr>
          <w:sz w:val="16"/>
          <w:szCs w:val="16"/>
        </w:rPr>
      </w:pPr>
      <w:r w:rsidRPr="00360DA3">
        <w:rPr>
          <w:sz w:val="16"/>
          <w:szCs w:val="16"/>
        </w:rPr>
        <w:endnoteRef/>
      </w:r>
      <w:r w:rsidRPr="00360DA3">
        <w:rPr>
          <w:sz w:val="16"/>
          <w:szCs w:val="16"/>
        </w:rPr>
        <w:t xml:space="preserve"> </w:t>
      </w:r>
      <w:r w:rsidRPr="00EE2C80">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sidRPr="00EE2C80">
        <w:rPr>
          <w:sz w:val="18"/>
          <w:szCs w:val="18"/>
        </w:rPr>
        <w:t>RfC</w:t>
      </w:r>
      <w:proofErr w:type="spellEnd"/>
      <w:r w:rsidRPr="00EE2C80">
        <w:rPr>
          <w:sz w:val="18"/>
          <w:szCs w:val="18"/>
        </w:rPr>
        <w:t xml:space="preserve"> „Dohledové scénáře (úprava stávajících/nové scénáře)“ je vyžadována a bude součástí akceptačního řízení, nebude-li v části C </w:t>
      </w:r>
      <w:proofErr w:type="spellStart"/>
      <w:r w:rsidRPr="00EE2C80">
        <w:rPr>
          <w:sz w:val="18"/>
          <w:szCs w:val="18"/>
        </w:rPr>
        <w:t>RfC</w:t>
      </w:r>
      <w:proofErr w:type="spellEnd"/>
      <w:r w:rsidRPr="00EE2C80">
        <w:rPr>
          <w:sz w:val="18"/>
          <w:szCs w:val="18"/>
        </w:rPr>
        <w:t xml:space="preserve"> v bodu 1 „Specifikace plnění“ stanoveno jinak.</w:t>
      </w:r>
    </w:p>
  </w:endnote>
  <w:endnote w:id="17">
    <w:p w14:paraId="3B6A9DDC" w14:textId="77777777" w:rsidR="00EC50EF" w:rsidRPr="00E56B5D" w:rsidRDefault="00EC50EF" w:rsidP="00EC6856">
      <w:pPr>
        <w:rPr>
          <w:rFonts w:cs="Arial"/>
          <w:sz w:val="18"/>
          <w:szCs w:val="18"/>
        </w:rPr>
      </w:pPr>
      <w:r w:rsidRPr="00E56B5D">
        <w:rPr>
          <w:rFonts w:cs="Arial"/>
          <w:sz w:val="18"/>
          <w:szCs w:val="18"/>
        </w:rPr>
        <w:endnoteRef/>
      </w:r>
      <w:r w:rsidRPr="00E56B5D">
        <w:rPr>
          <w:rFonts w:cs="Arial"/>
          <w:sz w:val="18"/>
          <w:szCs w:val="18"/>
        </w:rPr>
        <w:t xml:space="preserve"> Uvede se datum zahájení a ukončení realizace, příp. další etapy.</w:t>
      </w:r>
    </w:p>
  </w:endnote>
  <w:endnote w:id="18">
    <w:p w14:paraId="0436D465" w14:textId="77777777" w:rsidR="00EC50EF" w:rsidRPr="00E56B5D" w:rsidRDefault="00EC50EF" w:rsidP="00EC6856">
      <w:pPr>
        <w:rPr>
          <w:rFonts w:cs="Arial"/>
          <w:sz w:val="18"/>
          <w:szCs w:val="18"/>
        </w:rPr>
      </w:pPr>
      <w:r w:rsidRPr="00E56B5D">
        <w:rPr>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467EE781" w14:textId="77777777" w:rsidR="00EC50EF" w:rsidRPr="00E56B5D" w:rsidRDefault="00EC50EF" w:rsidP="00EE618A">
      <w:pPr>
        <w:rPr>
          <w:rFonts w:cs="Arial"/>
          <w:sz w:val="18"/>
          <w:szCs w:val="18"/>
        </w:rPr>
      </w:pPr>
      <w:r w:rsidRPr="00E56B5D">
        <w:rPr>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0D841E47" w14:textId="77777777" w:rsidR="00EC50EF" w:rsidRPr="00E56B5D" w:rsidRDefault="00EC50EF" w:rsidP="004B36F6">
      <w:pPr>
        <w:rPr>
          <w:rFonts w:cs="Arial"/>
          <w:sz w:val="18"/>
          <w:szCs w:val="18"/>
        </w:rPr>
      </w:pPr>
      <w:r w:rsidRPr="00E56B5D">
        <w:rPr>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21">
    <w:p w14:paraId="208A382D" w14:textId="77777777" w:rsidR="00EC50EF" w:rsidRPr="00E56B5D" w:rsidRDefault="00EC50EF" w:rsidP="001E3C70">
      <w:pPr>
        <w:rPr>
          <w:rFonts w:cs="Arial"/>
          <w:sz w:val="18"/>
          <w:szCs w:val="18"/>
        </w:rPr>
      </w:pPr>
      <w:r w:rsidRPr="00E56B5D">
        <w:rPr>
          <w:rFonts w:cs="Arial"/>
          <w:sz w:val="18"/>
          <w:szCs w:val="18"/>
        </w:rPr>
        <w:endnoteRef/>
      </w:r>
      <w:r w:rsidRPr="00E56B5D">
        <w:rPr>
          <w:rFonts w:cs="Arial"/>
          <w:sz w:val="18"/>
          <w:szCs w:val="18"/>
        </w:rPr>
        <w:t xml:space="preserve"> Uvede se datum zahájení a ukončení realizace, příp. další etapy.</w:t>
      </w:r>
    </w:p>
  </w:endnote>
  <w:endnote w:id="22">
    <w:p w14:paraId="7199DA88" w14:textId="77777777" w:rsidR="00EC50EF" w:rsidRPr="00E56B5D" w:rsidRDefault="00EC50EF" w:rsidP="00CC6780">
      <w:pPr>
        <w:rPr>
          <w:rFonts w:cs="Arial"/>
          <w:sz w:val="18"/>
          <w:szCs w:val="18"/>
        </w:rPr>
      </w:pPr>
      <w:r w:rsidRPr="00E56B5D">
        <w:rPr>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3661787C" w14:textId="77777777" w:rsidR="00EC50EF" w:rsidRPr="00E56B5D" w:rsidRDefault="00EC50EF" w:rsidP="00044DB9">
      <w:pPr>
        <w:rPr>
          <w:rFonts w:cs="Arial"/>
          <w:sz w:val="18"/>
          <w:szCs w:val="18"/>
        </w:rPr>
      </w:pPr>
      <w:r w:rsidRPr="00E56B5D">
        <w:rPr>
          <w:rFonts w:cs="Arial"/>
          <w:sz w:val="18"/>
          <w:szCs w:val="18"/>
        </w:rPr>
        <w:endnoteRef/>
      </w:r>
      <w:r w:rsidRPr="00E56B5D">
        <w:rPr>
          <w:rFonts w:cs="Arial"/>
          <w:sz w:val="18"/>
          <w:szCs w:val="18"/>
        </w:rPr>
        <w:t xml:space="preserve"> Změna smluvních </w:t>
      </w:r>
      <w:proofErr w:type="gramStart"/>
      <w:r w:rsidRPr="00E56B5D">
        <w:rPr>
          <w:rFonts w:cs="Arial"/>
          <w:sz w:val="18"/>
          <w:szCs w:val="18"/>
        </w:rPr>
        <w:t>podmínek - vyplní</w:t>
      </w:r>
      <w:proofErr w:type="gramEnd"/>
      <w:r w:rsidRPr="00E56B5D">
        <w:rPr>
          <w:rFonts w:cs="Arial"/>
          <w:sz w:val="18"/>
          <w:szCs w:val="18"/>
        </w:rPr>
        <w:t xml:space="preserve"> se v případě, že dohodnuté podmínky realizace požadavku se liší od smluvních.</w:t>
      </w:r>
    </w:p>
  </w:endnote>
  <w:endnote w:id="24">
    <w:p w14:paraId="5458083C" w14:textId="77777777" w:rsidR="00EC50EF" w:rsidRPr="00E56B5D" w:rsidRDefault="00EC50EF">
      <w:pPr>
        <w:rPr>
          <w:rFonts w:cs="Arial"/>
          <w:sz w:val="18"/>
          <w:szCs w:val="18"/>
        </w:rPr>
      </w:pPr>
      <w:r w:rsidRPr="00E56B5D">
        <w:rPr>
          <w:rFonts w:cs="Arial"/>
          <w:sz w:val="18"/>
          <w:szCs w:val="18"/>
        </w:rPr>
        <w:endnoteRef/>
      </w:r>
      <w:r w:rsidRPr="00E56B5D">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sidRPr="00E56B5D">
        <w:rPr>
          <w:rFonts w:cs="Arial"/>
          <w:sz w:val="18"/>
          <w:szCs w:val="18"/>
        </w:rPr>
        <w:t>Change</w:t>
      </w:r>
      <w:proofErr w:type="spellEnd"/>
      <w:r w:rsidRPr="00E56B5D">
        <w:rPr>
          <w:rFonts w:cs="Arial"/>
          <w:sz w:val="18"/>
          <w:szCs w:val="18"/>
        </w:rPr>
        <w:t xml:space="preserv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5">
    <w:p w14:paraId="5040C1CF" w14:textId="77777777" w:rsidR="00F23659" w:rsidRDefault="00F23659">
      <w:pPr>
        <w:rPr>
          <w:rFonts w:cs="Arial"/>
          <w:sz w:val="18"/>
          <w:szCs w:val="18"/>
        </w:rPr>
      </w:pPr>
      <w:r>
        <w:endnoteRef/>
      </w:r>
      <w:r>
        <w:t xml:space="preserve"> </w:t>
      </w:r>
      <w:r w:rsidRPr="00CD75EE">
        <w:rPr>
          <w:rFonts w:cs="Arial"/>
          <w:sz w:val="18"/>
          <w:szCs w:val="18"/>
        </w:rPr>
        <w:t>Doplní se podpis nebo se uvede odkaz na mailovou zprávu, v které bylo posouzení doručeno.</w:t>
      </w:r>
    </w:p>
    <w:p w14:paraId="5F57FE22" w14:textId="77777777" w:rsidR="00F23659" w:rsidRDefault="00F23659">
      <w:pPr>
        <w:rPr>
          <w:rFonts w:cs="Arial"/>
          <w:sz w:val="18"/>
          <w:szCs w:val="18"/>
        </w:rPr>
      </w:pPr>
    </w:p>
    <w:p w14:paraId="4DBD59AF" w14:textId="77777777" w:rsidR="00F23659" w:rsidRDefault="00F23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E4AD" w14:textId="2201D78B" w:rsidR="00EC50EF" w:rsidRPr="00CC2560" w:rsidRDefault="00EC50EF" w:rsidP="00E5776E">
    <w:pPr>
      <w:pBdr>
        <w:top w:val="single" w:sz="18" w:space="1" w:color="B2BC00"/>
      </w:pBdr>
      <w:tabs>
        <w:tab w:val="center" w:pos="4111"/>
        <w:tab w:val="right" w:pos="9356"/>
      </w:tabs>
      <w:spacing w:after="0"/>
      <w:ind w:right="-427"/>
      <w:jc w:val="center"/>
    </w:pP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F16D3">
      <w:rPr>
        <w:noProof/>
        <w:sz w:val="16"/>
        <w:szCs w:val="16"/>
      </w:rPr>
      <w:t>9</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50C9B">
      <w:rPr>
        <w:noProof/>
        <w:sz w:val="16"/>
        <w:szCs w:val="16"/>
      </w:rPr>
      <w:t>8</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1BCE" w14:textId="77777777" w:rsidR="00EC50EF" w:rsidRPr="00CC2560" w:rsidRDefault="00EC50EF"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27</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BD0B" w14:textId="748E86B8" w:rsidR="00EC50EF" w:rsidRPr="00CC2560" w:rsidRDefault="00EC50E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F16D3">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50C9B">
      <w:rPr>
        <w:noProof/>
        <w:sz w:val="16"/>
        <w:szCs w:val="16"/>
      </w:rPr>
      <w:t>2</w:t>
    </w:r>
    <w:r>
      <w:rPr>
        <w:sz w:val="16"/>
        <w:szCs w:val="16"/>
      </w:rPr>
      <w:fldChar w:fldCharType="end"/>
    </w:r>
    <w:r w:rsidRPr="00C52DA0">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BB84" w14:textId="648A863D" w:rsidR="00EC50EF" w:rsidRPr="00CC2560" w:rsidRDefault="00EC50EF"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F16D3">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50C9B">
      <w:rPr>
        <w:noProof/>
        <w:sz w:val="16"/>
        <w:szCs w:val="16"/>
      </w:rPr>
      <w:t>3</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D8F3" w14:textId="3B5046F3" w:rsidR="00EC50EF" w:rsidRPr="00EF7DC4" w:rsidRDefault="00EC50EF" w:rsidP="00CB625B">
    <w:pPr>
      <w:pBdr>
        <w:top w:val="single" w:sz="18" w:space="1" w:color="B2BC00"/>
      </w:pBdr>
      <w:spacing w:after="0"/>
      <w:ind w:right="-314"/>
      <w:rPr>
        <w:sz w:val="16"/>
        <w:szCs w:val="16"/>
      </w:rPr>
    </w:pPr>
    <w:r w:rsidRPr="00C52DA0">
      <w:rPr>
        <w:sz w:val="16"/>
        <w:szCs w:val="16"/>
      </w:rPr>
      <w:t>Stupeň důvěrnosti:</w:t>
    </w:r>
    <w:r>
      <w:rPr>
        <w:sz w:val="16"/>
        <w:szCs w:val="16"/>
      </w:rPr>
      <w:t xml:space="preserve"> </w:t>
    </w:r>
    <w:r>
      <w:t>Veřejné</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707441">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B9729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ECA62" w14:textId="77777777" w:rsidR="00534768" w:rsidRDefault="00534768" w:rsidP="0000551E">
      <w:pPr>
        <w:spacing w:after="0"/>
      </w:pPr>
      <w:r>
        <w:separator/>
      </w:r>
    </w:p>
  </w:footnote>
  <w:footnote w:type="continuationSeparator" w:id="0">
    <w:p w14:paraId="5C93DC6A" w14:textId="77777777" w:rsidR="00534768" w:rsidRDefault="00534768" w:rsidP="0000551E">
      <w:pPr>
        <w:spacing w:after="0"/>
      </w:pPr>
      <w:r>
        <w:continuationSeparator/>
      </w:r>
    </w:p>
  </w:footnote>
  <w:footnote w:type="continuationNotice" w:id="1">
    <w:p w14:paraId="39C4A42A" w14:textId="77777777" w:rsidR="00534768" w:rsidRDefault="00534768">
      <w:pPr>
        <w:spacing w:after="0"/>
      </w:pPr>
    </w:p>
  </w:footnote>
  <w:footnote w:id="2">
    <w:p w14:paraId="60A4C8D9" w14:textId="77777777" w:rsidR="00EC50EF" w:rsidRDefault="00EC50EF">
      <w:pPr>
        <w:pStyle w:val="Zkladntext"/>
      </w:pPr>
      <w: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3">
    <w:p w14:paraId="2CBA052D" w14:textId="77777777" w:rsidR="00EC50EF" w:rsidRDefault="00EC50EF" w:rsidP="00532F19">
      <w:pPr>
        <w:pStyle w:val="Zkladntext"/>
      </w:pPr>
      <w:r>
        <w:footnoteRef/>
      </w:r>
      <w:r>
        <w:t xml:space="preserve"> </w:t>
      </w:r>
      <w:r>
        <w:rPr>
          <w:sz w:val="16"/>
          <w:szCs w:val="16"/>
        </w:rPr>
        <w:t>Uveďte, zda a jakým způsobem se mění/vytváří napojení na SIEM.</w:t>
      </w:r>
    </w:p>
  </w:footnote>
  <w:footnote w:id="4">
    <w:p w14:paraId="776548BD" w14:textId="77777777" w:rsidR="00EC50EF" w:rsidRDefault="00EC50EF" w:rsidP="00532F19">
      <w:pPr>
        <w:pStyle w:val="Zkladntext"/>
      </w:pPr>
      <w: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5">
    <w:p w14:paraId="03A4801D" w14:textId="77777777" w:rsidR="00EC50EF" w:rsidRPr="00647845" w:rsidRDefault="00EC50EF" w:rsidP="00F47D3E">
      <w:pPr>
        <w:rPr>
          <w:rFonts w:cs="Arial"/>
        </w:rPr>
      </w:pPr>
      <w: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7581" w14:textId="05A0DE57" w:rsidR="00EC50EF" w:rsidRPr="003315A8" w:rsidRDefault="001206FF" w:rsidP="002A77A3">
    <w:pPr>
      <w:pBdr>
        <w:bottom w:val="single" w:sz="18" w:space="1" w:color="B2BC00"/>
      </w:pBdr>
      <w:tabs>
        <w:tab w:val="left" w:pos="3993"/>
        <w:tab w:val="right" w:pos="9923"/>
      </w:tabs>
      <w:ind w:right="-427"/>
    </w:pPr>
    <w:r w:rsidRPr="0003251C">
      <w:rPr>
        <w:noProof/>
        <w:lang w:eastAsia="cs-CZ"/>
      </w:rPr>
      <w:drawing>
        <wp:inline distT="0" distB="0" distL="0" distR="0" wp14:anchorId="077E6A0E" wp14:editId="17B74247">
          <wp:extent cx="885825" cy="419100"/>
          <wp:effectExtent l="0" t="0" r="9525" b="0"/>
          <wp:docPr id="5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r w:rsidR="00EC50EF">
      <w:tab/>
    </w:r>
    <w:r w:rsidR="00EC50EF">
      <w:tab/>
    </w:r>
    <w:r w:rsidR="00EC50E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3B67" w14:textId="33B03839" w:rsidR="00EC50EF" w:rsidRPr="003315A8" w:rsidRDefault="00080F25" w:rsidP="00CB625B">
    <w:pPr>
      <w:pBdr>
        <w:bottom w:val="single" w:sz="18" w:space="1" w:color="B2BC00"/>
      </w:pBdr>
      <w:tabs>
        <w:tab w:val="left" w:pos="3993"/>
        <w:tab w:val="right" w:pos="9923"/>
      </w:tabs>
      <w:ind w:right="-427"/>
    </w:pPr>
    <w:r w:rsidRPr="0003251C">
      <w:rPr>
        <w:noProof/>
        <w:lang w:eastAsia="cs-CZ"/>
      </w:rPr>
      <w:drawing>
        <wp:inline distT="0" distB="0" distL="0" distR="0" wp14:anchorId="0A69AA31" wp14:editId="12B2D838">
          <wp:extent cx="885825" cy="419100"/>
          <wp:effectExtent l="0" t="0" r="9525" b="0"/>
          <wp:docPr id="5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r w:rsidR="00EC50EF">
      <w:tab/>
    </w:r>
    <w:r w:rsidR="00EC50EF">
      <w:tab/>
    </w:r>
    <w:r w:rsidR="00EC50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D01"/>
    <w:multiLevelType w:val="hybridMultilevel"/>
    <w:tmpl w:val="0EF2C58E"/>
    <w:lvl w:ilvl="0" w:tplc="FF724B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21F08EB"/>
    <w:multiLevelType w:val="hybridMultilevel"/>
    <w:tmpl w:val="AC1E7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90057A"/>
    <w:multiLevelType w:val="hybridMultilevel"/>
    <w:tmpl w:val="D74E4A62"/>
    <w:lvl w:ilvl="0" w:tplc="8E7CBFC0">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085048"/>
    <w:multiLevelType w:val="hybridMultilevel"/>
    <w:tmpl w:val="63960A5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080D149F"/>
    <w:multiLevelType w:val="hybridMultilevel"/>
    <w:tmpl w:val="B4802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1D0B19"/>
    <w:multiLevelType w:val="hybridMultilevel"/>
    <w:tmpl w:val="3E50E5B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0D557D"/>
    <w:multiLevelType w:val="multilevel"/>
    <w:tmpl w:val="C20017B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10D7291D"/>
    <w:multiLevelType w:val="hybridMultilevel"/>
    <w:tmpl w:val="05F87B02"/>
    <w:lvl w:ilvl="0" w:tplc="BACA8908">
      <w:start w:val="1"/>
      <w:numFmt w:val="decimal"/>
      <w:lvlText w:val="%1."/>
      <w:lvlJc w:val="left"/>
      <w:pPr>
        <w:ind w:left="1065" w:hanging="705"/>
      </w:pPr>
    </w:lvl>
    <w:lvl w:ilvl="1" w:tplc="0A666BBE">
      <w:start w:val="1"/>
      <w:numFmt w:val="lowerLetter"/>
      <w:lvlText w:val="%2."/>
      <w:lvlJc w:val="left"/>
      <w:pPr>
        <w:ind w:left="1785" w:hanging="705"/>
      </w:pPr>
    </w:lvl>
    <w:lvl w:ilvl="2" w:tplc="8F2AC5A2">
      <w:start w:val="1"/>
      <w:numFmt w:val="decimal"/>
      <w:lvlText w:val="%3"/>
      <w:lvlJc w:val="left"/>
      <w:pPr>
        <w:ind w:left="2340" w:hanging="36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4941D2B"/>
    <w:multiLevelType w:val="hybridMultilevel"/>
    <w:tmpl w:val="E8F0EE66"/>
    <w:lvl w:ilvl="0" w:tplc="2DC8C7E0">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5C28A0"/>
    <w:multiLevelType w:val="hybridMultilevel"/>
    <w:tmpl w:val="96441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C46EBA"/>
    <w:multiLevelType w:val="hybridMultilevel"/>
    <w:tmpl w:val="13087FD8"/>
    <w:lvl w:ilvl="0" w:tplc="9684E5F8">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1" w15:restartNumberingAfterBreak="0">
    <w:nsid w:val="221C31CF"/>
    <w:multiLevelType w:val="hybridMultilevel"/>
    <w:tmpl w:val="FAEA6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A178A5"/>
    <w:multiLevelType w:val="hybridMultilevel"/>
    <w:tmpl w:val="50A64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11"/>
      <w:lvlText w:val="%1.%2"/>
      <w:lvlJc w:val="left"/>
      <w:pPr>
        <w:ind w:left="576" w:hanging="576"/>
      </w:pPr>
      <w:rPr>
        <w:rFonts w:hint="default"/>
      </w:rPr>
    </w:lvl>
    <w:lvl w:ilvl="2">
      <w:start w:val="1"/>
      <w:numFmt w:val="decimal"/>
      <w:lvlText w:val="%1.%2.%3"/>
      <w:lvlJc w:val="left"/>
      <w:pPr>
        <w:ind w:left="170" w:hanging="17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A77C52"/>
    <w:multiLevelType w:val="hybridMultilevel"/>
    <w:tmpl w:val="2C32E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335A91"/>
    <w:multiLevelType w:val="hybridMultilevel"/>
    <w:tmpl w:val="63622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2D3914"/>
    <w:multiLevelType w:val="hybridMultilevel"/>
    <w:tmpl w:val="0BEA8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411218CB"/>
    <w:multiLevelType w:val="hybridMultilevel"/>
    <w:tmpl w:val="C8E0E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925FE5"/>
    <w:multiLevelType w:val="hybridMultilevel"/>
    <w:tmpl w:val="64884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057B53"/>
    <w:multiLevelType w:val="hybridMultilevel"/>
    <w:tmpl w:val="F07A1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4B0E13"/>
    <w:multiLevelType w:val="hybridMultilevel"/>
    <w:tmpl w:val="CE121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9AF7DB5"/>
    <w:multiLevelType w:val="hybridMultilevel"/>
    <w:tmpl w:val="ADF89104"/>
    <w:lvl w:ilvl="0" w:tplc="E2A80580">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9A0134"/>
    <w:multiLevelType w:val="hybridMultilevel"/>
    <w:tmpl w:val="AFF84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24"/>
  </w:num>
  <w:num w:numId="9">
    <w:abstractNumId w:val="26"/>
  </w:num>
  <w:num w:numId="10">
    <w:abstractNumId w:val="20"/>
  </w:num>
  <w:num w:numId="11">
    <w:abstractNumId w:val="11"/>
  </w:num>
  <w:num w:numId="12">
    <w:abstractNumId w:val="15"/>
  </w:num>
  <w:num w:numId="13">
    <w:abstractNumId w:val="1"/>
  </w:num>
  <w:num w:numId="14">
    <w:abstractNumId w:val="5"/>
  </w:num>
  <w:num w:numId="15">
    <w:abstractNumId w:val="21"/>
  </w:num>
  <w:num w:numId="16">
    <w:abstractNumId w:val="23"/>
  </w:num>
  <w:num w:numId="17">
    <w:abstractNumId w:val="28"/>
  </w:num>
  <w:num w:numId="18">
    <w:abstractNumId w:val="29"/>
  </w:num>
  <w:num w:numId="19">
    <w:abstractNumId w:val="18"/>
  </w:num>
  <w:num w:numId="20">
    <w:abstractNumId w:val="8"/>
  </w:num>
  <w:num w:numId="21">
    <w:abstractNumId w:val="25"/>
  </w:num>
  <w:num w:numId="22">
    <w:abstractNumId w:val="22"/>
  </w:num>
  <w:num w:numId="23">
    <w:abstractNumId w:val="3"/>
  </w:num>
  <w:num w:numId="24">
    <w:abstractNumId w:val="10"/>
  </w:num>
  <w:num w:numId="25">
    <w:abstractNumId w:val="4"/>
  </w:num>
  <w:num w:numId="26">
    <w:abstractNumId w:val="17"/>
  </w:num>
  <w:num w:numId="27">
    <w:abstractNumId w:val="9"/>
  </w:num>
  <w:num w:numId="28">
    <w:abstractNumId w:val="0"/>
  </w:num>
  <w:num w:numId="29">
    <w:abstractNumId w:val="2"/>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BFA"/>
    <w:rsid w:val="00001C86"/>
    <w:rsid w:val="00001D20"/>
    <w:rsid w:val="000034C4"/>
    <w:rsid w:val="00004AE0"/>
    <w:rsid w:val="00004D27"/>
    <w:rsid w:val="00004EC1"/>
    <w:rsid w:val="0000551E"/>
    <w:rsid w:val="00005870"/>
    <w:rsid w:val="000059E4"/>
    <w:rsid w:val="00005BCE"/>
    <w:rsid w:val="00006FAD"/>
    <w:rsid w:val="00007165"/>
    <w:rsid w:val="00007324"/>
    <w:rsid w:val="00010358"/>
    <w:rsid w:val="00013DF1"/>
    <w:rsid w:val="00014F2F"/>
    <w:rsid w:val="0001584A"/>
    <w:rsid w:val="00016B12"/>
    <w:rsid w:val="00016B61"/>
    <w:rsid w:val="0002035C"/>
    <w:rsid w:val="00020F0A"/>
    <w:rsid w:val="0002192A"/>
    <w:rsid w:val="00022193"/>
    <w:rsid w:val="00023303"/>
    <w:rsid w:val="000235A7"/>
    <w:rsid w:val="0002371D"/>
    <w:rsid w:val="000242F6"/>
    <w:rsid w:val="00024398"/>
    <w:rsid w:val="000249F5"/>
    <w:rsid w:val="00025784"/>
    <w:rsid w:val="00025897"/>
    <w:rsid w:val="00025973"/>
    <w:rsid w:val="0002724A"/>
    <w:rsid w:val="0003057D"/>
    <w:rsid w:val="00030EBA"/>
    <w:rsid w:val="00030FB4"/>
    <w:rsid w:val="00031784"/>
    <w:rsid w:val="00032EAF"/>
    <w:rsid w:val="00033242"/>
    <w:rsid w:val="000335CF"/>
    <w:rsid w:val="00033CCA"/>
    <w:rsid w:val="00033DD1"/>
    <w:rsid w:val="0003534C"/>
    <w:rsid w:val="00036C48"/>
    <w:rsid w:val="0004128C"/>
    <w:rsid w:val="0004305E"/>
    <w:rsid w:val="00043EF0"/>
    <w:rsid w:val="000443D6"/>
    <w:rsid w:val="00044DB9"/>
    <w:rsid w:val="00046851"/>
    <w:rsid w:val="00046BAE"/>
    <w:rsid w:val="00046D24"/>
    <w:rsid w:val="00050367"/>
    <w:rsid w:val="000510AA"/>
    <w:rsid w:val="00051D11"/>
    <w:rsid w:val="00052206"/>
    <w:rsid w:val="00052499"/>
    <w:rsid w:val="00052C84"/>
    <w:rsid w:val="0005358D"/>
    <w:rsid w:val="000544B5"/>
    <w:rsid w:val="00054889"/>
    <w:rsid w:val="00055BD5"/>
    <w:rsid w:val="00061005"/>
    <w:rsid w:val="0006227B"/>
    <w:rsid w:val="00062D02"/>
    <w:rsid w:val="000647F1"/>
    <w:rsid w:val="00065210"/>
    <w:rsid w:val="00065AF5"/>
    <w:rsid w:val="00066D9E"/>
    <w:rsid w:val="00070749"/>
    <w:rsid w:val="00070AE9"/>
    <w:rsid w:val="00071399"/>
    <w:rsid w:val="00071F38"/>
    <w:rsid w:val="00075011"/>
    <w:rsid w:val="00075914"/>
    <w:rsid w:val="00076FF3"/>
    <w:rsid w:val="00080F25"/>
    <w:rsid w:val="00081648"/>
    <w:rsid w:val="00081781"/>
    <w:rsid w:val="0008189C"/>
    <w:rsid w:val="000823BD"/>
    <w:rsid w:val="00083AE5"/>
    <w:rsid w:val="00083C9D"/>
    <w:rsid w:val="00083D9F"/>
    <w:rsid w:val="00083E85"/>
    <w:rsid w:val="00083F45"/>
    <w:rsid w:val="00084053"/>
    <w:rsid w:val="0008476B"/>
    <w:rsid w:val="00085613"/>
    <w:rsid w:val="00086555"/>
    <w:rsid w:val="000871C4"/>
    <w:rsid w:val="000872BF"/>
    <w:rsid w:val="0009090C"/>
    <w:rsid w:val="00090CFE"/>
    <w:rsid w:val="00090D89"/>
    <w:rsid w:val="00090F51"/>
    <w:rsid w:val="00091C53"/>
    <w:rsid w:val="00092229"/>
    <w:rsid w:val="00093843"/>
    <w:rsid w:val="00093F4B"/>
    <w:rsid w:val="00095F04"/>
    <w:rsid w:val="000A0161"/>
    <w:rsid w:val="000A07D1"/>
    <w:rsid w:val="000A0E3D"/>
    <w:rsid w:val="000A15BC"/>
    <w:rsid w:val="000A180A"/>
    <w:rsid w:val="000A2262"/>
    <w:rsid w:val="000A2A65"/>
    <w:rsid w:val="000A34B8"/>
    <w:rsid w:val="000A3E1D"/>
    <w:rsid w:val="000A4FF0"/>
    <w:rsid w:val="000A560E"/>
    <w:rsid w:val="000A6F5B"/>
    <w:rsid w:val="000A7D80"/>
    <w:rsid w:val="000B2007"/>
    <w:rsid w:val="000B2FCB"/>
    <w:rsid w:val="000B6887"/>
    <w:rsid w:val="000B7C9F"/>
    <w:rsid w:val="000B7CA6"/>
    <w:rsid w:val="000C10FC"/>
    <w:rsid w:val="000C145C"/>
    <w:rsid w:val="000C3452"/>
    <w:rsid w:val="000C36FD"/>
    <w:rsid w:val="000C4008"/>
    <w:rsid w:val="000C4A49"/>
    <w:rsid w:val="000C5988"/>
    <w:rsid w:val="000C59B3"/>
    <w:rsid w:val="000C7406"/>
    <w:rsid w:val="000D062B"/>
    <w:rsid w:val="000D21E2"/>
    <w:rsid w:val="000D283A"/>
    <w:rsid w:val="000D290E"/>
    <w:rsid w:val="000D29E7"/>
    <w:rsid w:val="000D4EF2"/>
    <w:rsid w:val="000D5063"/>
    <w:rsid w:val="000D58C0"/>
    <w:rsid w:val="000D6AF4"/>
    <w:rsid w:val="000E0A43"/>
    <w:rsid w:val="000E0BA7"/>
    <w:rsid w:val="000E3004"/>
    <w:rsid w:val="000E35BD"/>
    <w:rsid w:val="000E3B62"/>
    <w:rsid w:val="000E3D24"/>
    <w:rsid w:val="000E4800"/>
    <w:rsid w:val="000E51A3"/>
    <w:rsid w:val="000E6413"/>
    <w:rsid w:val="000E6E54"/>
    <w:rsid w:val="000E720F"/>
    <w:rsid w:val="000E7473"/>
    <w:rsid w:val="000F27BA"/>
    <w:rsid w:val="000F5BCF"/>
    <w:rsid w:val="000F7DA2"/>
    <w:rsid w:val="00100774"/>
    <w:rsid w:val="00100DFC"/>
    <w:rsid w:val="00101481"/>
    <w:rsid w:val="001018A2"/>
    <w:rsid w:val="00103472"/>
    <w:rsid w:val="00103605"/>
    <w:rsid w:val="001037F6"/>
    <w:rsid w:val="00104A7E"/>
    <w:rsid w:val="00104EEE"/>
    <w:rsid w:val="001075BF"/>
    <w:rsid w:val="00107698"/>
    <w:rsid w:val="001076D7"/>
    <w:rsid w:val="00107EFE"/>
    <w:rsid w:val="00110797"/>
    <w:rsid w:val="00110879"/>
    <w:rsid w:val="00110D24"/>
    <w:rsid w:val="00110ED2"/>
    <w:rsid w:val="00111B51"/>
    <w:rsid w:val="00111BAD"/>
    <w:rsid w:val="00111EB8"/>
    <w:rsid w:val="001135A2"/>
    <w:rsid w:val="001138EC"/>
    <w:rsid w:val="00113A14"/>
    <w:rsid w:val="001143AB"/>
    <w:rsid w:val="00115C2D"/>
    <w:rsid w:val="00116A3B"/>
    <w:rsid w:val="00117234"/>
    <w:rsid w:val="001172FB"/>
    <w:rsid w:val="00117979"/>
    <w:rsid w:val="001202BD"/>
    <w:rsid w:val="001206FF"/>
    <w:rsid w:val="00120BD1"/>
    <w:rsid w:val="00120DCA"/>
    <w:rsid w:val="00121683"/>
    <w:rsid w:val="0012280F"/>
    <w:rsid w:val="00123421"/>
    <w:rsid w:val="00125A65"/>
    <w:rsid w:val="00125AFA"/>
    <w:rsid w:val="00126474"/>
    <w:rsid w:val="001267F1"/>
    <w:rsid w:val="0012694B"/>
    <w:rsid w:val="00126E12"/>
    <w:rsid w:val="00127005"/>
    <w:rsid w:val="00127530"/>
    <w:rsid w:val="001303E1"/>
    <w:rsid w:val="001307A1"/>
    <w:rsid w:val="00130A2C"/>
    <w:rsid w:val="00131372"/>
    <w:rsid w:val="001321B5"/>
    <w:rsid w:val="00133B40"/>
    <w:rsid w:val="00135AFB"/>
    <w:rsid w:val="00135B87"/>
    <w:rsid w:val="00137FC3"/>
    <w:rsid w:val="001422BC"/>
    <w:rsid w:val="001427F3"/>
    <w:rsid w:val="001434E6"/>
    <w:rsid w:val="00143DA4"/>
    <w:rsid w:val="001444E5"/>
    <w:rsid w:val="00145FF2"/>
    <w:rsid w:val="0014616B"/>
    <w:rsid w:val="0014630E"/>
    <w:rsid w:val="00147567"/>
    <w:rsid w:val="00150237"/>
    <w:rsid w:val="00150A5B"/>
    <w:rsid w:val="0015192F"/>
    <w:rsid w:val="00151DA8"/>
    <w:rsid w:val="00152900"/>
    <w:rsid w:val="00152E30"/>
    <w:rsid w:val="00153806"/>
    <w:rsid w:val="00153C10"/>
    <w:rsid w:val="00154837"/>
    <w:rsid w:val="001558DB"/>
    <w:rsid w:val="001564D8"/>
    <w:rsid w:val="00157030"/>
    <w:rsid w:val="00157A70"/>
    <w:rsid w:val="00160341"/>
    <w:rsid w:val="00160B68"/>
    <w:rsid w:val="0016171A"/>
    <w:rsid w:val="0016270D"/>
    <w:rsid w:val="0016573F"/>
    <w:rsid w:val="0016660D"/>
    <w:rsid w:val="00166B75"/>
    <w:rsid w:val="00166E4C"/>
    <w:rsid w:val="00167B8F"/>
    <w:rsid w:val="00167BDB"/>
    <w:rsid w:val="0017119F"/>
    <w:rsid w:val="001740E1"/>
    <w:rsid w:val="00174372"/>
    <w:rsid w:val="00176F03"/>
    <w:rsid w:val="00181484"/>
    <w:rsid w:val="00181889"/>
    <w:rsid w:val="00181C69"/>
    <w:rsid w:val="00181EA4"/>
    <w:rsid w:val="001825DE"/>
    <w:rsid w:val="0018389A"/>
    <w:rsid w:val="001842B4"/>
    <w:rsid w:val="001851C6"/>
    <w:rsid w:val="00185867"/>
    <w:rsid w:val="00185897"/>
    <w:rsid w:val="0018603B"/>
    <w:rsid w:val="00186BE8"/>
    <w:rsid w:val="00187B95"/>
    <w:rsid w:val="0019068A"/>
    <w:rsid w:val="001914FF"/>
    <w:rsid w:val="0019268C"/>
    <w:rsid w:val="00193D58"/>
    <w:rsid w:val="00194389"/>
    <w:rsid w:val="00194AE9"/>
    <w:rsid w:val="00194CE8"/>
    <w:rsid w:val="00194CEC"/>
    <w:rsid w:val="001956B7"/>
    <w:rsid w:val="001962E1"/>
    <w:rsid w:val="001965E1"/>
    <w:rsid w:val="00196683"/>
    <w:rsid w:val="0019706B"/>
    <w:rsid w:val="001974FA"/>
    <w:rsid w:val="001978D2"/>
    <w:rsid w:val="00197C96"/>
    <w:rsid w:val="001A0600"/>
    <w:rsid w:val="001A0E77"/>
    <w:rsid w:val="001A2A82"/>
    <w:rsid w:val="001A42C7"/>
    <w:rsid w:val="001A4302"/>
    <w:rsid w:val="001A4B49"/>
    <w:rsid w:val="001A58B3"/>
    <w:rsid w:val="001A5927"/>
    <w:rsid w:val="001A5FFF"/>
    <w:rsid w:val="001B0176"/>
    <w:rsid w:val="001B028B"/>
    <w:rsid w:val="001B0FC9"/>
    <w:rsid w:val="001B1313"/>
    <w:rsid w:val="001B1625"/>
    <w:rsid w:val="001B1CD2"/>
    <w:rsid w:val="001B1D2B"/>
    <w:rsid w:val="001B1F5C"/>
    <w:rsid w:val="001B2F04"/>
    <w:rsid w:val="001B33A9"/>
    <w:rsid w:val="001B4E69"/>
    <w:rsid w:val="001B55A2"/>
    <w:rsid w:val="001B59C1"/>
    <w:rsid w:val="001B5B62"/>
    <w:rsid w:val="001B772A"/>
    <w:rsid w:val="001B7D19"/>
    <w:rsid w:val="001B7FCF"/>
    <w:rsid w:val="001C0A45"/>
    <w:rsid w:val="001C1ED2"/>
    <w:rsid w:val="001C277E"/>
    <w:rsid w:val="001C2D39"/>
    <w:rsid w:val="001C4C0B"/>
    <w:rsid w:val="001C4C4B"/>
    <w:rsid w:val="001C6B93"/>
    <w:rsid w:val="001D0604"/>
    <w:rsid w:val="001D1AA1"/>
    <w:rsid w:val="001D389E"/>
    <w:rsid w:val="001D4698"/>
    <w:rsid w:val="001D55A8"/>
    <w:rsid w:val="001D5892"/>
    <w:rsid w:val="001D7762"/>
    <w:rsid w:val="001E17C9"/>
    <w:rsid w:val="001E378B"/>
    <w:rsid w:val="001E3C70"/>
    <w:rsid w:val="001E419F"/>
    <w:rsid w:val="001E5E87"/>
    <w:rsid w:val="001E65E1"/>
    <w:rsid w:val="001E731B"/>
    <w:rsid w:val="001E744A"/>
    <w:rsid w:val="001F07C4"/>
    <w:rsid w:val="001F0E4E"/>
    <w:rsid w:val="001F177F"/>
    <w:rsid w:val="001F19AD"/>
    <w:rsid w:val="001F2E58"/>
    <w:rsid w:val="001F3AA3"/>
    <w:rsid w:val="001F3AF1"/>
    <w:rsid w:val="001F4390"/>
    <w:rsid w:val="001F4C72"/>
    <w:rsid w:val="001F5DAF"/>
    <w:rsid w:val="002004A7"/>
    <w:rsid w:val="002022FA"/>
    <w:rsid w:val="00203452"/>
    <w:rsid w:val="002052F9"/>
    <w:rsid w:val="00206D15"/>
    <w:rsid w:val="00207B75"/>
    <w:rsid w:val="00210222"/>
    <w:rsid w:val="00210895"/>
    <w:rsid w:val="00211559"/>
    <w:rsid w:val="002123D3"/>
    <w:rsid w:val="00215510"/>
    <w:rsid w:val="00216084"/>
    <w:rsid w:val="002160EE"/>
    <w:rsid w:val="00220636"/>
    <w:rsid w:val="00220678"/>
    <w:rsid w:val="002207E9"/>
    <w:rsid w:val="002209A3"/>
    <w:rsid w:val="00221A4C"/>
    <w:rsid w:val="0022332D"/>
    <w:rsid w:val="00223FDB"/>
    <w:rsid w:val="0022415B"/>
    <w:rsid w:val="00224E73"/>
    <w:rsid w:val="002251B0"/>
    <w:rsid w:val="002255E9"/>
    <w:rsid w:val="00225DA6"/>
    <w:rsid w:val="00226272"/>
    <w:rsid w:val="00226385"/>
    <w:rsid w:val="00226AB4"/>
    <w:rsid w:val="002270E1"/>
    <w:rsid w:val="002273D3"/>
    <w:rsid w:val="002300B6"/>
    <w:rsid w:val="00230B57"/>
    <w:rsid w:val="00234DE1"/>
    <w:rsid w:val="00234F76"/>
    <w:rsid w:val="00235981"/>
    <w:rsid w:val="002362A1"/>
    <w:rsid w:val="00236CF3"/>
    <w:rsid w:val="00236F99"/>
    <w:rsid w:val="00241251"/>
    <w:rsid w:val="0024164F"/>
    <w:rsid w:val="00242077"/>
    <w:rsid w:val="002421CB"/>
    <w:rsid w:val="00242E87"/>
    <w:rsid w:val="002431C0"/>
    <w:rsid w:val="00243461"/>
    <w:rsid w:val="00243E35"/>
    <w:rsid w:val="002442A7"/>
    <w:rsid w:val="00244BFC"/>
    <w:rsid w:val="002455B2"/>
    <w:rsid w:val="0024594C"/>
    <w:rsid w:val="00245FA7"/>
    <w:rsid w:val="00246148"/>
    <w:rsid w:val="0024636F"/>
    <w:rsid w:val="00246A07"/>
    <w:rsid w:val="00246D60"/>
    <w:rsid w:val="00247FA5"/>
    <w:rsid w:val="002505F7"/>
    <w:rsid w:val="0025211E"/>
    <w:rsid w:val="00252B23"/>
    <w:rsid w:val="00252F01"/>
    <w:rsid w:val="00252F3F"/>
    <w:rsid w:val="00254328"/>
    <w:rsid w:val="0025556E"/>
    <w:rsid w:val="00257F20"/>
    <w:rsid w:val="00257FC1"/>
    <w:rsid w:val="002601CE"/>
    <w:rsid w:val="002606E1"/>
    <w:rsid w:val="0026086A"/>
    <w:rsid w:val="002623D5"/>
    <w:rsid w:val="00262982"/>
    <w:rsid w:val="002629E2"/>
    <w:rsid w:val="0026367F"/>
    <w:rsid w:val="002641AE"/>
    <w:rsid w:val="00264BFC"/>
    <w:rsid w:val="00265237"/>
    <w:rsid w:val="00265ED9"/>
    <w:rsid w:val="00265F9C"/>
    <w:rsid w:val="00266BC7"/>
    <w:rsid w:val="00270494"/>
    <w:rsid w:val="00270C2B"/>
    <w:rsid w:val="00271D01"/>
    <w:rsid w:val="00272107"/>
    <w:rsid w:val="00272576"/>
    <w:rsid w:val="00273821"/>
    <w:rsid w:val="0027382A"/>
    <w:rsid w:val="00273A70"/>
    <w:rsid w:val="00274A4F"/>
    <w:rsid w:val="0027567B"/>
    <w:rsid w:val="00276A3F"/>
    <w:rsid w:val="00277CA5"/>
    <w:rsid w:val="00280C14"/>
    <w:rsid w:val="00281028"/>
    <w:rsid w:val="0028103B"/>
    <w:rsid w:val="00281DCC"/>
    <w:rsid w:val="00284C4B"/>
    <w:rsid w:val="00285F9D"/>
    <w:rsid w:val="0028652D"/>
    <w:rsid w:val="0028799E"/>
    <w:rsid w:val="00287AF9"/>
    <w:rsid w:val="00290A21"/>
    <w:rsid w:val="0029151C"/>
    <w:rsid w:val="0029286B"/>
    <w:rsid w:val="002928C5"/>
    <w:rsid w:val="002956AD"/>
    <w:rsid w:val="00296D71"/>
    <w:rsid w:val="00297821"/>
    <w:rsid w:val="002A0F37"/>
    <w:rsid w:val="002A262B"/>
    <w:rsid w:val="002A3316"/>
    <w:rsid w:val="002A4EAB"/>
    <w:rsid w:val="002A52DF"/>
    <w:rsid w:val="002A77A3"/>
    <w:rsid w:val="002B04AE"/>
    <w:rsid w:val="002B0E7B"/>
    <w:rsid w:val="002B12D5"/>
    <w:rsid w:val="002B2742"/>
    <w:rsid w:val="002B2BF7"/>
    <w:rsid w:val="002B63C6"/>
    <w:rsid w:val="002B7BF0"/>
    <w:rsid w:val="002B7FEE"/>
    <w:rsid w:val="002C007F"/>
    <w:rsid w:val="002C01C9"/>
    <w:rsid w:val="002C133B"/>
    <w:rsid w:val="002C140A"/>
    <w:rsid w:val="002C2417"/>
    <w:rsid w:val="002C2F40"/>
    <w:rsid w:val="002C4300"/>
    <w:rsid w:val="002C5436"/>
    <w:rsid w:val="002C5752"/>
    <w:rsid w:val="002C64EF"/>
    <w:rsid w:val="002C7709"/>
    <w:rsid w:val="002C7A38"/>
    <w:rsid w:val="002C7A49"/>
    <w:rsid w:val="002D0745"/>
    <w:rsid w:val="002D21BB"/>
    <w:rsid w:val="002D251A"/>
    <w:rsid w:val="002D2E5D"/>
    <w:rsid w:val="002D3C0F"/>
    <w:rsid w:val="002D4BEB"/>
    <w:rsid w:val="002D53DF"/>
    <w:rsid w:val="002D5926"/>
    <w:rsid w:val="002D5C46"/>
    <w:rsid w:val="002D607A"/>
    <w:rsid w:val="002D6114"/>
    <w:rsid w:val="002D6635"/>
    <w:rsid w:val="002D67F2"/>
    <w:rsid w:val="002D6C83"/>
    <w:rsid w:val="002D6D05"/>
    <w:rsid w:val="002D6E30"/>
    <w:rsid w:val="002D7846"/>
    <w:rsid w:val="002D7A02"/>
    <w:rsid w:val="002E0D8C"/>
    <w:rsid w:val="002E0DA7"/>
    <w:rsid w:val="002E1304"/>
    <w:rsid w:val="002E1369"/>
    <w:rsid w:val="002E14A8"/>
    <w:rsid w:val="002E1A78"/>
    <w:rsid w:val="002E3679"/>
    <w:rsid w:val="002E39F8"/>
    <w:rsid w:val="002E6E8C"/>
    <w:rsid w:val="002E72E1"/>
    <w:rsid w:val="002E7414"/>
    <w:rsid w:val="002E7E68"/>
    <w:rsid w:val="002F20C1"/>
    <w:rsid w:val="002F31F7"/>
    <w:rsid w:val="002F479F"/>
    <w:rsid w:val="002F5A5B"/>
    <w:rsid w:val="002F6294"/>
    <w:rsid w:val="00300418"/>
    <w:rsid w:val="00300819"/>
    <w:rsid w:val="00300B3D"/>
    <w:rsid w:val="00300B6D"/>
    <w:rsid w:val="0030189E"/>
    <w:rsid w:val="00302142"/>
    <w:rsid w:val="003025D0"/>
    <w:rsid w:val="003025EB"/>
    <w:rsid w:val="00302BD8"/>
    <w:rsid w:val="00304509"/>
    <w:rsid w:val="003100E1"/>
    <w:rsid w:val="00311EA9"/>
    <w:rsid w:val="00313250"/>
    <w:rsid w:val="0031387C"/>
    <w:rsid w:val="00314469"/>
    <w:rsid w:val="003153D0"/>
    <w:rsid w:val="00315572"/>
    <w:rsid w:val="00315CC2"/>
    <w:rsid w:val="00320930"/>
    <w:rsid w:val="00320FF1"/>
    <w:rsid w:val="00321550"/>
    <w:rsid w:val="003218A6"/>
    <w:rsid w:val="00322213"/>
    <w:rsid w:val="0032275E"/>
    <w:rsid w:val="00322A3C"/>
    <w:rsid w:val="00322CBD"/>
    <w:rsid w:val="00323E78"/>
    <w:rsid w:val="003249CC"/>
    <w:rsid w:val="0032749A"/>
    <w:rsid w:val="00330005"/>
    <w:rsid w:val="00330944"/>
    <w:rsid w:val="0033113B"/>
    <w:rsid w:val="003315A8"/>
    <w:rsid w:val="00331C28"/>
    <w:rsid w:val="00332775"/>
    <w:rsid w:val="003327CE"/>
    <w:rsid w:val="00332946"/>
    <w:rsid w:val="00332EBE"/>
    <w:rsid w:val="003336F8"/>
    <w:rsid w:val="003352D6"/>
    <w:rsid w:val="00337149"/>
    <w:rsid w:val="00337DDA"/>
    <w:rsid w:val="00337FB0"/>
    <w:rsid w:val="00340225"/>
    <w:rsid w:val="003409FB"/>
    <w:rsid w:val="00340B03"/>
    <w:rsid w:val="00340CF2"/>
    <w:rsid w:val="00342733"/>
    <w:rsid w:val="003439A8"/>
    <w:rsid w:val="00347F53"/>
    <w:rsid w:val="00350203"/>
    <w:rsid w:val="00350AF2"/>
    <w:rsid w:val="003518D0"/>
    <w:rsid w:val="003519C1"/>
    <w:rsid w:val="00351F5F"/>
    <w:rsid w:val="00352B3A"/>
    <w:rsid w:val="00353C5D"/>
    <w:rsid w:val="00353F48"/>
    <w:rsid w:val="00355946"/>
    <w:rsid w:val="00355BAB"/>
    <w:rsid w:val="00356A15"/>
    <w:rsid w:val="00357112"/>
    <w:rsid w:val="00357CB1"/>
    <w:rsid w:val="00357DAB"/>
    <w:rsid w:val="0036019B"/>
    <w:rsid w:val="0036069B"/>
    <w:rsid w:val="00360DA3"/>
    <w:rsid w:val="00361371"/>
    <w:rsid w:val="0036140A"/>
    <w:rsid w:val="003622E0"/>
    <w:rsid w:val="00362D0D"/>
    <w:rsid w:val="00363409"/>
    <w:rsid w:val="003637D7"/>
    <w:rsid w:val="00363978"/>
    <w:rsid w:val="00363A2A"/>
    <w:rsid w:val="0036498B"/>
    <w:rsid w:val="00365C89"/>
    <w:rsid w:val="003666D7"/>
    <w:rsid w:val="00366D28"/>
    <w:rsid w:val="0037068F"/>
    <w:rsid w:val="00371CE8"/>
    <w:rsid w:val="00372419"/>
    <w:rsid w:val="003728F1"/>
    <w:rsid w:val="00372AE7"/>
    <w:rsid w:val="00372BDC"/>
    <w:rsid w:val="0037452C"/>
    <w:rsid w:val="00374EE1"/>
    <w:rsid w:val="0037674C"/>
    <w:rsid w:val="00376D41"/>
    <w:rsid w:val="00376E6E"/>
    <w:rsid w:val="003779C5"/>
    <w:rsid w:val="00377E10"/>
    <w:rsid w:val="00380FC4"/>
    <w:rsid w:val="00381BB8"/>
    <w:rsid w:val="0038330A"/>
    <w:rsid w:val="00383B65"/>
    <w:rsid w:val="00383EE4"/>
    <w:rsid w:val="00385734"/>
    <w:rsid w:val="00385D40"/>
    <w:rsid w:val="0038703A"/>
    <w:rsid w:val="00387519"/>
    <w:rsid w:val="00387CF8"/>
    <w:rsid w:val="00387F5C"/>
    <w:rsid w:val="00390A58"/>
    <w:rsid w:val="00390EB2"/>
    <w:rsid w:val="0039112C"/>
    <w:rsid w:val="00393B99"/>
    <w:rsid w:val="00394CDD"/>
    <w:rsid w:val="00394E3E"/>
    <w:rsid w:val="00397293"/>
    <w:rsid w:val="00397A6B"/>
    <w:rsid w:val="003A3C1D"/>
    <w:rsid w:val="003A48D8"/>
    <w:rsid w:val="003A5846"/>
    <w:rsid w:val="003A65FA"/>
    <w:rsid w:val="003A6EEF"/>
    <w:rsid w:val="003B02D5"/>
    <w:rsid w:val="003B0C0E"/>
    <w:rsid w:val="003B26AC"/>
    <w:rsid w:val="003B2C89"/>
    <w:rsid w:val="003B2D72"/>
    <w:rsid w:val="003B610B"/>
    <w:rsid w:val="003C0389"/>
    <w:rsid w:val="003C22EE"/>
    <w:rsid w:val="003C305C"/>
    <w:rsid w:val="003C3FCA"/>
    <w:rsid w:val="003C4156"/>
    <w:rsid w:val="003C472B"/>
    <w:rsid w:val="003C4A56"/>
    <w:rsid w:val="003C4ABB"/>
    <w:rsid w:val="003C59CF"/>
    <w:rsid w:val="003C6F4E"/>
    <w:rsid w:val="003D01EA"/>
    <w:rsid w:val="003D0558"/>
    <w:rsid w:val="003D3EA5"/>
    <w:rsid w:val="003D3ED4"/>
    <w:rsid w:val="003D6816"/>
    <w:rsid w:val="003D682E"/>
    <w:rsid w:val="003D6ED0"/>
    <w:rsid w:val="003E027A"/>
    <w:rsid w:val="003E0CA6"/>
    <w:rsid w:val="003E2A52"/>
    <w:rsid w:val="003E31C8"/>
    <w:rsid w:val="003E45A4"/>
    <w:rsid w:val="003E5793"/>
    <w:rsid w:val="003E59FE"/>
    <w:rsid w:val="003E5FE7"/>
    <w:rsid w:val="003E763A"/>
    <w:rsid w:val="003F06DD"/>
    <w:rsid w:val="003F0F2C"/>
    <w:rsid w:val="003F1A5D"/>
    <w:rsid w:val="003F1C67"/>
    <w:rsid w:val="003F2DDB"/>
    <w:rsid w:val="003F446B"/>
    <w:rsid w:val="003F4D97"/>
    <w:rsid w:val="003F4E22"/>
    <w:rsid w:val="003F519C"/>
    <w:rsid w:val="003F5711"/>
    <w:rsid w:val="003F7291"/>
    <w:rsid w:val="003F7E2A"/>
    <w:rsid w:val="004004A2"/>
    <w:rsid w:val="00400A12"/>
    <w:rsid w:val="00400CAC"/>
    <w:rsid w:val="00401780"/>
    <w:rsid w:val="00403987"/>
    <w:rsid w:val="0040551D"/>
    <w:rsid w:val="00405605"/>
    <w:rsid w:val="00405CA5"/>
    <w:rsid w:val="0040605E"/>
    <w:rsid w:val="004068D1"/>
    <w:rsid w:val="004106C6"/>
    <w:rsid w:val="00411B8E"/>
    <w:rsid w:val="004121AF"/>
    <w:rsid w:val="004124FC"/>
    <w:rsid w:val="004148A0"/>
    <w:rsid w:val="00415CF9"/>
    <w:rsid w:val="00415D6E"/>
    <w:rsid w:val="00415E35"/>
    <w:rsid w:val="004161F6"/>
    <w:rsid w:val="0041642C"/>
    <w:rsid w:val="0041678A"/>
    <w:rsid w:val="00416E23"/>
    <w:rsid w:val="00417A9E"/>
    <w:rsid w:val="00417DF1"/>
    <w:rsid w:val="00420195"/>
    <w:rsid w:val="00421FCA"/>
    <w:rsid w:val="004222BF"/>
    <w:rsid w:val="004254A1"/>
    <w:rsid w:val="004273EA"/>
    <w:rsid w:val="0042789D"/>
    <w:rsid w:val="00427A5C"/>
    <w:rsid w:val="00427C26"/>
    <w:rsid w:val="00427C99"/>
    <w:rsid w:val="00430986"/>
    <w:rsid w:val="0043104C"/>
    <w:rsid w:val="00431B33"/>
    <w:rsid w:val="00431BA4"/>
    <w:rsid w:val="004329C9"/>
    <w:rsid w:val="00433A2E"/>
    <w:rsid w:val="004350B5"/>
    <w:rsid w:val="004356DD"/>
    <w:rsid w:val="00436A5D"/>
    <w:rsid w:val="0043787F"/>
    <w:rsid w:val="00437AC0"/>
    <w:rsid w:val="00440775"/>
    <w:rsid w:val="00440CB4"/>
    <w:rsid w:val="00441EC9"/>
    <w:rsid w:val="004426A9"/>
    <w:rsid w:val="00442AD4"/>
    <w:rsid w:val="00442BB2"/>
    <w:rsid w:val="00443374"/>
    <w:rsid w:val="0044342B"/>
    <w:rsid w:val="0044438B"/>
    <w:rsid w:val="00444A0A"/>
    <w:rsid w:val="004453BB"/>
    <w:rsid w:val="00445F4B"/>
    <w:rsid w:val="00446E5A"/>
    <w:rsid w:val="00447A58"/>
    <w:rsid w:val="004509B4"/>
    <w:rsid w:val="00450CD9"/>
    <w:rsid w:val="0045199E"/>
    <w:rsid w:val="00452C7E"/>
    <w:rsid w:val="004541C8"/>
    <w:rsid w:val="004551F8"/>
    <w:rsid w:val="004552F1"/>
    <w:rsid w:val="004570A4"/>
    <w:rsid w:val="0045798A"/>
    <w:rsid w:val="004579D1"/>
    <w:rsid w:val="0046380B"/>
    <w:rsid w:val="00463E31"/>
    <w:rsid w:val="004642D2"/>
    <w:rsid w:val="004645A2"/>
    <w:rsid w:val="00465D14"/>
    <w:rsid w:val="00472E74"/>
    <w:rsid w:val="00473A0A"/>
    <w:rsid w:val="00473FBD"/>
    <w:rsid w:val="00474E0F"/>
    <w:rsid w:val="00474F44"/>
    <w:rsid w:val="00475460"/>
    <w:rsid w:val="004755FC"/>
    <w:rsid w:val="00475A7C"/>
    <w:rsid w:val="00475C15"/>
    <w:rsid w:val="0047786D"/>
    <w:rsid w:val="00481ED2"/>
    <w:rsid w:val="004824B1"/>
    <w:rsid w:val="00482B2F"/>
    <w:rsid w:val="00482BD9"/>
    <w:rsid w:val="00484CB3"/>
    <w:rsid w:val="00485230"/>
    <w:rsid w:val="004853D9"/>
    <w:rsid w:val="00487F08"/>
    <w:rsid w:val="00492761"/>
    <w:rsid w:val="00492B1A"/>
    <w:rsid w:val="004934CD"/>
    <w:rsid w:val="00494F25"/>
    <w:rsid w:val="004956EA"/>
    <w:rsid w:val="00495A84"/>
    <w:rsid w:val="00496789"/>
    <w:rsid w:val="004A0800"/>
    <w:rsid w:val="004A0BA8"/>
    <w:rsid w:val="004A21C9"/>
    <w:rsid w:val="004A24F1"/>
    <w:rsid w:val="004A3249"/>
    <w:rsid w:val="004A3B16"/>
    <w:rsid w:val="004A5356"/>
    <w:rsid w:val="004A5969"/>
    <w:rsid w:val="004A683D"/>
    <w:rsid w:val="004A7714"/>
    <w:rsid w:val="004A7C0A"/>
    <w:rsid w:val="004B0458"/>
    <w:rsid w:val="004B07BF"/>
    <w:rsid w:val="004B0E49"/>
    <w:rsid w:val="004B3171"/>
    <w:rsid w:val="004B322F"/>
    <w:rsid w:val="004B32B1"/>
    <w:rsid w:val="004B36F6"/>
    <w:rsid w:val="004B3B90"/>
    <w:rsid w:val="004B4473"/>
    <w:rsid w:val="004B49CA"/>
    <w:rsid w:val="004B4A7D"/>
    <w:rsid w:val="004B4D88"/>
    <w:rsid w:val="004B5340"/>
    <w:rsid w:val="004B5AB3"/>
    <w:rsid w:val="004B5BE9"/>
    <w:rsid w:val="004C022A"/>
    <w:rsid w:val="004C0F47"/>
    <w:rsid w:val="004C20DD"/>
    <w:rsid w:val="004C343B"/>
    <w:rsid w:val="004C38E0"/>
    <w:rsid w:val="004C5158"/>
    <w:rsid w:val="004C5DDA"/>
    <w:rsid w:val="004C70DF"/>
    <w:rsid w:val="004C756F"/>
    <w:rsid w:val="004D053A"/>
    <w:rsid w:val="004D1868"/>
    <w:rsid w:val="004D1C5E"/>
    <w:rsid w:val="004D2441"/>
    <w:rsid w:val="004D2C9A"/>
    <w:rsid w:val="004D32F2"/>
    <w:rsid w:val="004D3738"/>
    <w:rsid w:val="004D3B56"/>
    <w:rsid w:val="004D464D"/>
    <w:rsid w:val="004D4E08"/>
    <w:rsid w:val="004D5FB1"/>
    <w:rsid w:val="004D6927"/>
    <w:rsid w:val="004D6B88"/>
    <w:rsid w:val="004D6D90"/>
    <w:rsid w:val="004D7469"/>
    <w:rsid w:val="004D7E68"/>
    <w:rsid w:val="004D7EA0"/>
    <w:rsid w:val="004E2C2C"/>
    <w:rsid w:val="004E3049"/>
    <w:rsid w:val="004E3C65"/>
    <w:rsid w:val="004E3E11"/>
    <w:rsid w:val="004E4AE1"/>
    <w:rsid w:val="004E4B99"/>
    <w:rsid w:val="004E58C6"/>
    <w:rsid w:val="004E63AF"/>
    <w:rsid w:val="004E66D1"/>
    <w:rsid w:val="004E67F0"/>
    <w:rsid w:val="004E6EEC"/>
    <w:rsid w:val="004E7D14"/>
    <w:rsid w:val="004F0346"/>
    <w:rsid w:val="004F0A0E"/>
    <w:rsid w:val="004F17E3"/>
    <w:rsid w:val="004F1DCE"/>
    <w:rsid w:val="004F1F87"/>
    <w:rsid w:val="004F234D"/>
    <w:rsid w:val="004F290A"/>
    <w:rsid w:val="004F2BA0"/>
    <w:rsid w:val="004F2ED6"/>
    <w:rsid w:val="004F34DB"/>
    <w:rsid w:val="004F3ECA"/>
    <w:rsid w:val="004F41D3"/>
    <w:rsid w:val="004F65E7"/>
    <w:rsid w:val="004F736A"/>
    <w:rsid w:val="004F7676"/>
    <w:rsid w:val="00500D20"/>
    <w:rsid w:val="0050146D"/>
    <w:rsid w:val="00502119"/>
    <w:rsid w:val="005025E0"/>
    <w:rsid w:val="005025F6"/>
    <w:rsid w:val="00503270"/>
    <w:rsid w:val="005038EA"/>
    <w:rsid w:val="005039EC"/>
    <w:rsid w:val="00503F4B"/>
    <w:rsid w:val="00504500"/>
    <w:rsid w:val="005057FA"/>
    <w:rsid w:val="005075A4"/>
    <w:rsid w:val="00507EFD"/>
    <w:rsid w:val="005103F3"/>
    <w:rsid w:val="0051070E"/>
    <w:rsid w:val="00512899"/>
    <w:rsid w:val="00512D42"/>
    <w:rsid w:val="00513ABB"/>
    <w:rsid w:val="00513C16"/>
    <w:rsid w:val="00513C49"/>
    <w:rsid w:val="00515305"/>
    <w:rsid w:val="00515494"/>
    <w:rsid w:val="0051576F"/>
    <w:rsid w:val="005170EB"/>
    <w:rsid w:val="00517725"/>
    <w:rsid w:val="005177CF"/>
    <w:rsid w:val="00520182"/>
    <w:rsid w:val="00525B29"/>
    <w:rsid w:val="00525C8C"/>
    <w:rsid w:val="0052661C"/>
    <w:rsid w:val="00527FC7"/>
    <w:rsid w:val="005316D6"/>
    <w:rsid w:val="00531D74"/>
    <w:rsid w:val="00531EDF"/>
    <w:rsid w:val="00532F19"/>
    <w:rsid w:val="00533B94"/>
    <w:rsid w:val="00534768"/>
    <w:rsid w:val="00534C12"/>
    <w:rsid w:val="00535019"/>
    <w:rsid w:val="00535801"/>
    <w:rsid w:val="00543429"/>
    <w:rsid w:val="005436B8"/>
    <w:rsid w:val="00544283"/>
    <w:rsid w:val="00545290"/>
    <w:rsid w:val="00546316"/>
    <w:rsid w:val="005463DA"/>
    <w:rsid w:val="005463DD"/>
    <w:rsid w:val="005470B5"/>
    <w:rsid w:val="00550509"/>
    <w:rsid w:val="00551C8B"/>
    <w:rsid w:val="00552522"/>
    <w:rsid w:val="00552C00"/>
    <w:rsid w:val="00552DC8"/>
    <w:rsid w:val="00553E7C"/>
    <w:rsid w:val="00554046"/>
    <w:rsid w:val="00554154"/>
    <w:rsid w:val="00554B49"/>
    <w:rsid w:val="0055656E"/>
    <w:rsid w:val="005569E0"/>
    <w:rsid w:val="00556C1F"/>
    <w:rsid w:val="00556D1B"/>
    <w:rsid w:val="005574C2"/>
    <w:rsid w:val="00557521"/>
    <w:rsid w:val="00557B83"/>
    <w:rsid w:val="00560B9C"/>
    <w:rsid w:val="0056136C"/>
    <w:rsid w:val="00563C08"/>
    <w:rsid w:val="00563C33"/>
    <w:rsid w:val="00563E40"/>
    <w:rsid w:val="005648FB"/>
    <w:rsid w:val="00564A56"/>
    <w:rsid w:val="00565A7E"/>
    <w:rsid w:val="00565DBA"/>
    <w:rsid w:val="005669B3"/>
    <w:rsid w:val="00566BEA"/>
    <w:rsid w:val="0057042D"/>
    <w:rsid w:val="005711D8"/>
    <w:rsid w:val="00571A8D"/>
    <w:rsid w:val="00572CD5"/>
    <w:rsid w:val="00573055"/>
    <w:rsid w:val="00573BA2"/>
    <w:rsid w:val="00574583"/>
    <w:rsid w:val="00574725"/>
    <w:rsid w:val="00574FE9"/>
    <w:rsid w:val="005767BC"/>
    <w:rsid w:val="00577307"/>
    <w:rsid w:val="00581BC1"/>
    <w:rsid w:val="00581E34"/>
    <w:rsid w:val="00582909"/>
    <w:rsid w:val="00582A99"/>
    <w:rsid w:val="005842C8"/>
    <w:rsid w:val="00584756"/>
    <w:rsid w:val="0058569E"/>
    <w:rsid w:val="00585D63"/>
    <w:rsid w:val="005861F5"/>
    <w:rsid w:val="00587B2D"/>
    <w:rsid w:val="00591022"/>
    <w:rsid w:val="00591195"/>
    <w:rsid w:val="005915AE"/>
    <w:rsid w:val="00592400"/>
    <w:rsid w:val="00592474"/>
    <w:rsid w:val="005926C0"/>
    <w:rsid w:val="005927DE"/>
    <w:rsid w:val="005929E7"/>
    <w:rsid w:val="00593EFD"/>
    <w:rsid w:val="005949DC"/>
    <w:rsid w:val="00594AEE"/>
    <w:rsid w:val="00595358"/>
    <w:rsid w:val="00596743"/>
    <w:rsid w:val="00597B22"/>
    <w:rsid w:val="005A096A"/>
    <w:rsid w:val="005A138A"/>
    <w:rsid w:val="005A16F1"/>
    <w:rsid w:val="005A20D7"/>
    <w:rsid w:val="005A395B"/>
    <w:rsid w:val="005A4D0C"/>
    <w:rsid w:val="005A63E9"/>
    <w:rsid w:val="005A71D5"/>
    <w:rsid w:val="005B0069"/>
    <w:rsid w:val="005B08B8"/>
    <w:rsid w:val="005B1F1B"/>
    <w:rsid w:val="005B2E45"/>
    <w:rsid w:val="005B3CBD"/>
    <w:rsid w:val="005B452B"/>
    <w:rsid w:val="005B4FEF"/>
    <w:rsid w:val="005B5C69"/>
    <w:rsid w:val="005B71BB"/>
    <w:rsid w:val="005C1B21"/>
    <w:rsid w:val="005C1BD4"/>
    <w:rsid w:val="005C2192"/>
    <w:rsid w:val="005C2513"/>
    <w:rsid w:val="005C3CE4"/>
    <w:rsid w:val="005C4ADA"/>
    <w:rsid w:val="005C50A9"/>
    <w:rsid w:val="005C6286"/>
    <w:rsid w:val="005D0B35"/>
    <w:rsid w:val="005D116D"/>
    <w:rsid w:val="005D1D78"/>
    <w:rsid w:val="005D2190"/>
    <w:rsid w:val="005D26C1"/>
    <w:rsid w:val="005D2C69"/>
    <w:rsid w:val="005D2D5B"/>
    <w:rsid w:val="005D2DA5"/>
    <w:rsid w:val="005D325D"/>
    <w:rsid w:val="005D454E"/>
    <w:rsid w:val="005D4934"/>
    <w:rsid w:val="005D5144"/>
    <w:rsid w:val="005D53BE"/>
    <w:rsid w:val="005D65C0"/>
    <w:rsid w:val="005D6829"/>
    <w:rsid w:val="005D6A2F"/>
    <w:rsid w:val="005D7536"/>
    <w:rsid w:val="005E023F"/>
    <w:rsid w:val="005E0C36"/>
    <w:rsid w:val="005E22E3"/>
    <w:rsid w:val="005E29BE"/>
    <w:rsid w:val="005E2DAB"/>
    <w:rsid w:val="005E3F0C"/>
    <w:rsid w:val="005E537C"/>
    <w:rsid w:val="005E5F03"/>
    <w:rsid w:val="005E6190"/>
    <w:rsid w:val="005E6373"/>
    <w:rsid w:val="005E6EDE"/>
    <w:rsid w:val="005E7524"/>
    <w:rsid w:val="005F14D3"/>
    <w:rsid w:val="005F5218"/>
    <w:rsid w:val="005F67F6"/>
    <w:rsid w:val="0060065D"/>
    <w:rsid w:val="00600A08"/>
    <w:rsid w:val="00601CB2"/>
    <w:rsid w:val="0060212D"/>
    <w:rsid w:val="0060261A"/>
    <w:rsid w:val="00602A28"/>
    <w:rsid w:val="006033CF"/>
    <w:rsid w:val="00605932"/>
    <w:rsid w:val="00607659"/>
    <w:rsid w:val="0061023B"/>
    <w:rsid w:val="00610B8C"/>
    <w:rsid w:val="00611070"/>
    <w:rsid w:val="00611B2C"/>
    <w:rsid w:val="00611DD1"/>
    <w:rsid w:val="00613589"/>
    <w:rsid w:val="00613870"/>
    <w:rsid w:val="006143F5"/>
    <w:rsid w:val="006147BF"/>
    <w:rsid w:val="006156B9"/>
    <w:rsid w:val="006172E7"/>
    <w:rsid w:val="00617642"/>
    <w:rsid w:val="00620F6D"/>
    <w:rsid w:val="00622E84"/>
    <w:rsid w:val="00623E2B"/>
    <w:rsid w:val="00624CD0"/>
    <w:rsid w:val="00625FAB"/>
    <w:rsid w:val="0062621E"/>
    <w:rsid w:val="00627128"/>
    <w:rsid w:val="00627135"/>
    <w:rsid w:val="00627C8A"/>
    <w:rsid w:val="00630527"/>
    <w:rsid w:val="00630A81"/>
    <w:rsid w:val="0063345A"/>
    <w:rsid w:val="00633759"/>
    <w:rsid w:val="00634EDF"/>
    <w:rsid w:val="00634F76"/>
    <w:rsid w:val="0063566B"/>
    <w:rsid w:val="00635AAB"/>
    <w:rsid w:val="006362BD"/>
    <w:rsid w:val="0063659C"/>
    <w:rsid w:val="00637515"/>
    <w:rsid w:val="0064232D"/>
    <w:rsid w:val="00642575"/>
    <w:rsid w:val="006427DA"/>
    <w:rsid w:val="00642B62"/>
    <w:rsid w:val="0064353D"/>
    <w:rsid w:val="006439A5"/>
    <w:rsid w:val="006444E6"/>
    <w:rsid w:val="0064509C"/>
    <w:rsid w:val="00645447"/>
    <w:rsid w:val="00645AB7"/>
    <w:rsid w:val="006463E1"/>
    <w:rsid w:val="00646CF9"/>
    <w:rsid w:val="00650DDB"/>
    <w:rsid w:val="00651649"/>
    <w:rsid w:val="00651917"/>
    <w:rsid w:val="00651CF1"/>
    <w:rsid w:val="00651D15"/>
    <w:rsid w:val="0065303F"/>
    <w:rsid w:val="00653444"/>
    <w:rsid w:val="0065377D"/>
    <w:rsid w:val="0065507A"/>
    <w:rsid w:val="00656250"/>
    <w:rsid w:val="006575D5"/>
    <w:rsid w:val="0066038E"/>
    <w:rsid w:val="0066121C"/>
    <w:rsid w:val="00662837"/>
    <w:rsid w:val="00662C76"/>
    <w:rsid w:val="0066334B"/>
    <w:rsid w:val="00663C4D"/>
    <w:rsid w:val="00664D9F"/>
    <w:rsid w:val="006650D6"/>
    <w:rsid w:val="00665294"/>
    <w:rsid w:val="00665970"/>
    <w:rsid w:val="0066618C"/>
    <w:rsid w:val="006710DF"/>
    <w:rsid w:val="00671407"/>
    <w:rsid w:val="0067290C"/>
    <w:rsid w:val="00673814"/>
    <w:rsid w:val="00674AF1"/>
    <w:rsid w:val="00681DA5"/>
    <w:rsid w:val="0068246F"/>
    <w:rsid w:val="00683FBC"/>
    <w:rsid w:val="00684365"/>
    <w:rsid w:val="006848E1"/>
    <w:rsid w:val="006850A1"/>
    <w:rsid w:val="006852DE"/>
    <w:rsid w:val="006860FF"/>
    <w:rsid w:val="00686C37"/>
    <w:rsid w:val="006907E8"/>
    <w:rsid w:val="00692434"/>
    <w:rsid w:val="00693557"/>
    <w:rsid w:val="00694A71"/>
    <w:rsid w:val="00694DC5"/>
    <w:rsid w:val="006950C7"/>
    <w:rsid w:val="00695407"/>
    <w:rsid w:val="00696639"/>
    <w:rsid w:val="00697C5F"/>
    <w:rsid w:val="00697C60"/>
    <w:rsid w:val="006A0258"/>
    <w:rsid w:val="006A0D47"/>
    <w:rsid w:val="006A1416"/>
    <w:rsid w:val="006A1A52"/>
    <w:rsid w:val="006A47E0"/>
    <w:rsid w:val="006A4842"/>
    <w:rsid w:val="006A59DD"/>
    <w:rsid w:val="006A5B28"/>
    <w:rsid w:val="006A5FF3"/>
    <w:rsid w:val="006A6EA8"/>
    <w:rsid w:val="006B1BE9"/>
    <w:rsid w:val="006B1C10"/>
    <w:rsid w:val="006B1E5C"/>
    <w:rsid w:val="006B279F"/>
    <w:rsid w:val="006B3D65"/>
    <w:rsid w:val="006B5C63"/>
    <w:rsid w:val="006B67DF"/>
    <w:rsid w:val="006B696A"/>
    <w:rsid w:val="006C0241"/>
    <w:rsid w:val="006C0FB6"/>
    <w:rsid w:val="006C19B5"/>
    <w:rsid w:val="006C2F8C"/>
    <w:rsid w:val="006C3557"/>
    <w:rsid w:val="006C4182"/>
    <w:rsid w:val="006C44B5"/>
    <w:rsid w:val="006C45C6"/>
    <w:rsid w:val="006C4B86"/>
    <w:rsid w:val="006C4DE7"/>
    <w:rsid w:val="006C4F22"/>
    <w:rsid w:val="006C545B"/>
    <w:rsid w:val="006C5D59"/>
    <w:rsid w:val="006C6BCB"/>
    <w:rsid w:val="006C745C"/>
    <w:rsid w:val="006C7AE0"/>
    <w:rsid w:val="006D056A"/>
    <w:rsid w:val="006D0943"/>
    <w:rsid w:val="006D1EB9"/>
    <w:rsid w:val="006D244E"/>
    <w:rsid w:val="006D2BF7"/>
    <w:rsid w:val="006D52F3"/>
    <w:rsid w:val="006D5B5C"/>
    <w:rsid w:val="006D6E7D"/>
    <w:rsid w:val="006D72DB"/>
    <w:rsid w:val="006E025E"/>
    <w:rsid w:val="006E076F"/>
    <w:rsid w:val="006E0E50"/>
    <w:rsid w:val="006E1247"/>
    <w:rsid w:val="006E15A5"/>
    <w:rsid w:val="006E22FA"/>
    <w:rsid w:val="006E25B8"/>
    <w:rsid w:val="006E31C0"/>
    <w:rsid w:val="006E5560"/>
    <w:rsid w:val="006E66C7"/>
    <w:rsid w:val="006E6907"/>
    <w:rsid w:val="006E77B0"/>
    <w:rsid w:val="006F19B3"/>
    <w:rsid w:val="006F2FE6"/>
    <w:rsid w:val="006F4A05"/>
    <w:rsid w:val="006F514F"/>
    <w:rsid w:val="006F5153"/>
    <w:rsid w:val="006F52C6"/>
    <w:rsid w:val="006F5658"/>
    <w:rsid w:val="006F62D0"/>
    <w:rsid w:val="006F6F21"/>
    <w:rsid w:val="007006BD"/>
    <w:rsid w:val="00702054"/>
    <w:rsid w:val="0070267B"/>
    <w:rsid w:val="00703697"/>
    <w:rsid w:val="007039E9"/>
    <w:rsid w:val="00707441"/>
    <w:rsid w:val="007078B5"/>
    <w:rsid w:val="0071083C"/>
    <w:rsid w:val="00710C82"/>
    <w:rsid w:val="00710F5B"/>
    <w:rsid w:val="00711EE0"/>
    <w:rsid w:val="00712804"/>
    <w:rsid w:val="00712F09"/>
    <w:rsid w:val="00714116"/>
    <w:rsid w:val="007141C2"/>
    <w:rsid w:val="00715099"/>
    <w:rsid w:val="00715A1B"/>
    <w:rsid w:val="00715D06"/>
    <w:rsid w:val="00717A60"/>
    <w:rsid w:val="00721187"/>
    <w:rsid w:val="00721A04"/>
    <w:rsid w:val="00721C7A"/>
    <w:rsid w:val="007232AB"/>
    <w:rsid w:val="00726C49"/>
    <w:rsid w:val="0072746E"/>
    <w:rsid w:val="0073136A"/>
    <w:rsid w:val="00731407"/>
    <w:rsid w:val="007321D4"/>
    <w:rsid w:val="007323CA"/>
    <w:rsid w:val="00733C64"/>
    <w:rsid w:val="007344F6"/>
    <w:rsid w:val="00735416"/>
    <w:rsid w:val="00735C40"/>
    <w:rsid w:val="00735E38"/>
    <w:rsid w:val="007375BB"/>
    <w:rsid w:val="007403F1"/>
    <w:rsid w:val="00741480"/>
    <w:rsid w:val="00741DD7"/>
    <w:rsid w:val="00742084"/>
    <w:rsid w:val="007423F6"/>
    <w:rsid w:val="007423FD"/>
    <w:rsid w:val="0074334E"/>
    <w:rsid w:val="00743ABA"/>
    <w:rsid w:val="00743E48"/>
    <w:rsid w:val="00744621"/>
    <w:rsid w:val="0074488E"/>
    <w:rsid w:val="00745B04"/>
    <w:rsid w:val="00747BD4"/>
    <w:rsid w:val="007505A0"/>
    <w:rsid w:val="00751800"/>
    <w:rsid w:val="007519DD"/>
    <w:rsid w:val="00751C20"/>
    <w:rsid w:val="00751E3A"/>
    <w:rsid w:val="00753D96"/>
    <w:rsid w:val="00753DB7"/>
    <w:rsid w:val="00754F4F"/>
    <w:rsid w:val="00757385"/>
    <w:rsid w:val="00757A02"/>
    <w:rsid w:val="00760392"/>
    <w:rsid w:val="00760874"/>
    <w:rsid w:val="007608CF"/>
    <w:rsid w:val="00760A3B"/>
    <w:rsid w:val="00761A02"/>
    <w:rsid w:val="00762BE9"/>
    <w:rsid w:val="007633D5"/>
    <w:rsid w:val="0076385B"/>
    <w:rsid w:val="00765184"/>
    <w:rsid w:val="007654BE"/>
    <w:rsid w:val="00766100"/>
    <w:rsid w:val="00766840"/>
    <w:rsid w:val="00766C0B"/>
    <w:rsid w:val="00771FEA"/>
    <w:rsid w:val="00772361"/>
    <w:rsid w:val="00772440"/>
    <w:rsid w:val="00772821"/>
    <w:rsid w:val="00772EE3"/>
    <w:rsid w:val="00773E21"/>
    <w:rsid w:val="00775E8A"/>
    <w:rsid w:val="00776D64"/>
    <w:rsid w:val="00780E72"/>
    <w:rsid w:val="007810A2"/>
    <w:rsid w:val="00781B7A"/>
    <w:rsid w:val="00781D19"/>
    <w:rsid w:val="0078221E"/>
    <w:rsid w:val="00782A84"/>
    <w:rsid w:val="00782D46"/>
    <w:rsid w:val="007832EA"/>
    <w:rsid w:val="007834D7"/>
    <w:rsid w:val="007850B0"/>
    <w:rsid w:val="007858FB"/>
    <w:rsid w:val="00785F4C"/>
    <w:rsid w:val="007860B6"/>
    <w:rsid w:val="007864D9"/>
    <w:rsid w:val="007876AB"/>
    <w:rsid w:val="00793853"/>
    <w:rsid w:val="00793E39"/>
    <w:rsid w:val="00794530"/>
    <w:rsid w:val="007945E9"/>
    <w:rsid w:val="007957DE"/>
    <w:rsid w:val="0079688E"/>
    <w:rsid w:val="007A052F"/>
    <w:rsid w:val="007A3D8D"/>
    <w:rsid w:val="007A520D"/>
    <w:rsid w:val="007A5AFB"/>
    <w:rsid w:val="007B0C79"/>
    <w:rsid w:val="007B1FF0"/>
    <w:rsid w:val="007B2715"/>
    <w:rsid w:val="007B526B"/>
    <w:rsid w:val="007B530F"/>
    <w:rsid w:val="007B598C"/>
    <w:rsid w:val="007B64DF"/>
    <w:rsid w:val="007B6936"/>
    <w:rsid w:val="007B6A7A"/>
    <w:rsid w:val="007B767D"/>
    <w:rsid w:val="007B7B73"/>
    <w:rsid w:val="007C0739"/>
    <w:rsid w:val="007C0A84"/>
    <w:rsid w:val="007C1578"/>
    <w:rsid w:val="007C334E"/>
    <w:rsid w:val="007C4151"/>
    <w:rsid w:val="007C54C9"/>
    <w:rsid w:val="007C5555"/>
    <w:rsid w:val="007C5EA5"/>
    <w:rsid w:val="007C7488"/>
    <w:rsid w:val="007D0F33"/>
    <w:rsid w:val="007D26A6"/>
    <w:rsid w:val="007D2A33"/>
    <w:rsid w:val="007D3305"/>
    <w:rsid w:val="007D344E"/>
    <w:rsid w:val="007D43AF"/>
    <w:rsid w:val="007D46C0"/>
    <w:rsid w:val="007D515C"/>
    <w:rsid w:val="007D535B"/>
    <w:rsid w:val="007D5594"/>
    <w:rsid w:val="007D5891"/>
    <w:rsid w:val="007D5DE7"/>
    <w:rsid w:val="007D6009"/>
    <w:rsid w:val="007D6405"/>
    <w:rsid w:val="007D6F2B"/>
    <w:rsid w:val="007D705D"/>
    <w:rsid w:val="007D70AA"/>
    <w:rsid w:val="007E072C"/>
    <w:rsid w:val="007E0D22"/>
    <w:rsid w:val="007E0D3C"/>
    <w:rsid w:val="007E1795"/>
    <w:rsid w:val="007E224F"/>
    <w:rsid w:val="007E286F"/>
    <w:rsid w:val="007E297E"/>
    <w:rsid w:val="007E2D9B"/>
    <w:rsid w:val="007E380A"/>
    <w:rsid w:val="007E4EC0"/>
    <w:rsid w:val="007E5E1F"/>
    <w:rsid w:val="007E797B"/>
    <w:rsid w:val="007F1366"/>
    <w:rsid w:val="007F1715"/>
    <w:rsid w:val="007F2CB8"/>
    <w:rsid w:val="007F2CD6"/>
    <w:rsid w:val="007F3380"/>
    <w:rsid w:val="007F3639"/>
    <w:rsid w:val="007F366C"/>
    <w:rsid w:val="007F4308"/>
    <w:rsid w:val="007F6913"/>
    <w:rsid w:val="00800AED"/>
    <w:rsid w:val="00800FB0"/>
    <w:rsid w:val="008013DE"/>
    <w:rsid w:val="00801528"/>
    <w:rsid w:val="00803AD5"/>
    <w:rsid w:val="00803CA6"/>
    <w:rsid w:val="00803EBB"/>
    <w:rsid w:val="00804B5D"/>
    <w:rsid w:val="008053DB"/>
    <w:rsid w:val="00806FF9"/>
    <w:rsid w:val="008078E8"/>
    <w:rsid w:val="00807E6A"/>
    <w:rsid w:val="008105A0"/>
    <w:rsid w:val="008109CE"/>
    <w:rsid w:val="00810E6E"/>
    <w:rsid w:val="00813FBD"/>
    <w:rsid w:val="00814D02"/>
    <w:rsid w:val="00815553"/>
    <w:rsid w:val="00815E21"/>
    <w:rsid w:val="0081628D"/>
    <w:rsid w:val="00816E5E"/>
    <w:rsid w:val="008212F6"/>
    <w:rsid w:val="00822810"/>
    <w:rsid w:val="00822B83"/>
    <w:rsid w:val="00822B97"/>
    <w:rsid w:val="00823073"/>
    <w:rsid w:val="00823AB7"/>
    <w:rsid w:val="00823C9A"/>
    <w:rsid w:val="00823E85"/>
    <w:rsid w:val="00824B47"/>
    <w:rsid w:val="00825094"/>
    <w:rsid w:val="0082562F"/>
    <w:rsid w:val="00825655"/>
    <w:rsid w:val="00826A64"/>
    <w:rsid w:val="00826A78"/>
    <w:rsid w:val="00826D6F"/>
    <w:rsid w:val="008303AF"/>
    <w:rsid w:val="0083054C"/>
    <w:rsid w:val="00830DFE"/>
    <w:rsid w:val="00830E94"/>
    <w:rsid w:val="008335B3"/>
    <w:rsid w:val="00833C64"/>
    <w:rsid w:val="008347FE"/>
    <w:rsid w:val="0083505D"/>
    <w:rsid w:val="00836FA1"/>
    <w:rsid w:val="00837AAE"/>
    <w:rsid w:val="00841617"/>
    <w:rsid w:val="00841811"/>
    <w:rsid w:val="0084351A"/>
    <w:rsid w:val="008437C0"/>
    <w:rsid w:val="00843F88"/>
    <w:rsid w:val="008445AA"/>
    <w:rsid w:val="00844D4F"/>
    <w:rsid w:val="008463CC"/>
    <w:rsid w:val="00846B5B"/>
    <w:rsid w:val="00847E03"/>
    <w:rsid w:val="008514EE"/>
    <w:rsid w:val="00852156"/>
    <w:rsid w:val="008528C7"/>
    <w:rsid w:val="008529A9"/>
    <w:rsid w:val="00853988"/>
    <w:rsid w:val="00853AB7"/>
    <w:rsid w:val="00853B39"/>
    <w:rsid w:val="00853C6F"/>
    <w:rsid w:val="00854324"/>
    <w:rsid w:val="008547EE"/>
    <w:rsid w:val="0085497D"/>
    <w:rsid w:val="0085506E"/>
    <w:rsid w:val="00855235"/>
    <w:rsid w:val="0085582D"/>
    <w:rsid w:val="00855F52"/>
    <w:rsid w:val="00856501"/>
    <w:rsid w:val="00857EFE"/>
    <w:rsid w:val="0086133D"/>
    <w:rsid w:val="0086141C"/>
    <w:rsid w:val="00861E1D"/>
    <w:rsid w:val="00862163"/>
    <w:rsid w:val="008635EF"/>
    <w:rsid w:val="008671B9"/>
    <w:rsid w:val="00867B29"/>
    <w:rsid w:val="00870B97"/>
    <w:rsid w:val="00872C14"/>
    <w:rsid w:val="008730B4"/>
    <w:rsid w:val="00873788"/>
    <w:rsid w:val="00873E0B"/>
    <w:rsid w:val="008741A4"/>
    <w:rsid w:val="0087487B"/>
    <w:rsid w:val="00875155"/>
    <w:rsid w:val="00875247"/>
    <w:rsid w:val="0087560C"/>
    <w:rsid w:val="00875635"/>
    <w:rsid w:val="00876286"/>
    <w:rsid w:val="0087678C"/>
    <w:rsid w:val="00876B57"/>
    <w:rsid w:val="00876D9E"/>
    <w:rsid w:val="00880842"/>
    <w:rsid w:val="00881AFE"/>
    <w:rsid w:val="0088206E"/>
    <w:rsid w:val="0088249D"/>
    <w:rsid w:val="00883B88"/>
    <w:rsid w:val="00885D1B"/>
    <w:rsid w:val="00886126"/>
    <w:rsid w:val="00887312"/>
    <w:rsid w:val="008877D5"/>
    <w:rsid w:val="008907FD"/>
    <w:rsid w:val="008911FC"/>
    <w:rsid w:val="008917C5"/>
    <w:rsid w:val="0089227E"/>
    <w:rsid w:val="00892C9B"/>
    <w:rsid w:val="00893836"/>
    <w:rsid w:val="008945CA"/>
    <w:rsid w:val="00895AEB"/>
    <w:rsid w:val="008964A9"/>
    <w:rsid w:val="00897E8A"/>
    <w:rsid w:val="008A0A63"/>
    <w:rsid w:val="008A0E0C"/>
    <w:rsid w:val="008A13D0"/>
    <w:rsid w:val="008A35F6"/>
    <w:rsid w:val="008A4500"/>
    <w:rsid w:val="008A45A4"/>
    <w:rsid w:val="008A480D"/>
    <w:rsid w:val="008A4EA4"/>
    <w:rsid w:val="008A4F94"/>
    <w:rsid w:val="008A798E"/>
    <w:rsid w:val="008A7EE0"/>
    <w:rsid w:val="008B0119"/>
    <w:rsid w:val="008B025B"/>
    <w:rsid w:val="008B0D13"/>
    <w:rsid w:val="008B336F"/>
    <w:rsid w:val="008B5350"/>
    <w:rsid w:val="008B54A1"/>
    <w:rsid w:val="008B5AF9"/>
    <w:rsid w:val="008B5BA0"/>
    <w:rsid w:val="008B6268"/>
    <w:rsid w:val="008B638C"/>
    <w:rsid w:val="008B7481"/>
    <w:rsid w:val="008C14AA"/>
    <w:rsid w:val="008C2FF1"/>
    <w:rsid w:val="008C32D3"/>
    <w:rsid w:val="008C4E9B"/>
    <w:rsid w:val="008C62D6"/>
    <w:rsid w:val="008C76FA"/>
    <w:rsid w:val="008C7990"/>
    <w:rsid w:val="008C7E9B"/>
    <w:rsid w:val="008D0232"/>
    <w:rsid w:val="008D0670"/>
    <w:rsid w:val="008D12D5"/>
    <w:rsid w:val="008D2D56"/>
    <w:rsid w:val="008D3B56"/>
    <w:rsid w:val="008D3F72"/>
    <w:rsid w:val="008D5536"/>
    <w:rsid w:val="008D558C"/>
    <w:rsid w:val="008D6BCE"/>
    <w:rsid w:val="008D6CCE"/>
    <w:rsid w:val="008D6D0C"/>
    <w:rsid w:val="008D740A"/>
    <w:rsid w:val="008E0238"/>
    <w:rsid w:val="008E134B"/>
    <w:rsid w:val="008E13E0"/>
    <w:rsid w:val="008E2CFB"/>
    <w:rsid w:val="008E3981"/>
    <w:rsid w:val="008E3CCF"/>
    <w:rsid w:val="008E50CF"/>
    <w:rsid w:val="008E77F3"/>
    <w:rsid w:val="008F1387"/>
    <w:rsid w:val="008F17CE"/>
    <w:rsid w:val="008F29B6"/>
    <w:rsid w:val="008F2A26"/>
    <w:rsid w:val="008F2DBD"/>
    <w:rsid w:val="008F386A"/>
    <w:rsid w:val="008F387A"/>
    <w:rsid w:val="008F4653"/>
    <w:rsid w:val="008F4F85"/>
    <w:rsid w:val="008F5A1F"/>
    <w:rsid w:val="008F6A69"/>
    <w:rsid w:val="008F6A85"/>
    <w:rsid w:val="00900FD9"/>
    <w:rsid w:val="00901244"/>
    <w:rsid w:val="009012E9"/>
    <w:rsid w:val="00901D99"/>
    <w:rsid w:val="009021E6"/>
    <w:rsid w:val="009025EE"/>
    <w:rsid w:val="009027C0"/>
    <w:rsid w:val="00902ACB"/>
    <w:rsid w:val="00904F69"/>
    <w:rsid w:val="009054F5"/>
    <w:rsid w:val="009056BD"/>
    <w:rsid w:val="00906EAD"/>
    <w:rsid w:val="00907661"/>
    <w:rsid w:val="009076A2"/>
    <w:rsid w:val="00910264"/>
    <w:rsid w:val="0091062E"/>
    <w:rsid w:val="009121D5"/>
    <w:rsid w:val="00913467"/>
    <w:rsid w:val="0091355A"/>
    <w:rsid w:val="00913CEF"/>
    <w:rsid w:val="00916B87"/>
    <w:rsid w:val="009174B3"/>
    <w:rsid w:val="00917E5E"/>
    <w:rsid w:val="009225F8"/>
    <w:rsid w:val="0092267C"/>
    <w:rsid w:val="00922C9A"/>
    <w:rsid w:val="00923106"/>
    <w:rsid w:val="00923468"/>
    <w:rsid w:val="0092382C"/>
    <w:rsid w:val="00923C57"/>
    <w:rsid w:val="00923CAA"/>
    <w:rsid w:val="00926C58"/>
    <w:rsid w:val="00926D78"/>
    <w:rsid w:val="009279A0"/>
    <w:rsid w:val="00927AC8"/>
    <w:rsid w:val="00930199"/>
    <w:rsid w:val="00930F7D"/>
    <w:rsid w:val="009332AA"/>
    <w:rsid w:val="00934AA2"/>
    <w:rsid w:val="00936C5B"/>
    <w:rsid w:val="00937422"/>
    <w:rsid w:val="00937484"/>
    <w:rsid w:val="00940162"/>
    <w:rsid w:val="009409B0"/>
    <w:rsid w:val="00941129"/>
    <w:rsid w:val="00942293"/>
    <w:rsid w:val="00944CDA"/>
    <w:rsid w:val="0094779C"/>
    <w:rsid w:val="00947FC2"/>
    <w:rsid w:val="00951768"/>
    <w:rsid w:val="00952240"/>
    <w:rsid w:val="00952D18"/>
    <w:rsid w:val="00953303"/>
    <w:rsid w:val="0095335F"/>
    <w:rsid w:val="00954128"/>
    <w:rsid w:val="00954777"/>
    <w:rsid w:val="00956FAF"/>
    <w:rsid w:val="0095702D"/>
    <w:rsid w:val="009579C1"/>
    <w:rsid w:val="009607A2"/>
    <w:rsid w:val="00962388"/>
    <w:rsid w:val="009628C3"/>
    <w:rsid w:val="00963080"/>
    <w:rsid w:val="00963309"/>
    <w:rsid w:val="00963B89"/>
    <w:rsid w:val="009648EF"/>
    <w:rsid w:val="00965687"/>
    <w:rsid w:val="0096709C"/>
    <w:rsid w:val="0097063F"/>
    <w:rsid w:val="00970BD3"/>
    <w:rsid w:val="00971714"/>
    <w:rsid w:val="00971D4E"/>
    <w:rsid w:val="00972093"/>
    <w:rsid w:val="00972797"/>
    <w:rsid w:val="0097294E"/>
    <w:rsid w:val="00972ACF"/>
    <w:rsid w:val="00972FFA"/>
    <w:rsid w:val="00973110"/>
    <w:rsid w:val="0097389A"/>
    <w:rsid w:val="00974055"/>
    <w:rsid w:val="00974437"/>
    <w:rsid w:val="00974BC1"/>
    <w:rsid w:val="00974C2C"/>
    <w:rsid w:val="00976455"/>
    <w:rsid w:val="0098071D"/>
    <w:rsid w:val="00981791"/>
    <w:rsid w:val="00982037"/>
    <w:rsid w:val="0098245E"/>
    <w:rsid w:val="00982F71"/>
    <w:rsid w:val="00983C31"/>
    <w:rsid w:val="00983EC6"/>
    <w:rsid w:val="009853CE"/>
    <w:rsid w:val="009859FB"/>
    <w:rsid w:val="0098636F"/>
    <w:rsid w:val="00986691"/>
    <w:rsid w:val="00986A8E"/>
    <w:rsid w:val="00986B81"/>
    <w:rsid w:val="00986CC0"/>
    <w:rsid w:val="009879AE"/>
    <w:rsid w:val="00987CBF"/>
    <w:rsid w:val="00991DBF"/>
    <w:rsid w:val="00991FA3"/>
    <w:rsid w:val="009920A6"/>
    <w:rsid w:val="009938F5"/>
    <w:rsid w:val="00994971"/>
    <w:rsid w:val="0099567D"/>
    <w:rsid w:val="00996485"/>
    <w:rsid w:val="009A0784"/>
    <w:rsid w:val="009A110D"/>
    <w:rsid w:val="009A2DB0"/>
    <w:rsid w:val="009A2F3C"/>
    <w:rsid w:val="009A4BFC"/>
    <w:rsid w:val="009A4EC2"/>
    <w:rsid w:val="009A4F52"/>
    <w:rsid w:val="009A4F94"/>
    <w:rsid w:val="009A5B14"/>
    <w:rsid w:val="009A5F5E"/>
    <w:rsid w:val="009A66C9"/>
    <w:rsid w:val="009B0346"/>
    <w:rsid w:val="009B0598"/>
    <w:rsid w:val="009B0D7C"/>
    <w:rsid w:val="009B0F0E"/>
    <w:rsid w:val="009B18EA"/>
    <w:rsid w:val="009B1950"/>
    <w:rsid w:val="009B2889"/>
    <w:rsid w:val="009B37DE"/>
    <w:rsid w:val="009B4A04"/>
    <w:rsid w:val="009C09F7"/>
    <w:rsid w:val="009C0C0E"/>
    <w:rsid w:val="009C0C53"/>
    <w:rsid w:val="009C1386"/>
    <w:rsid w:val="009C18FD"/>
    <w:rsid w:val="009C1E34"/>
    <w:rsid w:val="009C2C71"/>
    <w:rsid w:val="009C3C4E"/>
    <w:rsid w:val="009C4B46"/>
    <w:rsid w:val="009C558F"/>
    <w:rsid w:val="009C56F1"/>
    <w:rsid w:val="009C640A"/>
    <w:rsid w:val="009C7059"/>
    <w:rsid w:val="009D0844"/>
    <w:rsid w:val="009D0B8B"/>
    <w:rsid w:val="009D0C80"/>
    <w:rsid w:val="009D11D9"/>
    <w:rsid w:val="009D2546"/>
    <w:rsid w:val="009D26E0"/>
    <w:rsid w:val="009D27EF"/>
    <w:rsid w:val="009D7AF8"/>
    <w:rsid w:val="009E0666"/>
    <w:rsid w:val="009E1B0B"/>
    <w:rsid w:val="009E1DB9"/>
    <w:rsid w:val="009E2187"/>
    <w:rsid w:val="009E2E2F"/>
    <w:rsid w:val="009E5CAE"/>
    <w:rsid w:val="009E655F"/>
    <w:rsid w:val="009E6887"/>
    <w:rsid w:val="009E70EE"/>
    <w:rsid w:val="009E7235"/>
    <w:rsid w:val="009F021C"/>
    <w:rsid w:val="009F0D77"/>
    <w:rsid w:val="009F0F63"/>
    <w:rsid w:val="009F1C53"/>
    <w:rsid w:val="009F215B"/>
    <w:rsid w:val="009F26C9"/>
    <w:rsid w:val="009F3552"/>
    <w:rsid w:val="009F3F3D"/>
    <w:rsid w:val="009F4D95"/>
    <w:rsid w:val="009F4F27"/>
    <w:rsid w:val="009F4FA0"/>
    <w:rsid w:val="009F5FB9"/>
    <w:rsid w:val="009F6592"/>
    <w:rsid w:val="009F6F9A"/>
    <w:rsid w:val="00A005A6"/>
    <w:rsid w:val="00A00CE7"/>
    <w:rsid w:val="00A01751"/>
    <w:rsid w:val="00A0248F"/>
    <w:rsid w:val="00A030CD"/>
    <w:rsid w:val="00A0314B"/>
    <w:rsid w:val="00A03C34"/>
    <w:rsid w:val="00A05A68"/>
    <w:rsid w:val="00A06C58"/>
    <w:rsid w:val="00A07148"/>
    <w:rsid w:val="00A078A9"/>
    <w:rsid w:val="00A11C6F"/>
    <w:rsid w:val="00A121E1"/>
    <w:rsid w:val="00A12CC5"/>
    <w:rsid w:val="00A13BA8"/>
    <w:rsid w:val="00A14B66"/>
    <w:rsid w:val="00A16766"/>
    <w:rsid w:val="00A16E29"/>
    <w:rsid w:val="00A17B22"/>
    <w:rsid w:val="00A20BC8"/>
    <w:rsid w:val="00A21C50"/>
    <w:rsid w:val="00A21F14"/>
    <w:rsid w:val="00A22A19"/>
    <w:rsid w:val="00A22A22"/>
    <w:rsid w:val="00A22E65"/>
    <w:rsid w:val="00A2306E"/>
    <w:rsid w:val="00A23C49"/>
    <w:rsid w:val="00A24508"/>
    <w:rsid w:val="00A24964"/>
    <w:rsid w:val="00A25520"/>
    <w:rsid w:val="00A25AB9"/>
    <w:rsid w:val="00A25CC8"/>
    <w:rsid w:val="00A26F5F"/>
    <w:rsid w:val="00A2703B"/>
    <w:rsid w:val="00A27193"/>
    <w:rsid w:val="00A307DF"/>
    <w:rsid w:val="00A30A19"/>
    <w:rsid w:val="00A30A2B"/>
    <w:rsid w:val="00A32061"/>
    <w:rsid w:val="00A335D0"/>
    <w:rsid w:val="00A337F8"/>
    <w:rsid w:val="00A340CE"/>
    <w:rsid w:val="00A3421E"/>
    <w:rsid w:val="00A36BED"/>
    <w:rsid w:val="00A373CF"/>
    <w:rsid w:val="00A37A7E"/>
    <w:rsid w:val="00A42A01"/>
    <w:rsid w:val="00A43623"/>
    <w:rsid w:val="00A446F4"/>
    <w:rsid w:val="00A44936"/>
    <w:rsid w:val="00A4575C"/>
    <w:rsid w:val="00A4741E"/>
    <w:rsid w:val="00A47BD2"/>
    <w:rsid w:val="00A50F6D"/>
    <w:rsid w:val="00A51002"/>
    <w:rsid w:val="00A518E9"/>
    <w:rsid w:val="00A53177"/>
    <w:rsid w:val="00A5471A"/>
    <w:rsid w:val="00A54C3E"/>
    <w:rsid w:val="00A54E93"/>
    <w:rsid w:val="00A55324"/>
    <w:rsid w:val="00A55C35"/>
    <w:rsid w:val="00A57980"/>
    <w:rsid w:val="00A60E34"/>
    <w:rsid w:val="00A610D3"/>
    <w:rsid w:val="00A6262F"/>
    <w:rsid w:val="00A62E03"/>
    <w:rsid w:val="00A63961"/>
    <w:rsid w:val="00A642A8"/>
    <w:rsid w:val="00A64D98"/>
    <w:rsid w:val="00A65660"/>
    <w:rsid w:val="00A66883"/>
    <w:rsid w:val="00A706B8"/>
    <w:rsid w:val="00A712D4"/>
    <w:rsid w:val="00A73165"/>
    <w:rsid w:val="00A754B3"/>
    <w:rsid w:val="00A75640"/>
    <w:rsid w:val="00A7578E"/>
    <w:rsid w:val="00A75C77"/>
    <w:rsid w:val="00A769B0"/>
    <w:rsid w:val="00A76EFB"/>
    <w:rsid w:val="00A83787"/>
    <w:rsid w:val="00A84163"/>
    <w:rsid w:val="00A84BA0"/>
    <w:rsid w:val="00A85992"/>
    <w:rsid w:val="00A90078"/>
    <w:rsid w:val="00A91636"/>
    <w:rsid w:val="00A91EC7"/>
    <w:rsid w:val="00A92384"/>
    <w:rsid w:val="00A93B05"/>
    <w:rsid w:val="00A95263"/>
    <w:rsid w:val="00A95BF9"/>
    <w:rsid w:val="00A9600F"/>
    <w:rsid w:val="00AA1CC9"/>
    <w:rsid w:val="00AA451C"/>
    <w:rsid w:val="00AA5B07"/>
    <w:rsid w:val="00AA5B35"/>
    <w:rsid w:val="00AB0400"/>
    <w:rsid w:val="00AB0F08"/>
    <w:rsid w:val="00AB119D"/>
    <w:rsid w:val="00AB1BA0"/>
    <w:rsid w:val="00AB422C"/>
    <w:rsid w:val="00AB4C47"/>
    <w:rsid w:val="00AB557F"/>
    <w:rsid w:val="00AB618A"/>
    <w:rsid w:val="00AB7822"/>
    <w:rsid w:val="00AB7BC4"/>
    <w:rsid w:val="00AC1CF7"/>
    <w:rsid w:val="00AC2AE9"/>
    <w:rsid w:val="00AC35C3"/>
    <w:rsid w:val="00AC4480"/>
    <w:rsid w:val="00AC597F"/>
    <w:rsid w:val="00AC621B"/>
    <w:rsid w:val="00AC6ACD"/>
    <w:rsid w:val="00AC7E8A"/>
    <w:rsid w:val="00AD09FF"/>
    <w:rsid w:val="00AD3656"/>
    <w:rsid w:val="00AD4036"/>
    <w:rsid w:val="00AD4376"/>
    <w:rsid w:val="00AD4E7A"/>
    <w:rsid w:val="00AD507D"/>
    <w:rsid w:val="00AD5A4A"/>
    <w:rsid w:val="00AD5B1D"/>
    <w:rsid w:val="00AD6EE9"/>
    <w:rsid w:val="00AD7CE0"/>
    <w:rsid w:val="00AE0D3E"/>
    <w:rsid w:val="00AE0DAA"/>
    <w:rsid w:val="00AE22EC"/>
    <w:rsid w:val="00AE2700"/>
    <w:rsid w:val="00AE279E"/>
    <w:rsid w:val="00AE3498"/>
    <w:rsid w:val="00AE3FC9"/>
    <w:rsid w:val="00AE42EE"/>
    <w:rsid w:val="00AE5247"/>
    <w:rsid w:val="00AE5394"/>
    <w:rsid w:val="00AE6A62"/>
    <w:rsid w:val="00AE6FBD"/>
    <w:rsid w:val="00AE787D"/>
    <w:rsid w:val="00AE7F11"/>
    <w:rsid w:val="00AF1F8A"/>
    <w:rsid w:val="00AF2BF3"/>
    <w:rsid w:val="00AF3195"/>
    <w:rsid w:val="00AF5170"/>
    <w:rsid w:val="00AF5612"/>
    <w:rsid w:val="00AF6FD7"/>
    <w:rsid w:val="00B014E7"/>
    <w:rsid w:val="00B01985"/>
    <w:rsid w:val="00B01DEF"/>
    <w:rsid w:val="00B02F18"/>
    <w:rsid w:val="00B036CC"/>
    <w:rsid w:val="00B03CD3"/>
    <w:rsid w:val="00B05CC5"/>
    <w:rsid w:val="00B05EBD"/>
    <w:rsid w:val="00B06F68"/>
    <w:rsid w:val="00B07142"/>
    <w:rsid w:val="00B11493"/>
    <w:rsid w:val="00B11572"/>
    <w:rsid w:val="00B130B7"/>
    <w:rsid w:val="00B13437"/>
    <w:rsid w:val="00B151F9"/>
    <w:rsid w:val="00B15B77"/>
    <w:rsid w:val="00B16E67"/>
    <w:rsid w:val="00B21A38"/>
    <w:rsid w:val="00B2294E"/>
    <w:rsid w:val="00B22E02"/>
    <w:rsid w:val="00B22EA6"/>
    <w:rsid w:val="00B23217"/>
    <w:rsid w:val="00B239C6"/>
    <w:rsid w:val="00B25419"/>
    <w:rsid w:val="00B25D5E"/>
    <w:rsid w:val="00B260DC"/>
    <w:rsid w:val="00B279A1"/>
    <w:rsid w:val="00B27B87"/>
    <w:rsid w:val="00B30D21"/>
    <w:rsid w:val="00B317DB"/>
    <w:rsid w:val="00B31834"/>
    <w:rsid w:val="00B32744"/>
    <w:rsid w:val="00B32AFA"/>
    <w:rsid w:val="00B3478F"/>
    <w:rsid w:val="00B362AF"/>
    <w:rsid w:val="00B4061A"/>
    <w:rsid w:val="00B406E5"/>
    <w:rsid w:val="00B40F78"/>
    <w:rsid w:val="00B41DD8"/>
    <w:rsid w:val="00B44270"/>
    <w:rsid w:val="00B44C63"/>
    <w:rsid w:val="00B450A9"/>
    <w:rsid w:val="00B45AE2"/>
    <w:rsid w:val="00B46ACE"/>
    <w:rsid w:val="00B51740"/>
    <w:rsid w:val="00B51821"/>
    <w:rsid w:val="00B52244"/>
    <w:rsid w:val="00B52372"/>
    <w:rsid w:val="00B53784"/>
    <w:rsid w:val="00B53F37"/>
    <w:rsid w:val="00B54E46"/>
    <w:rsid w:val="00B55225"/>
    <w:rsid w:val="00B55348"/>
    <w:rsid w:val="00B568CB"/>
    <w:rsid w:val="00B577C1"/>
    <w:rsid w:val="00B603A8"/>
    <w:rsid w:val="00B6050B"/>
    <w:rsid w:val="00B610B7"/>
    <w:rsid w:val="00B62254"/>
    <w:rsid w:val="00B622ED"/>
    <w:rsid w:val="00B64EBD"/>
    <w:rsid w:val="00B65DEF"/>
    <w:rsid w:val="00B660AC"/>
    <w:rsid w:val="00B671B8"/>
    <w:rsid w:val="00B67F29"/>
    <w:rsid w:val="00B72C26"/>
    <w:rsid w:val="00B73768"/>
    <w:rsid w:val="00B73A7D"/>
    <w:rsid w:val="00B74774"/>
    <w:rsid w:val="00B7528E"/>
    <w:rsid w:val="00B7677B"/>
    <w:rsid w:val="00B773FB"/>
    <w:rsid w:val="00B77624"/>
    <w:rsid w:val="00B80892"/>
    <w:rsid w:val="00B8108C"/>
    <w:rsid w:val="00B815C0"/>
    <w:rsid w:val="00B8170D"/>
    <w:rsid w:val="00B81972"/>
    <w:rsid w:val="00B82516"/>
    <w:rsid w:val="00B82A4E"/>
    <w:rsid w:val="00B83C27"/>
    <w:rsid w:val="00B848C3"/>
    <w:rsid w:val="00B85290"/>
    <w:rsid w:val="00B8537A"/>
    <w:rsid w:val="00B87A70"/>
    <w:rsid w:val="00B9198D"/>
    <w:rsid w:val="00B92DD3"/>
    <w:rsid w:val="00B92F40"/>
    <w:rsid w:val="00B9317F"/>
    <w:rsid w:val="00B93505"/>
    <w:rsid w:val="00B94543"/>
    <w:rsid w:val="00B95401"/>
    <w:rsid w:val="00B960F0"/>
    <w:rsid w:val="00B96B93"/>
    <w:rsid w:val="00B96C06"/>
    <w:rsid w:val="00B97294"/>
    <w:rsid w:val="00BA10D3"/>
    <w:rsid w:val="00BA12E0"/>
    <w:rsid w:val="00BA1643"/>
    <w:rsid w:val="00BA23A6"/>
    <w:rsid w:val="00BA2BEC"/>
    <w:rsid w:val="00BA2DBD"/>
    <w:rsid w:val="00BA3EF2"/>
    <w:rsid w:val="00BA48D4"/>
    <w:rsid w:val="00BA4E56"/>
    <w:rsid w:val="00BA58A8"/>
    <w:rsid w:val="00BA70CE"/>
    <w:rsid w:val="00BA70E1"/>
    <w:rsid w:val="00BA720B"/>
    <w:rsid w:val="00BA73F4"/>
    <w:rsid w:val="00BB0BE5"/>
    <w:rsid w:val="00BB1372"/>
    <w:rsid w:val="00BB1D53"/>
    <w:rsid w:val="00BB31CE"/>
    <w:rsid w:val="00BB3207"/>
    <w:rsid w:val="00BB3A35"/>
    <w:rsid w:val="00BB49D0"/>
    <w:rsid w:val="00BB4C95"/>
    <w:rsid w:val="00BB5714"/>
    <w:rsid w:val="00BB5D3A"/>
    <w:rsid w:val="00BB631E"/>
    <w:rsid w:val="00BB65A8"/>
    <w:rsid w:val="00BB6942"/>
    <w:rsid w:val="00BB6BCC"/>
    <w:rsid w:val="00BB7BAD"/>
    <w:rsid w:val="00BB7D3D"/>
    <w:rsid w:val="00BC1AFD"/>
    <w:rsid w:val="00BC27AC"/>
    <w:rsid w:val="00BC3595"/>
    <w:rsid w:val="00BC4059"/>
    <w:rsid w:val="00BC5CB6"/>
    <w:rsid w:val="00BC6169"/>
    <w:rsid w:val="00BC72F5"/>
    <w:rsid w:val="00BC7579"/>
    <w:rsid w:val="00BD0359"/>
    <w:rsid w:val="00BD0B7C"/>
    <w:rsid w:val="00BD0D3F"/>
    <w:rsid w:val="00BD11D3"/>
    <w:rsid w:val="00BD2121"/>
    <w:rsid w:val="00BD34CD"/>
    <w:rsid w:val="00BD3ABB"/>
    <w:rsid w:val="00BD4F67"/>
    <w:rsid w:val="00BD530B"/>
    <w:rsid w:val="00BD674D"/>
    <w:rsid w:val="00BD6765"/>
    <w:rsid w:val="00BD74D1"/>
    <w:rsid w:val="00BE004C"/>
    <w:rsid w:val="00BE12EE"/>
    <w:rsid w:val="00BE1CDB"/>
    <w:rsid w:val="00BE2CD4"/>
    <w:rsid w:val="00BE3242"/>
    <w:rsid w:val="00BE354A"/>
    <w:rsid w:val="00BE4B99"/>
    <w:rsid w:val="00BE557E"/>
    <w:rsid w:val="00BE586D"/>
    <w:rsid w:val="00BE5DB5"/>
    <w:rsid w:val="00BE6537"/>
    <w:rsid w:val="00BE75EA"/>
    <w:rsid w:val="00BF25A0"/>
    <w:rsid w:val="00BF2D80"/>
    <w:rsid w:val="00BF592D"/>
    <w:rsid w:val="00BF608B"/>
    <w:rsid w:val="00BF6CF2"/>
    <w:rsid w:val="00BF6D49"/>
    <w:rsid w:val="00BF6F67"/>
    <w:rsid w:val="00BF7439"/>
    <w:rsid w:val="00BF74D2"/>
    <w:rsid w:val="00C052A3"/>
    <w:rsid w:val="00C0605F"/>
    <w:rsid w:val="00C0621C"/>
    <w:rsid w:val="00C0695D"/>
    <w:rsid w:val="00C0732D"/>
    <w:rsid w:val="00C07DA3"/>
    <w:rsid w:val="00C10F6F"/>
    <w:rsid w:val="00C12C91"/>
    <w:rsid w:val="00C12FCB"/>
    <w:rsid w:val="00C14873"/>
    <w:rsid w:val="00C15336"/>
    <w:rsid w:val="00C16419"/>
    <w:rsid w:val="00C169BC"/>
    <w:rsid w:val="00C16CB4"/>
    <w:rsid w:val="00C16CC3"/>
    <w:rsid w:val="00C17691"/>
    <w:rsid w:val="00C17705"/>
    <w:rsid w:val="00C17E79"/>
    <w:rsid w:val="00C2023E"/>
    <w:rsid w:val="00C203FE"/>
    <w:rsid w:val="00C20474"/>
    <w:rsid w:val="00C20CB4"/>
    <w:rsid w:val="00C219FD"/>
    <w:rsid w:val="00C21A74"/>
    <w:rsid w:val="00C21B83"/>
    <w:rsid w:val="00C22139"/>
    <w:rsid w:val="00C22631"/>
    <w:rsid w:val="00C234D6"/>
    <w:rsid w:val="00C240C4"/>
    <w:rsid w:val="00C242B3"/>
    <w:rsid w:val="00C24DB5"/>
    <w:rsid w:val="00C25087"/>
    <w:rsid w:val="00C25F96"/>
    <w:rsid w:val="00C2763E"/>
    <w:rsid w:val="00C27FA6"/>
    <w:rsid w:val="00C30765"/>
    <w:rsid w:val="00C31238"/>
    <w:rsid w:val="00C32C07"/>
    <w:rsid w:val="00C333DA"/>
    <w:rsid w:val="00C346A7"/>
    <w:rsid w:val="00C362E4"/>
    <w:rsid w:val="00C36964"/>
    <w:rsid w:val="00C375FB"/>
    <w:rsid w:val="00C37FAE"/>
    <w:rsid w:val="00C4078E"/>
    <w:rsid w:val="00C413AD"/>
    <w:rsid w:val="00C41A9A"/>
    <w:rsid w:val="00C42E1B"/>
    <w:rsid w:val="00C43213"/>
    <w:rsid w:val="00C455F7"/>
    <w:rsid w:val="00C464E2"/>
    <w:rsid w:val="00C46901"/>
    <w:rsid w:val="00C47DF4"/>
    <w:rsid w:val="00C506AD"/>
    <w:rsid w:val="00C50A0F"/>
    <w:rsid w:val="00C50DF4"/>
    <w:rsid w:val="00C51C90"/>
    <w:rsid w:val="00C51CB5"/>
    <w:rsid w:val="00C52768"/>
    <w:rsid w:val="00C52A7D"/>
    <w:rsid w:val="00C52DA0"/>
    <w:rsid w:val="00C531DD"/>
    <w:rsid w:val="00C53A07"/>
    <w:rsid w:val="00C54AD6"/>
    <w:rsid w:val="00C54C00"/>
    <w:rsid w:val="00C54DB7"/>
    <w:rsid w:val="00C54E9D"/>
    <w:rsid w:val="00C60312"/>
    <w:rsid w:val="00C607E8"/>
    <w:rsid w:val="00C61248"/>
    <w:rsid w:val="00C61549"/>
    <w:rsid w:val="00C6176D"/>
    <w:rsid w:val="00C61D87"/>
    <w:rsid w:val="00C62446"/>
    <w:rsid w:val="00C62F1B"/>
    <w:rsid w:val="00C63ACF"/>
    <w:rsid w:val="00C63D0D"/>
    <w:rsid w:val="00C6442F"/>
    <w:rsid w:val="00C647B1"/>
    <w:rsid w:val="00C67B6C"/>
    <w:rsid w:val="00C67FBA"/>
    <w:rsid w:val="00C703D9"/>
    <w:rsid w:val="00C70F76"/>
    <w:rsid w:val="00C71DE7"/>
    <w:rsid w:val="00C72F0A"/>
    <w:rsid w:val="00C73BC7"/>
    <w:rsid w:val="00C740A6"/>
    <w:rsid w:val="00C74399"/>
    <w:rsid w:val="00C75306"/>
    <w:rsid w:val="00C775D4"/>
    <w:rsid w:val="00C80CB4"/>
    <w:rsid w:val="00C84B7C"/>
    <w:rsid w:val="00C85C18"/>
    <w:rsid w:val="00C85D1A"/>
    <w:rsid w:val="00C860E9"/>
    <w:rsid w:val="00C879F1"/>
    <w:rsid w:val="00C9036D"/>
    <w:rsid w:val="00C908F4"/>
    <w:rsid w:val="00C91234"/>
    <w:rsid w:val="00C91707"/>
    <w:rsid w:val="00C91FCF"/>
    <w:rsid w:val="00C9251E"/>
    <w:rsid w:val="00C92AE2"/>
    <w:rsid w:val="00C93232"/>
    <w:rsid w:val="00C93CAF"/>
    <w:rsid w:val="00C94357"/>
    <w:rsid w:val="00C944CA"/>
    <w:rsid w:val="00C9464F"/>
    <w:rsid w:val="00C956BC"/>
    <w:rsid w:val="00C9626D"/>
    <w:rsid w:val="00C97670"/>
    <w:rsid w:val="00CA0392"/>
    <w:rsid w:val="00CA0452"/>
    <w:rsid w:val="00CA0A1B"/>
    <w:rsid w:val="00CA1005"/>
    <w:rsid w:val="00CA185C"/>
    <w:rsid w:val="00CA1A64"/>
    <w:rsid w:val="00CA3877"/>
    <w:rsid w:val="00CA51E6"/>
    <w:rsid w:val="00CA54E4"/>
    <w:rsid w:val="00CA6540"/>
    <w:rsid w:val="00CA7A10"/>
    <w:rsid w:val="00CA7E5A"/>
    <w:rsid w:val="00CB03C6"/>
    <w:rsid w:val="00CB1013"/>
    <w:rsid w:val="00CB1115"/>
    <w:rsid w:val="00CB11EC"/>
    <w:rsid w:val="00CB2341"/>
    <w:rsid w:val="00CB3C3C"/>
    <w:rsid w:val="00CB411E"/>
    <w:rsid w:val="00CB625B"/>
    <w:rsid w:val="00CB6AF2"/>
    <w:rsid w:val="00CC0006"/>
    <w:rsid w:val="00CC067A"/>
    <w:rsid w:val="00CC0D20"/>
    <w:rsid w:val="00CC2485"/>
    <w:rsid w:val="00CC2560"/>
    <w:rsid w:val="00CC2E6E"/>
    <w:rsid w:val="00CC350D"/>
    <w:rsid w:val="00CC37C0"/>
    <w:rsid w:val="00CC389D"/>
    <w:rsid w:val="00CC4564"/>
    <w:rsid w:val="00CC4A64"/>
    <w:rsid w:val="00CC5665"/>
    <w:rsid w:val="00CC6265"/>
    <w:rsid w:val="00CC6780"/>
    <w:rsid w:val="00CC7A5C"/>
    <w:rsid w:val="00CC7D93"/>
    <w:rsid w:val="00CC7ED5"/>
    <w:rsid w:val="00CD05B8"/>
    <w:rsid w:val="00CD0819"/>
    <w:rsid w:val="00CD08AA"/>
    <w:rsid w:val="00CD0AFD"/>
    <w:rsid w:val="00CD0F3B"/>
    <w:rsid w:val="00CD1B39"/>
    <w:rsid w:val="00CD1B50"/>
    <w:rsid w:val="00CD1D24"/>
    <w:rsid w:val="00CD1FDB"/>
    <w:rsid w:val="00CD318E"/>
    <w:rsid w:val="00CD3695"/>
    <w:rsid w:val="00CD4851"/>
    <w:rsid w:val="00CD4AF9"/>
    <w:rsid w:val="00CD59F1"/>
    <w:rsid w:val="00CD5BCB"/>
    <w:rsid w:val="00CD67DE"/>
    <w:rsid w:val="00CD75EE"/>
    <w:rsid w:val="00CD7C40"/>
    <w:rsid w:val="00CE0075"/>
    <w:rsid w:val="00CE0250"/>
    <w:rsid w:val="00CE24DC"/>
    <w:rsid w:val="00CE2621"/>
    <w:rsid w:val="00CE333A"/>
    <w:rsid w:val="00CE352A"/>
    <w:rsid w:val="00CE35CE"/>
    <w:rsid w:val="00CE3687"/>
    <w:rsid w:val="00CE3A90"/>
    <w:rsid w:val="00CE4077"/>
    <w:rsid w:val="00CE64A5"/>
    <w:rsid w:val="00CE6913"/>
    <w:rsid w:val="00CE6C6E"/>
    <w:rsid w:val="00CE7EB4"/>
    <w:rsid w:val="00CF16D3"/>
    <w:rsid w:val="00CF374F"/>
    <w:rsid w:val="00CF4A7A"/>
    <w:rsid w:val="00CF516E"/>
    <w:rsid w:val="00CF51BF"/>
    <w:rsid w:val="00CF5735"/>
    <w:rsid w:val="00CF581B"/>
    <w:rsid w:val="00CF5C76"/>
    <w:rsid w:val="00CF668E"/>
    <w:rsid w:val="00CF7585"/>
    <w:rsid w:val="00D01FB5"/>
    <w:rsid w:val="00D02558"/>
    <w:rsid w:val="00D0423F"/>
    <w:rsid w:val="00D0693F"/>
    <w:rsid w:val="00D07570"/>
    <w:rsid w:val="00D075CD"/>
    <w:rsid w:val="00D078DC"/>
    <w:rsid w:val="00D07EA6"/>
    <w:rsid w:val="00D11D6C"/>
    <w:rsid w:val="00D125A7"/>
    <w:rsid w:val="00D129CB"/>
    <w:rsid w:val="00D15466"/>
    <w:rsid w:val="00D1558B"/>
    <w:rsid w:val="00D163E5"/>
    <w:rsid w:val="00D16DF1"/>
    <w:rsid w:val="00D201B5"/>
    <w:rsid w:val="00D2160D"/>
    <w:rsid w:val="00D21C00"/>
    <w:rsid w:val="00D232BA"/>
    <w:rsid w:val="00D2353F"/>
    <w:rsid w:val="00D23AF5"/>
    <w:rsid w:val="00D23DDA"/>
    <w:rsid w:val="00D24A10"/>
    <w:rsid w:val="00D253A1"/>
    <w:rsid w:val="00D2784E"/>
    <w:rsid w:val="00D3044A"/>
    <w:rsid w:val="00D3135D"/>
    <w:rsid w:val="00D31695"/>
    <w:rsid w:val="00D3289A"/>
    <w:rsid w:val="00D32C8A"/>
    <w:rsid w:val="00D32DC1"/>
    <w:rsid w:val="00D32E53"/>
    <w:rsid w:val="00D33E96"/>
    <w:rsid w:val="00D37780"/>
    <w:rsid w:val="00D425A1"/>
    <w:rsid w:val="00D4283E"/>
    <w:rsid w:val="00D437F2"/>
    <w:rsid w:val="00D43965"/>
    <w:rsid w:val="00D44220"/>
    <w:rsid w:val="00D4451D"/>
    <w:rsid w:val="00D448D2"/>
    <w:rsid w:val="00D44F48"/>
    <w:rsid w:val="00D46D21"/>
    <w:rsid w:val="00D4711A"/>
    <w:rsid w:val="00D50654"/>
    <w:rsid w:val="00D50741"/>
    <w:rsid w:val="00D51B1B"/>
    <w:rsid w:val="00D51C8D"/>
    <w:rsid w:val="00D5259A"/>
    <w:rsid w:val="00D52943"/>
    <w:rsid w:val="00D52BE0"/>
    <w:rsid w:val="00D52CAF"/>
    <w:rsid w:val="00D53630"/>
    <w:rsid w:val="00D5480E"/>
    <w:rsid w:val="00D555E9"/>
    <w:rsid w:val="00D55D50"/>
    <w:rsid w:val="00D60B14"/>
    <w:rsid w:val="00D60C0F"/>
    <w:rsid w:val="00D62022"/>
    <w:rsid w:val="00D6245A"/>
    <w:rsid w:val="00D626BD"/>
    <w:rsid w:val="00D63A5C"/>
    <w:rsid w:val="00D6679E"/>
    <w:rsid w:val="00D66BFE"/>
    <w:rsid w:val="00D66EE3"/>
    <w:rsid w:val="00D675B6"/>
    <w:rsid w:val="00D67B4C"/>
    <w:rsid w:val="00D67CDE"/>
    <w:rsid w:val="00D70449"/>
    <w:rsid w:val="00D70D72"/>
    <w:rsid w:val="00D70EFD"/>
    <w:rsid w:val="00D745CB"/>
    <w:rsid w:val="00D75459"/>
    <w:rsid w:val="00D77CF2"/>
    <w:rsid w:val="00D80852"/>
    <w:rsid w:val="00D80AD5"/>
    <w:rsid w:val="00D82DC3"/>
    <w:rsid w:val="00D84E61"/>
    <w:rsid w:val="00D85438"/>
    <w:rsid w:val="00D85E65"/>
    <w:rsid w:val="00D8707A"/>
    <w:rsid w:val="00D903D1"/>
    <w:rsid w:val="00D90D41"/>
    <w:rsid w:val="00D91184"/>
    <w:rsid w:val="00D92554"/>
    <w:rsid w:val="00D931A8"/>
    <w:rsid w:val="00D935E2"/>
    <w:rsid w:val="00D9441D"/>
    <w:rsid w:val="00D9443A"/>
    <w:rsid w:val="00D94B08"/>
    <w:rsid w:val="00D95844"/>
    <w:rsid w:val="00D9688A"/>
    <w:rsid w:val="00DA028F"/>
    <w:rsid w:val="00DA42EC"/>
    <w:rsid w:val="00DA458B"/>
    <w:rsid w:val="00DA7687"/>
    <w:rsid w:val="00DA78B0"/>
    <w:rsid w:val="00DA78D7"/>
    <w:rsid w:val="00DB087F"/>
    <w:rsid w:val="00DB0B49"/>
    <w:rsid w:val="00DB1782"/>
    <w:rsid w:val="00DB1AC7"/>
    <w:rsid w:val="00DB2A43"/>
    <w:rsid w:val="00DB3088"/>
    <w:rsid w:val="00DB3654"/>
    <w:rsid w:val="00DB445F"/>
    <w:rsid w:val="00DB4963"/>
    <w:rsid w:val="00DB4E29"/>
    <w:rsid w:val="00DB5DCC"/>
    <w:rsid w:val="00DB6A66"/>
    <w:rsid w:val="00DB6DEF"/>
    <w:rsid w:val="00DB718E"/>
    <w:rsid w:val="00DB7893"/>
    <w:rsid w:val="00DB7D97"/>
    <w:rsid w:val="00DC1186"/>
    <w:rsid w:val="00DC1D9B"/>
    <w:rsid w:val="00DC284B"/>
    <w:rsid w:val="00DC40CF"/>
    <w:rsid w:val="00DC4495"/>
    <w:rsid w:val="00DC4DFA"/>
    <w:rsid w:val="00DC5D64"/>
    <w:rsid w:val="00DC5DA6"/>
    <w:rsid w:val="00DC6A6F"/>
    <w:rsid w:val="00DC75C5"/>
    <w:rsid w:val="00DC78D3"/>
    <w:rsid w:val="00DD0893"/>
    <w:rsid w:val="00DD20EB"/>
    <w:rsid w:val="00DD25E4"/>
    <w:rsid w:val="00DD2CC7"/>
    <w:rsid w:val="00DD3E5D"/>
    <w:rsid w:val="00DD482C"/>
    <w:rsid w:val="00DD51E4"/>
    <w:rsid w:val="00DD6346"/>
    <w:rsid w:val="00DD7105"/>
    <w:rsid w:val="00DD77A5"/>
    <w:rsid w:val="00DD7A03"/>
    <w:rsid w:val="00DE08BD"/>
    <w:rsid w:val="00DE0F22"/>
    <w:rsid w:val="00DE1BC9"/>
    <w:rsid w:val="00DE2076"/>
    <w:rsid w:val="00DE33F3"/>
    <w:rsid w:val="00DE3A75"/>
    <w:rsid w:val="00DE4B73"/>
    <w:rsid w:val="00DE4EAA"/>
    <w:rsid w:val="00DE54E6"/>
    <w:rsid w:val="00DE55E0"/>
    <w:rsid w:val="00DE5DEC"/>
    <w:rsid w:val="00DF13D8"/>
    <w:rsid w:val="00DF1836"/>
    <w:rsid w:val="00DF20AE"/>
    <w:rsid w:val="00DF2F1F"/>
    <w:rsid w:val="00DF3B97"/>
    <w:rsid w:val="00DF3BAD"/>
    <w:rsid w:val="00DF3E74"/>
    <w:rsid w:val="00DF598E"/>
    <w:rsid w:val="00DF628F"/>
    <w:rsid w:val="00DF7E9A"/>
    <w:rsid w:val="00E0044C"/>
    <w:rsid w:val="00E00833"/>
    <w:rsid w:val="00E00FFC"/>
    <w:rsid w:val="00E033B7"/>
    <w:rsid w:val="00E03517"/>
    <w:rsid w:val="00E05608"/>
    <w:rsid w:val="00E058B0"/>
    <w:rsid w:val="00E05E89"/>
    <w:rsid w:val="00E063F5"/>
    <w:rsid w:val="00E064D4"/>
    <w:rsid w:val="00E0689B"/>
    <w:rsid w:val="00E06B29"/>
    <w:rsid w:val="00E06D02"/>
    <w:rsid w:val="00E1066D"/>
    <w:rsid w:val="00E110CC"/>
    <w:rsid w:val="00E11143"/>
    <w:rsid w:val="00E1143F"/>
    <w:rsid w:val="00E119FD"/>
    <w:rsid w:val="00E125E9"/>
    <w:rsid w:val="00E13D56"/>
    <w:rsid w:val="00E14001"/>
    <w:rsid w:val="00E14185"/>
    <w:rsid w:val="00E14214"/>
    <w:rsid w:val="00E167DB"/>
    <w:rsid w:val="00E17021"/>
    <w:rsid w:val="00E178FA"/>
    <w:rsid w:val="00E20269"/>
    <w:rsid w:val="00E20EC8"/>
    <w:rsid w:val="00E21D1A"/>
    <w:rsid w:val="00E23067"/>
    <w:rsid w:val="00E24CC0"/>
    <w:rsid w:val="00E24D05"/>
    <w:rsid w:val="00E268CD"/>
    <w:rsid w:val="00E273B1"/>
    <w:rsid w:val="00E27585"/>
    <w:rsid w:val="00E27AF5"/>
    <w:rsid w:val="00E30FA8"/>
    <w:rsid w:val="00E314B9"/>
    <w:rsid w:val="00E334D9"/>
    <w:rsid w:val="00E33A66"/>
    <w:rsid w:val="00E33B2E"/>
    <w:rsid w:val="00E33C0D"/>
    <w:rsid w:val="00E33F8D"/>
    <w:rsid w:val="00E34669"/>
    <w:rsid w:val="00E355AA"/>
    <w:rsid w:val="00E3569D"/>
    <w:rsid w:val="00E362C0"/>
    <w:rsid w:val="00E364E7"/>
    <w:rsid w:val="00E4041D"/>
    <w:rsid w:val="00E415F2"/>
    <w:rsid w:val="00E42BAF"/>
    <w:rsid w:val="00E46425"/>
    <w:rsid w:val="00E47EC0"/>
    <w:rsid w:val="00E50883"/>
    <w:rsid w:val="00E50C9B"/>
    <w:rsid w:val="00E51F40"/>
    <w:rsid w:val="00E52C6F"/>
    <w:rsid w:val="00E530B1"/>
    <w:rsid w:val="00E53553"/>
    <w:rsid w:val="00E5492E"/>
    <w:rsid w:val="00E54B62"/>
    <w:rsid w:val="00E54DBC"/>
    <w:rsid w:val="00E552A9"/>
    <w:rsid w:val="00E563E1"/>
    <w:rsid w:val="00E56B5D"/>
    <w:rsid w:val="00E5776E"/>
    <w:rsid w:val="00E57CF6"/>
    <w:rsid w:val="00E6102E"/>
    <w:rsid w:val="00E6132F"/>
    <w:rsid w:val="00E62AC7"/>
    <w:rsid w:val="00E62EB9"/>
    <w:rsid w:val="00E63097"/>
    <w:rsid w:val="00E638A0"/>
    <w:rsid w:val="00E64197"/>
    <w:rsid w:val="00E64A9F"/>
    <w:rsid w:val="00E64FBB"/>
    <w:rsid w:val="00E652B1"/>
    <w:rsid w:val="00E66072"/>
    <w:rsid w:val="00E663E2"/>
    <w:rsid w:val="00E676EB"/>
    <w:rsid w:val="00E67C30"/>
    <w:rsid w:val="00E7025F"/>
    <w:rsid w:val="00E7026E"/>
    <w:rsid w:val="00E719C3"/>
    <w:rsid w:val="00E71D9A"/>
    <w:rsid w:val="00E72025"/>
    <w:rsid w:val="00E72444"/>
    <w:rsid w:val="00E725F5"/>
    <w:rsid w:val="00E73A6E"/>
    <w:rsid w:val="00E753D0"/>
    <w:rsid w:val="00E75D9C"/>
    <w:rsid w:val="00E76E1C"/>
    <w:rsid w:val="00E77D84"/>
    <w:rsid w:val="00E811FE"/>
    <w:rsid w:val="00E8192E"/>
    <w:rsid w:val="00E81EF9"/>
    <w:rsid w:val="00E83702"/>
    <w:rsid w:val="00E83F6C"/>
    <w:rsid w:val="00E84EBF"/>
    <w:rsid w:val="00E8613B"/>
    <w:rsid w:val="00E87833"/>
    <w:rsid w:val="00E903F7"/>
    <w:rsid w:val="00E90ED4"/>
    <w:rsid w:val="00E91B76"/>
    <w:rsid w:val="00E91BDC"/>
    <w:rsid w:val="00E921FF"/>
    <w:rsid w:val="00E973B4"/>
    <w:rsid w:val="00E978A1"/>
    <w:rsid w:val="00E97AF1"/>
    <w:rsid w:val="00EA1F60"/>
    <w:rsid w:val="00EA2BFA"/>
    <w:rsid w:val="00EA310A"/>
    <w:rsid w:val="00EA42AE"/>
    <w:rsid w:val="00EA47CD"/>
    <w:rsid w:val="00EA5F4C"/>
    <w:rsid w:val="00EA628E"/>
    <w:rsid w:val="00EA70F4"/>
    <w:rsid w:val="00EA781A"/>
    <w:rsid w:val="00EA79C2"/>
    <w:rsid w:val="00EB17ED"/>
    <w:rsid w:val="00EB235D"/>
    <w:rsid w:val="00EB2480"/>
    <w:rsid w:val="00EB2FA5"/>
    <w:rsid w:val="00EB4F60"/>
    <w:rsid w:val="00EB5A5F"/>
    <w:rsid w:val="00EB7F93"/>
    <w:rsid w:val="00EC24B8"/>
    <w:rsid w:val="00EC28FF"/>
    <w:rsid w:val="00EC2D36"/>
    <w:rsid w:val="00EC3558"/>
    <w:rsid w:val="00EC44C4"/>
    <w:rsid w:val="00EC495E"/>
    <w:rsid w:val="00EC50EF"/>
    <w:rsid w:val="00EC53C9"/>
    <w:rsid w:val="00EC55A9"/>
    <w:rsid w:val="00EC59AB"/>
    <w:rsid w:val="00EC5C4C"/>
    <w:rsid w:val="00EC6856"/>
    <w:rsid w:val="00ED06B3"/>
    <w:rsid w:val="00ED0BD1"/>
    <w:rsid w:val="00ED17B6"/>
    <w:rsid w:val="00ED1953"/>
    <w:rsid w:val="00ED1D62"/>
    <w:rsid w:val="00ED22C4"/>
    <w:rsid w:val="00ED4B8C"/>
    <w:rsid w:val="00ED62AE"/>
    <w:rsid w:val="00ED6495"/>
    <w:rsid w:val="00ED6E22"/>
    <w:rsid w:val="00EE01B6"/>
    <w:rsid w:val="00EE2C80"/>
    <w:rsid w:val="00EE2F59"/>
    <w:rsid w:val="00EE3230"/>
    <w:rsid w:val="00EE4ED4"/>
    <w:rsid w:val="00EE5B85"/>
    <w:rsid w:val="00EE618A"/>
    <w:rsid w:val="00EE6CDC"/>
    <w:rsid w:val="00EF0367"/>
    <w:rsid w:val="00EF0CBE"/>
    <w:rsid w:val="00EF13CA"/>
    <w:rsid w:val="00EF14C6"/>
    <w:rsid w:val="00EF1BC6"/>
    <w:rsid w:val="00EF1FB3"/>
    <w:rsid w:val="00EF22FE"/>
    <w:rsid w:val="00EF2C59"/>
    <w:rsid w:val="00EF4B24"/>
    <w:rsid w:val="00EF7032"/>
    <w:rsid w:val="00EF7DC4"/>
    <w:rsid w:val="00F00BC4"/>
    <w:rsid w:val="00F01014"/>
    <w:rsid w:val="00F01C1B"/>
    <w:rsid w:val="00F030EC"/>
    <w:rsid w:val="00F0423F"/>
    <w:rsid w:val="00F048B9"/>
    <w:rsid w:val="00F06432"/>
    <w:rsid w:val="00F06AED"/>
    <w:rsid w:val="00F1053D"/>
    <w:rsid w:val="00F105D4"/>
    <w:rsid w:val="00F11443"/>
    <w:rsid w:val="00F11682"/>
    <w:rsid w:val="00F12901"/>
    <w:rsid w:val="00F132E0"/>
    <w:rsid w:val="00F135D0"/>
    <w:rsid w:val="00F14212"/>
    <w:rsid w:val="00F14A33"/>
    <w:rsid w:val="00F15518"/>
    <w:rsid w:val="00F1635B"/>
    <w:rsid w:val="00F16796"/>
    <w:rsid w:val="00F17911"/>
    <w:rsid w:val="00F207A3"/>
    <w:rsid w:val="00F2128A"/>
    <w:rsid w:val="00F218EB"/>
    <w:rsid w:val="00F21EC2"/>
    <w:rsid w:val="00F22C4E"/>
    <w:rsid w:val="00F23659"/>
    <w:rsid w:val="00F23AAC"/>
    <w:rsid w:val="00F24AD5"/>
    <w:rsid w:val="00F2534D"/>
    <w:rsid w:val="00F259CE"/>
    <w:rsid w:val="00F26B4B"/>
    <w:rsid w:val="00F30240"/>
    <w:rsid w:val="00F3192D"/>
    <w:rsid w:val="00F33CBB"/>
    <w:rsid w:val="00F34C90"/>
    <w:rsid w:val="00F35F71"/>
    <w:rsid w:val="00F36DBE"/>
    <w:rsid w:val="00F40076"/>
    <w:rsid w:val="00F40E0A"/>
    <w:rsid w:val="00F41366"/>
    <w:rsid w:val="00F41650"/>
    <w:rsid w:val="00F424C7"/>
    <w:rsid w:val="00F42B68"/>
    <w:rsid w:val="00F43FA7"/>
    <w:rsid w:val="00F4568B"/>
    <w:rsid w:val="00F45905"/>
    <w:rsid w:val="00F46939"/>
    <w:rsid w:val="00F469F5"/>
    <w:rsid w:val="00F47D3E"/>
    <w:rsid w:val="00F506C1"/>
    <w:rsid w:val="00F50CDB"/>
    <w:rsid w:val="00F51786"/>
    <w:rsid w:val="00F5355A"/>
    <w:rsid w:val="00F56D97"/>
    <w:rsid w:val="00F6046C"/>
    <w:rsid w:val="00F60D6D"/>
    <w:rsid w:val="00F638B7"/>
    <w:rsid w:val="00F638DC"/>
    <w:rsid w:val="00F646B9"/>
    <w:rsid w:val="00F647A2"/>
    <w:rsid w:val="00F64FC1"/>
    <w:rsid w:val="00F66B19"/>
    <w:rsid w:val="00F67C66"/>
    <w:rsid w:val="00F70566"/>
    <w:rsid w:val="00F71803"/>
    <w:rsid w:val="00F719C0"/>
    <w:rsid w:val="00F736A9"/>
    <w:rsid w:val="00F736DD"/>
    <w:rsid w:val="00F74057"/>
    <w:rsid w:val="00F7411E"/>
    <w:rsid w:val="00F75038"/>
    <w:rsid w:val="00F75304"/>
    <w:rsid w:val="00F759B0"/>
    <w:rsid w:val="00F76F0A"/>
    <w:rsid w:val="00F7742D"/>
    <w:rsid w:val="00F814F4"/>
    <w:rsid w:val="00F81B94"/>
    <w:rsid w:val="00F83757"/>
    <w:rsid w:val="00F83DB1"/>
    <w:rsid w:val="00F8468D"/>
    <w:rsid w:val="00F84767"/>
    <w:rsid w:val="00F84820"/>
    <w:rsid w:val="00F84C3E"/>
    <w:rsid w:val="00F85583"/>
    <w:rsid w:val="00F86599"/>
    <w:rsid w:val="00F870AD"/>
    <w:rsid w:val="00F87417"/>
    <w:rsid w:val="00F878F7"/>
    <w:rsid w:val="00F90833"/>
    <w:rsid w:val="00F90A2F"/>
    <w:rsid w:val="00F92F9F"/>
    <w:rsid w:val="00F93B29"/>
    <w:rsid w:val="00F9513F"/>
    <w:rsid w:val="00F9558D"/>
    <w:rsid w:val="00F95AA6"/>
    <w:rsid w:val="00FA059A"/>
    <w:rsid w:val="00FA14C3"/>
    <w:rsid w:val="00FA2A60"/>
    <w:rsid w:val="00FA5BDD"/>
    <w:rsid w:val="00FA6E0F"/>
    <w:rsid w:val="00FB00D6"/>
    <w:rsid w:val="00FB0298"/>
    <w:rsid w:val="00FB18C2"/>
    <w:rsid w:val="00FB3667"/>
    <w:rsid w:val="00FB4A81"/>
    <w:rsid w:val="00FB6EE4"/>
    <w:rsid w:val="00FC0C52"/>
    <w:rsid w:val="00FC0F37"/>
    <w:rsid w:val="00FC29B7"/>
    <w:rsid w:val="00FC335A"/>
    <w:rsid w:val="00FC3C61"/>
    <w:rsid w:val="00FC41D0"/>
    <w:rsid w:val="00FC46B6"/>
    <w:rsid w:val="00FC49B9"/>
    <w:rsid w:val="00FC4B3D"/>
    <w:rsid w:val="00FC537C"/>
    <w:rsid w:val="00FC5517"/>
    <w:rsid w:val="00FC6053"/>
    <w:rsid w:val="00FC617F"/>
    <w:rsid w:val="00FC6DA9"/>
    <w:rsid w:val="00FD2F94"/>
    <w:rsid w:val="00FD3811"/>
    <w:rsid w:val="00FD3A7A"/>
    <w:rsid w:val="00FD5745"/>
    <w:rsid w:val="00FD5D78"/>
    <w:rsid w:val="00FD5E21"/>
    <w:rsid w:val="00FD5FB6"/>
    <w:rsid w:val="00FD66ED"/>
    <w:rsid w:val="00FD761B"/>
    <w:rsid w:val="00FD786C"/>
    <w:rsid w:val="00FE04DC"/>
    <w:rsid w:val="00FE0D02"/>
    <w:rsid w:val="00FE1F79"/>
    <w:rsid w:val="00FE3315"/>
    <w:rsid w:val="00FE4248"/>
    <w:rsid w:val="00FE44FE"/>
    <w:rsid w:val="00FE4523"/>
    <w:rsid w:val="00FE46BD"/>
    <w:rsid w:val="00FE5704"/>
    <w:rsid w:val="00FE5D0C"/>
    <w:rsid w:val="00FE636A"/>
    <w:rsid w:val="00FE63E8"/>
    <w:rsid w:val="00FE645B"/>
    <w:rsid w:val="00FE667B"/>
    <w:rsid w:val="00FE6680"/>
    <w:rsid w:val="00FF0E84"/>
    <w:rsid w:val="00FF1735"/>
    <w:rsid w:val="00FF2DA2"/>
    <w:rsid w:val="00FF2F69"/>
    <w:rsid w:val="00FF3D88"/>
    <w:rsid w:val="00FF5EE9"/>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6234A"/>
  <w15:docId w15:val="{39951B62-117D-45D4-807C-EC96C950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A79C2"/>
    <w:pPr>
      <w:spacing w:after="60"/>
    </w:pPr>
    <w:rPr>
      <w:rFonts w:ascii="Arial" w:hAnsi="Arial"/>
      <w:sz w:val="22"/>
      <w:szCs w:val="21"/>
      <w:lang w:eastAsia="en-US"/>
    </w:rPr>
  </w:style>
  <w:style w:type="paragraph" w:styleId="Nadpis1">
    <w:name w:val="heading 1"/>
    <w:basedOn w:val="Normln"/>
    <w:next w:val="Normln"/>
    <w:link w:val="Nadpis1Char"/>
    <w:qFormat/>
    <w:rsid w:val="00110ED2"/>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20EC8"/>
    <w:pPr>
      <w:keepNext/>
      <w:keepLines/>
      <w:spacing w:before="120"/>
      <w:contextualSpacing/>
      <w:jc w:val="both"/>
      <w:outlineLvl w:val="2"/>
    </w:pPr>
    <w:rPr>
      <w:sz w:val="18"/>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E20EC8"/>
    <w:rPr>
      <w:rFonts w:ascii="Arial" w:hAnsi="Arial"/>
      <w:sz w:val="18"/>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9D0844"/>
    <w:pPr>
      <w:keepNext/>
      <w:spacing w:after="120"/>
    </w:pPr>
    <w:rPr>
      <w:b/>
      <w:bCs/>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1">
    <w:name w:val="Zvýraznění1"/>
    <w:uiPriority w:val="20"/>
    <w:rsid w:val="00D52CAF"/>
    <w:rPr>
      <w:i/>
      <w:iCs/>
    </w:rPr>
  </w:style>
  <w:style w:type="paragraph" w:styleId="Bezmezer">
    <w:name w:val="No Spacing"/>
    <w:link w:val="BezmezerChar"/>
    <w:qFormat/>
    <w:rsid w:val="009D0844"/>
    <w:rPr>
      <w:sz w:val="21"/>
      <w:szCs w:val="21"/>
      <w:lang w:eastAsia="en-US"/>
    </w:rPr>
  </w:style>
  <w:style w:type="character" w:customStyle="1" w:styleId="BezmezerChar">
    <w:name w:val="Bez mezer Char"/>
    <w:link w:val="Bezmezer"/>
    <w:rsid w:val="00CB03C6"/>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character" w:customStyle="1" w:styleId="TitulkytabulekobrzkChar">
    <w:name w:val="Titulky tabulek/obrázků Char"/>
    <w:link w:val="Titulkytabulekobrzk"/>
    <w:rsid w:val="00886126"/>
    <w:rPr>
      <w:rFonts w:ascii="Gill Sans MT" w:hAnsi="Gill Sans MT"/>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110ED2"/>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110ED2"/>
    <w:rPr>
      <w:sz w:val="20"/>
      <w:szCs w:val="20"/>
    </w:rPr>
  </w:style>
  <w:style w:type="character" w:customStyle="1" w:styleId="TextkomenteChar">
    <w:name w:val="Text komentáře Char"/>
    <w:link w:val="Textkomente"/>
    <w:uiPriority w:val="99"/>
    <w:rsid w:val="00CD3695"/>
    <w:rPr>
      <w:rFonts w:ascii="Arial" w:hAnsi="Arial"/>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RLlneksmlouvy">
    <w:name w:val="RL Článek smlouvy"/>
    <w:basedOn w:val="Normln"/>
    <w:next w:val="RLTextlnkuslovan"/>
    <w:rsid w:val="00110ED2"/>
    <w:pPr>
      <w:keepNext/>
      <w:numPr>
        <w:numId w:val="3"/>
      </w:numPr>
      <w:suppressAutoHyphens/>
      <w:spacing w:before="360" w:after="120" w:line="280" w:lineRule="exact"/>
      <w:jc w:val="both"/>
      <w:outlineLvl w:val="0"/>
    </w:pPr>
    <w:rPr>
      <w:b/>
      <w:szCs w:val="24"/>
      <w:lang w:val="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Gill Sans MT" w:hAnsi="Calibri"/>
    </w:rPr>
  </w:style>
  <w:style w:type="character" w:customStyle="1" w:styleId="ProsttextChar">
    <w:name w:val="Prostý text Char"/>
    <w:link w:val="Prosttext"/>
    <w:uiPriority w:val="99"/>
    <w:rsid w:val="00EB235D"/>
    <w:rPr>
      <w:rFonts w:ascii="Calibri" w:eastAsia="Gill Sans MT" w:hAnsi="Calibri" w:cs="Times New Roman"/>
      <w:sz w:val="22"/>
      <w:szCs w:val="21"/>
      <w:lang w:eastAsia="en-US"/>
    </w:rPr>
  </w:style>
  <w:style w:type="paragraph" w:customStyle="1" w:styleId="Nadpis11">
    <w:name w:val="Nadpis 11"/>
    <w:basedOn w:val="Normln"/>
    <w:next w:val="Normln"/>
    <w:autoRedefine/>
    <w:uiPriority w:val="9"/>
    <w:rsid w:val="00110ED2"/>
    <w:pPr>
      <w:keepNext/>
      <w:keepLines/>
      <w:numPr>
        <w:numId w:val="7"/>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spacing w:before="120" w:after="120" w:line="276" w:lineRule="auto"/>
      <w:ind w:left="576" w:hanging="576"/>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spacing w:before="200" w:after="0" w:line="276" w:lineRule="auto"/>
      <w:ind w:left="170" w:hanging="170"/>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spacing w:before="200" w:after="0" w:line="276" w:lineRule="auto"/>
      <w:ind w:left="864" w:hanging="864"/>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spacing w:before="40" w:after="0" w:line="276" w:lineRule="auto"/>
      <w:ind w:left="1008" w:hanging="1008"/>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spacing w:before="40" w:after="0" w:line="276" w:lineRule="auto"/>
      <w:ind w:left="1152" w:hanging="1152"/>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spacing w:before="40" w:after="0" w:line="276" w:lineRule="auto"/>
      <w:ind w:left="1296" w:hanging="1296"/>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spacing w:before="40" w:after="0" w:line="276" w:lineRule="auto"/>
      <w:ind w:left="1440" w:hanging="1440"/>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spacing w:before="40" w:after="0" w:line="276" w:lineRule="auto"/>
      <w:ind w:left="1584" w:hanging="1584"/>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Nevyeenzmnka1">
    <w:name w:val="Nevyřešená zmínka1"/>
    <w:uiPriority w:val="99"/>
    <w:semiHidden/>
    <w:unhideWhenUsed/>
    <w:rsid w:val="0022332D"/>
    <w:rPr>
      <w:color w:val="605E5C"/>
      <w:shd w:val="clear" w:color="auto" w:fill="E1DFDD"/>
    </w:rPr>
  </w:style>
  <w:style w:type="table" w:customStyle="1" w:styleId="Mkatabulky1">
    <w:name w:val="Mřížka tabulky1"/>
    <w:basedOn w:val="Normlntabulka"/>
    <w:next w:val="Mkatabulky"/>
    <w:uiPriority w:val="59"/>
    <w:rsid w:val="00DE2076"/>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
    <w:name w:val="nobr"/>
    <w:basedOn w:val="Standardnpsmoodstavce"/>
    <w:rsid w:val="009121D5"/>
  </w:style>
  <w:style w:type="character" w:customStyle="1" w:styleId="Nevyeenzmnka2">
    <w:name w:val="Nevyřešená zmínka2"/>
    <w:basedOn w:val="Standardnpsmoodstavce"/>
    <w:uiPriority w:val="99"/>
    <w:semiHidden/>
    <w:unhideWhenUsed/>
    <w:rsid w:val="006848E1"/>
    <w:rPr>
      <w:color w:val="605E5C"/>
      <w:shd w:val="clear" w:color="auto" w:fill="E1DFDD"/>
    </w:rPr>
  </w:style>
  <w:style w:type="paragraph" w:customStyle="1" w:styleId="Odrky2">
    <w:name w:val="Odrážky 2"/>
    <w:basedOn w:val="Normln"/>
    <w:rsid w:val="0008476B"/>
    <w:pPr>
      <w:numPr>
        <w:numId w:val="10"/>
      </w:numPr>
      <w:spacing w:after="0"/>
    </w:pPr>
    <w:rPr>
      <w:sz w:val="18"/>
      <w:szCs w:val="20"/>
      <w:lang w:eastAsia="cs-CZ"/>
    </w:rPr>
  </w:style>
  <w:style w:type="paragraph" w:customStyle="1" w:styleId="mcntmsonormal1">
    <w:name w:val="mcntmsonormal1"/>
    <w:basedOn w:val="Normln"/>
    <w:rsid w:val="0008476B"/>
    <w:pPr>
      <w:spacing w:after="0"/>
    </w:pPr>
    <w:rPr>
      <w:rFonts w:ascii="Calibri" w:eastAsiaTheme="minorHAnsi" w:hAnsi="Calibri" w:cs="Calibri"/>
      <w:szCs w:val="22"/>
      <w:lang w:eastAsia="cs-CZ"/>
    </w:rPr>
  </w:style>
  <w:style w:type="paragraph" w:customStyle="1" w:styleId="mcntmsolistparagraph1">
    <w:name w:val="mcntmsolistparagraph1"/>
    <w:basedOn w:val="Normln"/>
    <w:rsid w:val="0008476B"/>
    <w:pPr>
      <w:spacing w:after="0"/>
      <w:ind w:left="720"/>
    </w:pPr>
    <w:rPr>
      <w:rFonts w:ascii="Calibri" w:eastAsiaTheme="minorHAnsi" w:hAnsi="Calibri" w:cs="Calibri"/>
      <w:szCs w:val="22"/>
      <w:lang w:eastAsia="cs-CZ"/>
    </w:rPr>
  </w:style>
  <w:style w:type="paragraph" w:customStyle="1" w:styleId="mcntmsolistparagraph2">
    <w:name w:val="mcntmsolistparagraph2"/>
    <w:basedOn w:val="Normln"/>
    <w:rsid w:val="0008476B"/>
    <w:pPr>
      <w:spacing w:after="0"/>
      <w:ind w:left="720"/>
    </w:pPr>
    <w:rPr>
      <w:rFonts w:ascii="Calibri" w:eastAsiaTheme="minorHAnsi" w:hAnsi="Calibri" w:cs="Calibri"/>
      <w:szCs w:val="22"/>
      <w:lang w:eastAsia="cs-CZ"/>
    </w:rPr>
  </w:style>
  <w:style w:type="paragraph" w:customStyle="1" w:styleId="Nadp3">
    <w:name w:val="Nadp 3"/>
    <w:basedOn w:val="Nadpis2"/>
    <w:link w:val="Nadp3Char"/>
    <w:qFormat/>
    <w:rsid w:val="0008476B"/>
    <w:pPr>
      <w:numPr>
        <w:ilvl w:val="0"/>
        <w:numId w:val="0"/>
      </w:numPr>
      <w:ind w:left="720" w:hanging="720"/>
    </w:pPr>
  </w:style>
  <w:style w:type="character" w:customStyle="1" w:styleId="Nadp3Char">
    <w:name w:val="Nadp 3 Char"/>
    <w:basedOn w:val="Nadpis2Char"/>
    <w:link w:val="Nadp3"/>
    <w:rsid w:val="0008476B"/>
    <w:rPr>
      <w:rFonts w:ascii="Arial" w:hAnsi="Arial" w:cs="Arial"/>
      <w:b/>
      <w:sz w:val="22"/>
      <w:szCs w:val="22"/>
      <w:lang w:eastAsia="en-US"/>
    </w:rPr>
  </w:style>
  <w:style w:type="character" w:customStyle="1" w:styleId="Nevyeenzmnka3">
    <w:name w:val="Nevyřešená zmínka3"/>
    <w:basedOn w:val="Standardnpsmoodstavce"/>
    <w:uiPriority w:val="99"/>
    <w:semiHidden/>
    <w:unhideWhenUsed/>
    <w:rsid w:val="00C51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010">
      <w:bodyDiv w:val="1"/>
      <w:marLeft w:val="0"/>
      <w:marRight w:val="0"/>
      <w:marTop w:val="0"/>
      <w:marBottom w:val="0"/>
      <w:divBdr>
        <w:top w:val="none" w:sz="0" w:space="0" w:color="auto"/>
        <w:left w:val="none" w:sz="0" w:space="0" w:color="auto"/>
        <w:bottom w:val="none" w:sz="0" w:space="0" w:color="auto"/>
        <w:right w:val="none" w:sz="0" w:space="0" w:color="auto"/>
      </w:divBdr>
    </w:div>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01340577">
      <w:bodyDiv w:val="1"/>
      <w:marLeft w:val="0"/>
      <w:marRight w:val="0"/>
      <w:marTop w:val="0"/>
      <w:marBottom w:val="0"/>
      <w:divBdr>
        <w:top w:val="none" w:sz="0" w:space="0" w:color="auto"/>
        <w:left w:val="none" w:sz="0" w:space="0" w:color="auto"/>
        <w:bottom w:val="none" w:sz="0" w:space="0" w:color="auto"/>
        <w:right w:val="none" w:sz="0" w:space="0" w:color="auto"/>
      </w:divBdr>
    </w:div>
    <w:div w:id="169872693">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34316162">
      <w:bodyDiv w:val="1"/>
      <w:marLeft w:val="0"/>
      <w:marRight w:val="0"/>
      <w:marTop w:val="0"/>
      <w:marBottom w:val="0"/>
      <w:divBdr>
        <w:top w:val="none" w:sz="0" w:space="0" w:color="auto"/>
        <w:left w:val="none" w:sz="0" w:space="0" w:color="auto"/>
        <w:bottom w:val="none" w:sz="0" w:space="0" w:color="auto"/>
        <w:right w:val="none" w:sz="0" w:space="0" w:color="auto"/>
      </w:divBdr>
    </w:div>
    <w:div w:id="259336222">
      <w:bodyDiv w:val="1"/>
      <w:marLeft w:val="0"/>
      <w:marRight w:val="0"/>
      <w:marTop w:val="0"/>
      <w:marBottom w:val="0"/>
      <w:divBdr>
        <w:top w:val="none" w:sz="0" w:space="0" w:color="auto"/>
        <w:left w:val="none" w:sz="0" w:space="0" w:color="auto"/>
        <w:bottom w:val="none" w:sz="0" w:space="0" w:color="auto"/>
        <w:right w:val="none" w:sz="0" w:space="0" w:color="auto"/>
      </w:divBdr>
    </w:div>
    <w:div w:id="259991625">
      <w:bodyDiv w:val="1"/>
      <w:marLeft w:val="0"/>
      <w:marRight w:val="0"/>
      <w:marTop w:val="0"/>
      <w:marBottom w:val="0"/>
      <w:divBdr>
        <w:top w:val="none" w:sz="0" w:space="0" w:color="auto"/>
        <w:left w:val="none" w:sz="0" w:space="0" w:color="auto"/>
        <w:bottom w:val="none" w:sz="0" w:space="0" w:color="auto"/>
        <w:right w:val="none" w:sz="0" w:space="0" w:color="auto"/>
      </w:divBdr>
    </w:div>
    <w:div w:id="476457118">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15868916">
                  <w:marLeft w:val="0"/>
                  <w:marRight w:val="0"/>
                  <w:marTop w:val="0"/>
                  <w:marBottom w:val="0"/>
                  <w:divBdr>
                    <w:top w:val="none" w:sz="0" w:space="0" w:color="auto"/>
                    <w:left w:val="none" w:sz="0" w:space="0" w:color="auto"/>
                    <w:bottom w:val="none" w:sz="0" w:space="0" w:color="auto"/>
                    <w:right w:val="none" w:sz="0" w:space="0" w:color="auto"/>
                  </w:divBdr>
                </w:div>
                <w:div w:id="1652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1904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840">
          <w:marLeft w:val="0"/>
          <w:marRight w:val="0"/>
          <w:marTop w:val="0"/>
          <w:marBottom w:val="0"/>
          <w:divBdr>
            <w:top w:val="none" w:sz="0" w:space="0" w:color="auto"/>
            <w:left w:val="none" w:sz="0" w:space="0" w:color="auto"/>
            <w:bottom w:val="none" w:sz="0" w:space="0" w:color="auto"/>
            <w:right w:val="none" w:sz="0" w:space="0" w:color="auto"/>
          </w:divBdr>
          <w:divsChild>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 w:id="2046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575479422">
      <w:bodyDiv w:val="1"/>
      <w:marLeft w:val="0"/>
      <w:marRight w:val="0"/>
      <w:marTop w:val="0"/>
      <w:marBottom w:val="0"/>
      <w:divBdr>
        <w:top w:val="none" w:sz="0" w:space="0" w:color="auto"/>
        <w:left w:val="none" w:sz="0" w:space="0" w:color="auto"/>
        <w:bottom w:val="none" w:sz="0" w:space="0" w:color="auto"/>
        <w:right w:val="none" w:sz="0" w:space="0" w:color="auto"/>
      </w:divBdr>
    </w:div>
    <w:div w:id="615137076">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47195594">
      <w:bodyDiv w:val="1"/>
      <w:marLeft w:val="0"/>
      <w:marRight w:val="0"/>
      <w:marTop w:val="0"/>
      <w:marBottom w:val="0"/>
      <w:divBdr>
        <w:top w:val="none" w:sz="0" w:space="0" w:color="auto"/>
        <w:left w:val="none" w:sz="0" w:space="0" w:color="auto"/>
        <w:bottom w:val="none" w:sz="0" w:space="0" w:color="auto"/>
        <w:right w:val="none" w:sz="0" w:space="0" w:color="auto"/>
      </w:divBdr>
    </w:div>
    <w:div w:id="757095593">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787089750">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00333820">
      <w:bodyDiv w:val="1"/>
      <w:marLeft w:val="0"/>
      <w:marRight w:val="0"/>
      <w:marTop w:val="0"/>
      <w:marBottom w:val="0"/>
      <w:divBdr>
        <w:top w:val="none" w:sz="0" w:space="0" w:color="auto"/>
        <w:left w:val="none" w:sz="0" w:space="0" w:color="auto"/>
        <w:bottom w:val="none" w:sz="0" w:space="0" w:color="auto"/>
        <w:right w:val="none" w:sz="0" w:space="0" w:color="auto"/>
      </w:divBdr>
    </w:div>
    <w:div w:id="907692649">
      <w:bodyDiv w:val="1"/>
      <w:marLeft w:val="0"/>
      <w:marRight w:val="0"/>
      <w:marTop w:val="0"/>
      <w:marBottom w:val="0"/>
      <w:divBdr>
        <w:top w:val="none" w:sz="0" w:space="0" w:color="auto"/>
        <w:left w:val="none" w:sz="0" w:space="0" w:color="auto"/>
        <w:bottom w:val="none" w:sz="0" w:space="0" w:color="auto"/>
        <w:right w:val="none" w:sz="0" w:space="0" w:color="auto"/>
      </w:divBdr>
    </w:div>
    <w:div w:id="1072386203">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54956936">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026830246">
                  <w:marLeft w:val="0"/>
                  <w:marRight w:val="0"/>
                  <w:marTop w:val="0"/>
                  <w:marBottom w:val="0"/>
                  <w:divBdr>
                    <w:top w:val="none" w:sz="0" w:space="0" w:color="auto"/>
                    <w:left w:val="none" w:sz="0" w:space="0" w:color="auto"/>
                    <w:bottom w:val="none" w:sz="0" w:space="0" w:color="auto"/>
                    <w:right w:val="none" w:sz="0" w:space="0" w:color="auto"/>
                  </w:divBdr>
                </w:div>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 w:id="1847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52260">
      <w:bodyDiv w:val="1"/>
      <w:marLeft w:val="0"/>
      <w:marRight w:val="0"/>
      <w:marTop w:val="0"/>
      <w:marBottom w:val="0"/>
      <w:divBdr>
        <w:top w:val="none" w:sz="0" w:space="0" w:color="auto"/>
        <w:left w:val="none" w:sz="0" w:space="0" w:color="auto"/>
        <w:bottom w:val="none" w:sz="0" w:space="0" w:color="auto"/>
        <w:right w:val="none" w:sz="0" w:space="0" w:color="auto"/>
      </w:divBdr>
    </w:div>
    <w:div w:id="1229682025">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379427312">
      <w:bodyDiv w:val="1"/>
      <w:marLeft w:val="0"/>
      <w:marRight w:val="0"/>
      <w:marTop w:val="0"/>
      <w:marBottom w:val="0"/>
      <w:divBdr>
        <w:top w:val="none" w:sz="0" w:space="0" w:color="auto"/>
        <w:left w:val="none" w:sz="0" w:space="0" w:color="auto"/>
        <w:bottom w:val="none" w:sz="0" w:space="0" w:color="auto"/>
        <w:right w:val="none" w:sz="0" w:space="0" w:color="auto"/>
      </w:divBdr>
    </w:div>
    <w:div w:id="1403790885">
      <w:bodyDiv w:val="1"/>
      <w:marLeft w:val="0"/>
      <w:marRight w:val="0"/>
      <w:marTop w:val="0"/>
      <w:marBottom w:val="0"/>
      <w:divBdr>
        <w:top w:val="none" w:sz="0" w:space="0" w:color="auto"/>
        <w:left w:val="none" w:sz="0" w:space="0" w:color="auto"/>
        <w:bottom w:val="none" w:sz="0" w:space="0" w:color="auto"/>
        <w:right w:val="none" w:sz="0" w:space="0" w:color="auto"/>
      </w:divBdr>
    </w:div>
    <w:div w:id="1406075882">
      <w:bodyDiv w:val="1"/>
      <w:marLeft w:val="0"/>
      <w:marRight w:val="0"/>
      <w:marTop w:val="0"/>
      <w:marBottom w:val="0"/>
      <w:divBdr>
        <w:top w:val="none" w:sz="0" w:space="0" w:color="auto"/>
        <w:left w:val="none" w:sz="0" w:space="0" w:color="auto"/>
        <w:bottom w:val="none" w:sz="0" w:space="0" w:color="auto"/>
        <w:right w:val="none" w:sz="0" w:space="0" w:color="auto"/>
      </w:divBdr>
    </w:div>
    <w:div w:id="1422531174">
      <w:bodyDiv w:val="1"/>
      <w:marLeft w:val="0"/>
      <w:marRight w:val="0"/>
      <w:marTop w:val="0"/>
      <w:marBottom w:val="0"/>
      <w:divBdr>
        <w:top w:val="none" w:sz="0" w:space="0" w:color="auto"/>
        <w:left w:val="none" w:sz="0" w:space="0" w:color="auto"/>
        <w:bottom w:val="none" w:sz="0" w:space="0" w:color="auto"/>
        <w:right w:val="none" w:sz="0" w:space="0" w:color="auto"/>
      </w:divBdr>
    </w:div>
    <w:div w:id="1526214976">
      <w:bodyDiv w:val="1"/>
      <w:marLeft w:val="0"/>
      <w:marRight w:val="0"/>
      <w:marTop w:val="0"/>
      <w:marBottom w:val="0"/>
      <w:divBdr>
        <w:top w:val="none" w:sz="0" w:space="0" w:color="auto"/>
        <w:left w:val="none" w:sz="0" w:space="0" w:color="auto"/>
        <w:bottom w:val="none" w:sz="0" w:space="0" w:color="auto"/>
        <w:right w:val="none" w:sz="0" w:space="0" w:color="auto"/>
      </w:divBdr>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611820047">
      <w:bodyDiv w:val="1"/>
      <w:marLeft w:val="0"/>
      <w:marRight w:val="0"/>
      <w:marTop w:val="0"/>
      <w:marBottom w:val="0"/>
      <w:divBdr>
        <w:top w:val="none" w:sz="0" w:space="0" w:color="auto"/>
        <w:left w:val="none" w:sz="0" w:space="0" w:color="auto"/>
        <w:bottom w:val="none" w:sz="0" w:space="0" w:color="auto"/>
        <w:right w:val="none" w:sz="0" w:space="0" w:color="auto"/>
      </w:divBdr>
    </w:div>
    <w:div w:id="1637755607">
      <w:bodyDiv w:val="1"/>
      <w:marLeft w:val="0"/>
      <w:marRight w:val="0"/>
      <w:marTop w:val="0"/>
      <w:marBottom w:val="0"/>
      <w:divBdr>
        <w:top w:val="none" w:sz="0" w:space="0" w:color="auto"/>
        <w:left w:val="none" w:sz="0" w:space="0" w:color="auto"/>
        <w:bottom w:val="none" w:sz="0" w:space="0" w:color="auto"/>
        <w:right w:val="none" w:sz="0" w:space="0" w:color="auto"/>
      </w:divBdr>
    </w:div>
    <w:div w:id="1690718393">
      <w:bodyDiv w:val="1"/>
      <w:marLeft w:val="0"/>
      <w:marRight w:val="0"/>
      <w:marTop w:val="0"/>
      <w:marBottom w:val="0"/>
      <w:divBdr>
        <w:top w:val="none" w:sz="0" w:space="0" w:color="auto"/>
        <w:left w:val="none" w:sz="0" w:space="0" w:color="auto"/>
        <w:bottom w:val="none" w:sz="0" w:space="0" w:color="auto"/>
        <w:right w:val="none" w:sz="0" w:space="0" w:color="auto"/>
      </w:divBdr>
    </w:div>
    <w:div w:id="1774932075">
      <w:bodyDiv w:val="1"/>
      <w:marLeft w:val="0"/>
      <w:marRight w:val="0"/>
      <w:marTop w:val="0"/>
      <w:marBottom w:val="0"/>
      <w:divBdr>
        <w:top w:val="none" w:sz="0" w:space="0" w:color="auto"/>
        <w:left w:val="none" w:sz="0" w:space="0" w:color="auto"/>
        <w:bottom w:val="none" w:sz="0" w:space="0" w:color="auto"/>
        <w:right w:val="none" w:sz="0" w:space="0" w:color="auto"/>
      </w:divBdr>
    </w:div>
    <w:div w:id="1779443034">
      <w:bodyDiv w:val="1"/>
      <w:marLeft w:val="0"/>
      <w:marRight w:val="0"/>
      <w:marTop w:val="0"/>
      <w:marBottom w:val="0"/>
      <w:divBdr>
        <w:top w:val="none" w:sz="0" w:space="0" w:color="auto"/>
        <w:left w:val="none" w:sz="0" w:space="0" w:color="auto"/>
        <w:bottom w:val="none" w:sz="0" w:space="0" w:color="auto"/>
        <w:right w:val="none" w:sz="0" w:space="0" w:color="auto"/>
      </w:divBdr>
    </w:div>
    <w:div w:id="1822113594">
      <w:bodyDiv w:val="1"/>
      <w:marLeft w:val="0"/>
      <w:marRight w:val="0"/>
      <w:marTop w:val="0"/>
      <w:marBottom w:val="0"/>
      <w:divBdr>
        <w:top w:val="none" w:sz="0" w:space="0" w:color="auto"/>
        <w:left w:val="none" w:sz="0" w:space="0" w:color="auto"/>
        <w:bottom w:val="none" w:sz="0" w:space="0" w:color="auto"/>
        <w:right w:val="none" w:sz="0" w:space="0" w:color="auto"/>
      </w:divBdr>
    </w:div>
    <w:div w:id="1932273485">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36735605">
      <w:bodyDiv w:val="1"/>
      <w:marLeft w:val="0"/>
      <w:marRight w:val="0"/>
      <w:marTop w:val="0"/>
      <w:marBottom w:val="0"/>
      <w:divBdr>
        <w:top w:val="none" w:sz="0" w:space="0" w:color="auto"/>
        <w:left w:val="none" w:sz="0" w:space="0" w:color="auto"/>
        <w:bottom w:val="none" w:sz="0" w:space="0" w:color="auto"/>
        <w:right w:val="none" w:sz="0" w:space="0" w:color="auto"/>
      </w:divBdr>
    </w:div>
    <w:div w:id="2041010786">
      <w:bodyDiv w:val="1"/>
      <w:marLeft w:val="0"/>
      <w:marRight w:val="0"/>
      <w:marTop w:val="0"/>
      <w:marBottom w:val="0"/>
      <w:divBdr>
        <w:top w:val="none" w:sz="0" w:space="0" w:color="auto"/>
        <w:left w:val="none" w:sz="0" w:space="0" w:color="auto"/>
        <w:bottom w:val="none" w:sz="0" w:space="0" w:color="auto"/>
        <w:right w:val="none" w:sz="0" w:space="0" w:color="auto"/>
      </w:divBdr>
    </w:div>
    <w:div w:id="2053187781">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6CC6-05D6-4B94-98B9-2BA8BF72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14</Pages>
  <Words>3528</Words>
  <Characters>20816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24296</CharactersWithSpaces>
  <SharedDoc>false</SharedDoc>
  <HLinks>
    <vt:vector size="6" baseType="variant">
      <vt:variant>
        <vt:i4>2490436</vt:i4>
      </vt:variant>
      <vt:variant>
        <vt:i4>0</vt:i4>
      </vt:variant>
      <vt:variant>
        <vt:i4>0</vt:i4>
      </vt:variant>
      <vt:variant>
        <vt:i4>5</vt:i4>
      </vt:variant>
      <vt:variant>
        <vt:lpwstr>mailto:Katerina.Belinova@mze.cz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cp:lastModifiedBy>Hynková Dana</cp:lastModifiedBy>
  <cp:revision>2</cp:revision>
  <cp:lastPrinted>2019-07-19T12:33:00Z</cp:lastPrinted>
  <dcterms:created xsi:type="dcterms:W3CDTF">2021-10-07T08:55:00Z</dcterms:created>
  <dcterms:modified xsi:type="dcterms:W3CDTF">2021-10-07T08:55:00Z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