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1F4CDD2F" w:rsidR="00796A29" w:rsidRPr="001759DF" w:rsidRDefault="00D7753B" w:rsidP="001759DF">
      <w:pPr>
        <w:jc w:val="both"/>
        <w:rPr>
          <w:rFonts w:ascii="Arial" w:hAnsi="Arial"/>
          <w:b/>
        </w:rPr>
      </w:pPr>
      <w:proofErr w:type="spellStart"/>
      <w:r w:rsidRPr="00EE0C5E">
        <w:rPr>
          <w:rFonts w:ascii="Arial" w:hAnsi="Arial"/>
        </w:rPr>
        <w:t>Landia</w:t>
      </w:r>
      <w:proofErr w:type="spellEnd"/>
      <w:r w:rsidRPr="00EE0C5E">
        <w:rPr>
          <w:rFonts w:ascii="Arial" w:hAnsi="Arial"/>
        </w:rPr>
        <w:t xml:space="preserve"> – Kyje, s.r.o.</w:t>
      </w:r>
    </w:p>
    <w:p w14:paraId="4EC8CACA" w14:textId="17EBD873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D7753B">
        <w:rPr>
          <w:rFonts w:ascii="Arial" w:hAnsi="Arial"/>
          <w:sz w:val="20"/>
        </w:rPr>
        <w:t>Evropská 810/136</w:t>
      </w:r>
      <w:r w:rsidR="00BE4C13">
        <w:rPr>
          <w:rFonts w:ascii="Arial" w:hAnsi="Arial"/>
          <w:sz w:val="20"/>
        </w:rPr>
        <w:t xml:space="preserve">, </w:t>
      </w:r>
      <w:r w:rsidR="00BE4C13" w:rsidRPr="00BE4C13">
        <w:rPr>
          <w:rFonts w:ascii="Arial" w:hAnsi="Arial"/>
          <w:sz w:val="20"/>
        </w:rPr>
        <w:t>Vokovice, 160 00 Praha 6</w:t>
      </w:r>
    </w:p>
    <w:p w14:paraId="08187503" w14:textId="68D86AB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D7753B">
        <w:rPr>
          <w:rFonts w:ascii="Arial" w:hAnsi="Arial"/>
          <w:sz w:val="20"/>
        </w:rPr>
        <w:t>05549400</w:t>
      </w:r>
    </w:p>
    <w:p w14:paraId="2D4DAE76" w14:textId="5183624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D7753B">
        <w:rPr>
          <w:rFonts w:ascii="Arial" w:hAnsi="Arial"/>
          <w:sz w:val="20"/>
        </w:rPr>
        <w:t>není plátce DPH</w:t>
      </w:r>
    </w:p>
    <w:p w14:paraId="182AAB74" w14:textId="052AB5A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D7753B">
        <w:rPr>
          <w:rFonts w:ascii="Arial" w:hAnsi="Arial"/>
          <w:sz w:val="20"/>
        </w:rPr>
        <w:t xml:space="preserve">Ing. Kamilem </w:t>
      </w:r>
      <w:proofErr w:type="spellStart"/>
      <w:r w:rsidR="00D7753B">
        <w:rPr>
          <w:rFonts w:ascii="Arial" w:hAnsi="Arial"/>
          <w:sz w:val="20"/>
        </w:rPr>
        <w:t>Hoštákem</w:t>
      </w:r>
      <w:proofErr w:type="spellEnd"/>
    </w:p>
    <w:p w14:paraId="380038AA" w14:textId="54C6C94E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D7753B">
        <w:rPr>
          <w:sz w:val="20"/>
        </w:rPr>
        <w:t>u městského soudu v Praze</w:t>
      </w:r>
      <w:r w:rsidRPr="001759DF">
        <w:rPr>
          <w:sz w:val="20"/>
        </w:rPr>
        <w:t xml:space="preserve"> </w:t>
      </w:r>
    </w:p>
    <w:p w14:paraId="7B8A9C15" w14:textId="5287B5A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</w:t>
      </w:r>
      <w:r w:rsidR="00D7753B">
        <w:rPr>
          <w:rFonts w:ascii="Arial" w:hAnsi="Arial"/>
          <w:sz w:val="20"/>
        </w:rPr>
        <w:t>C 265658</w:t>
      </w:r>
    </w:p>
    <w:p w14:paraId="533E19B0" w14:textId="2E8A9A89" w:rsidR="00D7753B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="00D7753B">
        <w:rPr>
          <w:rFonts w:ascii="Arial" w:hAnsi="Arial"/>
          <w:sz w:val="20"/>
        </w:rPr>
        <w:t>Raiffeisenbank a.s.</w:t>
      </w:r>
      <w:r w:rsidRPr="001759DF">
        <w:rPr>
          <w:rFonts w:ascii="Arial" w:hAnsi="Arial"/>
          <w:sz w:val="20"/>
        </w:rPr>
        <w:t xml:space="preserve">    </w:t>
      </w:r>
      <w:r w:rsidR="00D7753B">
        <w:rPr>
          <w:rFonts w:ascii="Arial" w:hAnsi="Arial"/>
          <w:sz w:val="20"/>
        </w:rPr>
        <w:t>¨</w:t>
      </w:r>
    </w:p>
    <w:p w14:paraId="0F92D907" w14:textId="12126BB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číslo účtu: </w:t>
      </w:r>
      <w:r w:rsidR="00D7753B">
        <w:rPr>
          <w:rFonts w:ascii="Arial" w:hAnsi="Arial"/>
          <w:sz w:val="20"/>
        </w:rPr>
        <w:t>9721289001/5500</w:t>
      </w:r>
    </w:p>
    <w:p w14:paraId="0F9C9DB7" w14:textId="7CA4898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D7753B">
        <w:rPr>
          <w:rFonts w:ascii="Arial" w:hAnsi="Arial"/>
          <w:sz w:val="20"/>
        </w:rPr>
        <w:t>Věra Pochmanová</w:t>
      </w:r>
      <w:r w:rsidR="00D7753B" w:rsidRPr="001759DF">
        <w:rPr>
          <w:rFonts w:ascii="Arial" w:hAnsi="Arial"/>
          <w:sz w:val="20"/>
        </w:rPr>
        <w:t xml:space="preserve">, </w:t>
      </w:r>
      <w:r w:rsidRPr="001759DF">
        <w:rPr>
          <w:rFonts w:ascii="Arial" w:hAnsi="Arial"/>
          <w:sz w:val="20"/>
        </w:rPr>
        <w:t xml:space="preserve">email: </w:t>
      </w:r>
      <w:r w:rsidR="00D7753B">
        <w:rPr>
          <w:rFonts w:ascii="Arial" w:hAnsi="Arial"/>
          <w:sz w:val="20"/>
        </w:rPr>
        <w:t>vera.pochmanova@landia.cz</w:t>
      </w:r>
      <w:r w:rsidR="00D7753B" w:rsidRPr="001759DF">
        <w:rPr>
          <w:rFonts w:ascii="Arial" w:hAnsi="Arial"/>
          <w:sz w:val="20"/>
        </w:rPr>
        <w:t xml:space="preserve">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437077B6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405F6E" w:rsidRPr="00405F6E">
        <w:rPr>
          <w:rFonts w:ascii="Arial" w:hAnsi="Arial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165739B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EE0C5E">
        <w:rPr>
          <w:rFonts w:ascii="Arial" w:hAnsi="Arial"/>
          <w:sz w:val="20"/>
        </w:rPr>
        <w:t xml:space="preserve">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2B4CC618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>se sídlem:</w:t>
      </w:r>
      <w:r w:rsidR="00EE0C5E">
        <w:rPr>
          <w:rFonts w:ascii="Arial" w:hAnsi="Arial"/>
        </w:rPr>
        <w:t xml:space="preserve">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6D0FBDA" w:rsidR="00FF2A17" w:rsidRDefault="00D7753B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Obytný soubor Jordánská – 2.etapa</w:t>
      </w:r>
      <w:r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4670D56F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2733D3">
        <w:t>vera.pochmanova@landia.cz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C603F6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r w:rsidR="00EE0C5E" w:rsidRPr="00DF7460">
        <w:rPr>
          <w:rFonts w:ascii="Arial" w:hAnsi="Arial" w:cs="Arial"/>
          <w:sz w:val="20"/>
        </w:rPr>
        <w:t>břemene – služebnosti</w:t>
      </w:r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312F637C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r w:rsidR="00EE0C5E" w:rsidRPr="001759DF">
        <w:rPr>
          <w:rFonts w:ascii="Arial" w:hAnsi="Arial" w:cs="Arial"/>
          <w:sz w:val="20"/>
        </w:rPr>
        <w:t xml:space="preserve">břemeno </w:t>
      </w:r>
      <w:r w:rsidR="00EE0C5E">
        <w:rPr>
          <w:rFonts w:ascii="Arial" w:hAnsi="Arial" w:cs="Arial"/>
          <w:sz w:val="20"/>
        </w:rPr>
        <w:t>– služebnost</w:t>
      </w:r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55CBF03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r w:rsidR="00EE0C5E" w:rsidRPr="001759DF">
        <w:rPr>
          <w:rFonts w:ascii="Arial" w:hAnsi="Arial" w:cs="Arial"/>
          <w:sz w:val="20"/>
        </w:rPr>
        <w:t>1.000, -</w:t>
      </w:r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430C1A5E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25C6BF4" w14:textId="0218D70C" w:rsidR="002733D3" w:rsidRDefault="002733D3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0DFE8BB4" w14:textId="79422F89" w:rsidR="00EE0C5E" w:rsidRDefault="00EE0C5E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7B26A5FC" w14:textId="14BAA145" w:rsidR="00EE0C5E" w:rsidRDefault="00EE0C5E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56C99D1F" w14:textId="77777777" w:rsidR="00EE0C5E" w:rsidRDefault="00EE0C5E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lastRenderedPageBreak/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EE0C5E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CC72" w14:textId="77777777" w:rsidR="00CE3C4F" w:rsidRDefault="00CE3C4F" w:rsidP="00796A29">
      <w:r>
        <w:separator/>
      </w:r>
    </w:p>
  </w:endnote>
  <w:endnote w:type="continuationSeparator" w:id="0">
    <w:p w14:paraId="6729E030" w14:textId="77777777" w:rsidR="00CE3C4F" w:rsidRDefault="00CE3C4F" w:rsidP="00796A29">
      <w:r>
        <w:continuationSeparator/>
      </w:r>
    </w:p>
  </w:endnote>
  <w:endnote w:type="continuationNotice" w:id="1">
    <w:p w14:paraId="76E041D7" w14:textId="77777777" w:rsidR="00CE3C4F" w:rsidRDefault="00CE3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A971" w14:textId="77777777" w:rsidR="00CE3C4F" w:rsidRDefault="00CE3C4F" w:rsidP="00796A29">
      <w:r>
        <w:separator/>
      </w:r>
    </w:p>
  </w:footnote>
  <w:footnote w:type="continuationSeparator" w:id="0">
    <w:p w14:paraId="4683682E" w14:textId="77777777" w:rsidR="00CE3C4F" w:rsidRDefault="00CE3C4F" w:rsidP="00796A29">
      <w:r>
        <w:continuationSeparator/>
      </w:r>
    </w:p>
  </w:footnote>
  <w:footnote w:type="continuationNotice" w:id="1">
    <w:p w14:paraId="580685F0" w14:textId="77777777" w:rsidR="00CE3C4F" w:rsidRDefault="00CE3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4DF2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33D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5F6E"/>
    <w:rsid w:val="004074DA"/>
    <w:rsid w:val="004114B7"/>
    <w:rsid w:val="00424006"/>
    <w:rsid w:val="0042423F"/>
    <w:rsid w:val="00436574"/>
    <w:rsid w:val="004429BC"/>
    <w:rsid w:val="0045086A"/>
    <w:rsid w:val="00461109"/>
    <w:rsid w:val="0046454F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E4C13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53B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0C5E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7AD41D07-5A08-4844-B15F-00ECF9802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6890</Words>
  <Characters>40657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5</cp:revision>
  <cp:lastPrinted>2021-08-20T08:53:00Z</cp:lastPrinted>
  <dcterms:created xsi:type="dcterms:W3CDTF">2021-08-20T06:39:00Z</dcterms:created>
  <dcterms:modified xsi:type="dcterms:W3CDTF">2021-08-20T08:53:00Z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