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B9FE" w14:textId="114738E3" w:rsidR="001518D2" w:rsidRPr="001518D2" w:rsidRDefault="00E760E0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b/>
          <w:color w:val="000000" w:themeColor="text1"/>
          <w:sz w:val="32"/>
          <w:szCs w:val="32"/>
          <w:u w:val="single"/>
        </w:rPr>
      </w:pPr>
      <w:r>
        <w:rPr>
          <w:rFonts w:eastAsia="Arial" w:cstheme="minorHAnsi"/>
          <w:b/>
          <w:color w:val="000000" w:themeColor="text1"/>
          <w:sz w:val="32"/>
          <w:szCs w:val="32"/>
          <w:u w:val="single"/>
        </w:rPr>
        <w:t>Dohoda o vypořádání bezdůvodného obohacení</w:t>
      </w:r>
      <w:r w:rsidR="001518D2" w:rsidRPr="001518D2">
        <w:rPr>
          <w:rFonts w:eastAsia="Arial" w:cstheme="minorHAnsi"/>
          <w:b/>
          <w:color w:val="000000" w:themeColor="text1"/>
          <w:sz w:val="32"/>
          <w:szCs w:val="32"/>
          <w:u w:val="single"/>
        </w:rPr>
        <w:t xml:space="preserve">  </w:t>
      </w:r>
    </w:p>
    <w:p w14:paraId="0AFF2D0D" w14:textId="040E86F7" w:rsidR="001518D2" w:rsidRPr="00416EEE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E760E0">
        <w:rPr>
          <w:rFonts w:eastAsia="Arial" w:cstheme="minorHAnsi"/>
          <w:color w:val="000000" w:themeColor="text1"/>
          <w:sz w:val="28"/>
          <w:szCs w:val="28"/>
        </w:rPr>
        <w:t>(dále jen „Dohoda</w:t>
      </w:r>
      <w:r>
        <w:rPr>
          <w:rFonts w:eastAsia="Arial" w:cstheme="minorHAnsi"/>
          <w:color w:val="000000" w:themeColor="text1"/>
          <w:sz w:val="28"/>
          <w:szCs w:val="28"/>
        </w:rPr>
        <w:t>“)</w:t>
      </w:r>
    </w:p>
    <w:p w14:paraId="7A701526" w14:textId="77777777" w:rsidR="001518D2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uzavřená dle § 1746, odst. 2 zákona č. 89/2012 Sb., občanský zákoník,</w:t>
      </w:r>
    </w:p>
    <w:p w14:paraId="14C5E8C7" w14:textId="77777777" w:rsidR="00E760E0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v platném znění, </w:t>
      </w:r>
      <w:r w:rsidR="00E760E0">
        <w:rPr>
          <w:rFonts w:eastAsia="Arial" w:cstheme="minorHAnsi"/>
          <w:color w:val="000000" w:themeColor="text1"/>
          <w:sz w:val="28"/>
          <w:szCs w:val="28"/>
        </w:rPr>
        <w:t>níže uvedeného dne, měsíce a roku</w:t>
      </w:r>
    </w:p>
    <w:p w14:paraId="38E8534F" w14:textId="66743FF1" w:rsidR="001518D2" w:rsidRPr="00416EEE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mezi těmito smluvními stranami:</w:t>
      </w:r>
    </w:p>
    <w:p w14:paraId="43D0C4F5" w14:textId="77777777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B20BAE1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b/>
          <w:color w:val="000000" w:themeColor="text1"/>
          <w:sz w:val="28"/>
          <w:szCs w:val="28"/>
        </w:rPr>
      </w:pPr>
      <w:r w:rsidRPr="001518D2">
        <w:rPr>
          <w:rFonts w:eastAsia="Arial" w:cstheme="minorHAnsi"/>
          <w:b/>
          <w:color w:val="000000" w:themeColor="text1"/>
          <w:sz w:val="28"/>
          <w:szCs w:val="28"/>
        </w:rPr>
        <w:t>Městská knihovna Písek</w:t>
      </w:r>
    </w:p>
    <w:p w14:paraId="71AE1557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se sídlem Alšovo náměstí 75/13,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397 01 Písek</w:t>
      </w:r>
    </w:p>
    <w:p w14:paraId="3E758F03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zastoupená ředitelem Mgr. Romanem Dubem</w:t>
      </w:r>
    </w:p>
    <w:p w14:paraId="3EFC28DA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IČ: 70869197</w:t>
      </w:r>
    </w:p>
    <w:p w14:paraId="6AB806F6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Č. účtu: 17324271/0100</w:t>
      </w:r>
    </w:p>
    <w:p w14:paraId="30F00E6B" w14:textId="001A62E0" w:rsidR="001518D2" w:rsidRPr="00DD51B5" w:rsidRDefault="001518D2" w:rsidP="00147A52">
      <w:pPr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DD51B5">
        <w:rPr>
          <w:rFonts w:eastAsia="Arial" w:cstheme="minorHAnsi"/>
          <w:color w:val="000000" w:themeColor="text1"/>
          <w:sz w:val="28"/>
          <w:szCs w:val="28"/>
        </w:rPr>
        <w:t>(dále jen „objedn</w:t>
      </w:r>
      <w:r w:rsidR="001C1FC9" w:rsidRPr="00DD51B5">
        <w:rPr>
          <w:rFonts w:eastAsia="Arial" w:cstheme="minorHAnsi"/>
          <w:color w:val="000000" w:themeColor="text1"/>
          <w:sz w:val="28"/>
          <w:szCs w:val="28"/>
        </w:rPr>
        <w:t>atel“)</w:t>
      </w:r>
    </w:p>
    <w:p w14:paraId="553A245A" w14:textId="56978F25" w:rsidR="001518D2" w:rsidRPr="001518D2" w:rsidRDefault="001518D2" w:rsidP="00147A52">
      <w:pPr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a </w:t>
      </w:r>
    </w:p>
    <w:p w14:paraId="32916D28" w14:textId="5AE632FD" w:rsidR="001518D2" w:rsidRPr="001518D2" w:rsidRDefault="00DD51B5" w:rsidP="00147A52">
      <w:pPr>
        <w:spacing w:after="0"/>
        <w:rPr>
          <w:rFonts w:eastAsia="Arial" w:cstheme="minorHAnsi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1FC9">
        <w:rPr>
          <w:bCs/>
          <w:sz w:val="28"/>
          <w:szCs w:val="28"/>
        </w:rPr>
        <w:t>Marie Sádlová</w:t>
      </w:r>
    </w:p>
    <w:p w14:paraId="101576EB" w14:textId="0045376E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se sídlem </w:t>
      </w:r>
      <w:r w:rsidR="001C1FC9">
        <w:rPr>
          <w:bCs/>
          <w:sz w:val="28"/>
          <w:szCs w:val="28"/>
        </w:rPr>
        <w:t>Branice 69, Bernartice 398 43</w:t>
      </w:r>
    </w:p>
    <w:p w14:paraId="1C994F60" w14:textId="27EB5120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IČ: </w:t>
      </w:r>
      <w:r w:rsidR="001C1FC9">
        <w:rPr>
          <w:bCs/>
          <w:sz w:val="28"/>
          <w:szCs w:val="28"/>
        </w:rPr>
        <w:t>65938771</w:t>
      </w:r>
    </w:p>
    <w:p w14:paraId="1089B16C" w14:textId="77777777" w:rsidR="00DD51B5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Zapsaná v obchodním rejstříku vedeném </w:t>
      </w:r>
      <w:r w:rsidR="001C1FC9">
        <w:rPr>
          <w:bCs/>
          <w:sz w:val="28"/>
          <w:szCs w:val="28"/>
        </w:rPr>
        <w:t>Městským úřadem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v </w:t>
      </w:r>
      <w:r w:rsidR="001C1FC9">
        <w:rPr>
          <w:bCs/>
          <w:sz w:val="28"/>
          <w:szCs w:val="28"/>
        </w:rPr>
        <w:t>Písku</w:t>
      </w:r>
      <w:r w:rsidR="001C1FC9">
        <w:rPr>
          <w:rFonts w:eastAsia="Arial" w:cstheme="minorHAnsi"/>
          <w:color w:val="000000" w:themeColor="text1"/>
          <w:sz w:val="28"/>
          <w:szCs w:val="28"/>
        </w:rPr>
        <w:t xml:space="preserve">, </w:t>
      </w:r>
    </w:p>
    <w:p w14:paraId="34B40760" w14:textId="0994122B" w:rsidR="001C1FC9" w:rsidRDefault="001C1FC9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ev.číslo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 xml:space="preserve"> ŽL 330500-24163-00.</w:t>
      </w:r>
    </w:p>
    <w:p w14:paraId="10515791" w14:textId="060CFCA7" w:rsidR="001518D2" w:rsidRPr="00DD51B5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DD51B5">
        <w:rPr>
          <w:rFonts w:eastAsia="Arial" w:cstheme="minorHAnsi"/>
          <w:color w:val="000000" w:themeColor="text1"/>
          <w:sz w:val="28"/>
          <w:szCs w:val="28"/>
        </w:rPr>
        <w:t>(dále jen „dodavate</w:t>
      </w:r>
      <w:r w:rsidR="00C1505D" w:rsidRPr="00DD51B5">
        <w:rPr>
          <w:rFonts w:eastAsia="Arial" w:cstheme="minorHAnsi"/>
          <w:color w:val="000000" w:themeColor="text1"/>
          <w:sz w:val="28"/>
          <w:szCs w:val="28"/>
        </w:rPr>
        <w:t>l</w:t>
      </w:r>
      <w:r w:rsidR="001C1FC9" w:rsidRPr="00DD51B5">
        <w:rPr>
          <w:rFonts w:eastAsia="Arial" w:cstheme="minorHAnsi"/>
          <w:color w:val="000000" w:themeColor="text1"/>
          <w:sz w:val="28"/>
          <w:szCs w:val="28"/>
        </w:rPr>
        <w:t>“)</w:t>
      </w:r>
    </w:p>
    <w:p w14:paraId="1B990508" w14:textId="281F4F2C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1AACC9A" w14:textId="65079324" w:rsidR="00E760E0" w:rsidRPr="00E760E0" w:rsidRDefault="00E760E0" w:rsidP="00E760E0">
      <w:pPr>
        <w:spacing w:after="134" w:line="256" w:lineRule="auto"/>
        <w:ind w:right="296"/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>I.</w:t>
      </w:r>
    </w:p>
    <w:p w14:paraId="45AD2DE1" w14:textId="77777777" w:rsidR="00E760E0" w:rsidRDefault="00E760E0" w:rsidP="00E760E0">
      <w:p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uzavírají tuto Dohodu o vypořádání bezdůvodného obohacení vzhledem k tomu, že:  </w:t>
      </w:r>
    </w:p>
    <w:p w14:paraId="7734BC93" w14:textId="768381CB" w:rsidR="00AD142E" w:rsidRPr="00FD1C76" w:rsidRDefault="00E760E0" w:rsidP="00E760E0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uzavřely dne </w:t>
      </w:r>
      <w:r w:rsidR="001C1FC9">
        <w:rPr>
          <w:bCs/>
          <w:sz w:val="28"/>
          <w:szCs w:val="28"/>
        </w:rPr>
        <w:t>13.10.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>20</w:t>
      </w:r>
      <w:r w:rsidR="001C1FC9">
        <w:rPr>
          <w:rFonts w:eastAsiaTheme="minorEastAsia" w:cstheme="minorHAnsi"/>
          <w:color w:val="000000" w:themeColor="text1"/>
          <w:sz w:val="28"/>
          <w:szCs w:val="28"/>
        </w:rPr>
        <w:t xml:space="preserve">16 smlouvu </w:t>
      </w:r>
      <w:proofErr w:type="gramStart"/>
      <w:r w:rsidRPr="00E760E0">
        <w:rPr>
          <w:rFonts w:eastAsiaTheme="minorEastAsia" w:cstheme="minorHAnsi"/>
          <w:color w:val="000000" w:themeColor="text1"/>
          <w:sz w:val="28"/>
          <w:szCs w:val="28"/>
        </w:rPr>
        <w:t>č.</w:t>
      </w:r>
      <w:r w:rsidR="001C1FC9">
        <w:rPr>
          <w:rFonts w:eastAsiaTheme="minorEastAsia" w:cstheme="minorHAnsi"/>
          <w:color w:val="000000" w:themeColor="text1"/>
          <w:sz w:val="28"/>
          <w:szCs w:val="28"/>
        </w:rPr>
        <w:t>59</w:t>
      </w:r>
      <w:proofErr w:type="gramEnd"/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, jejímž předmětem bylo </w:t>
      </w:r>
      <w:r w:rsidR="001C1FC9">
        <w:rPr>
          <w:bCs/>
          <w:sz w:val="28"/>
          <w:szCs w:val="28"/>
        </w:rPr>
        <w:t>poskytování kompletních služeb v oblasti vedení účetnictví</w:t>
      </w:r>
      <w:r w:rsidR="001C1FC9">
        <w:rPr>
          <w:rFonts w:eastAsiaTheme="minorEastAsia" w:cstheme="minorHAnsi"/>
          <w:color w:val="000000" w:themeColor="text1"/>
          <w:sz w:val="28"/>
          <w:szCs w:val="28"/>
        </w:rPr>
        <w:t xml:space="preserve">. Tato smlouva 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byla uzavřena v souladu s výsledkem zadávacího řízení na výběr dodavatele díla </w:t>
      </w:r>
      <w:r w:rsidRPr="00FD1C76">
        <w:rPr>
          <w:rFonts w:eastAsiaTheme="minorEastAsia" w:cstheme="minorHAnsi"/>
          <w:color w:val="000000" w:themeColor="text1"/>
          <w:sz w:val="28"/>
          <w:szCs w:val="28"/>
        </w:rPr>
        <w:t>na základě usnesení rady města Písek</w:t>
      </w:r>
      <w:r w:rsidR="00FD1C76" w:rsidRPr="00FD1C76">
        <w:rPr>
          <w:rFonts w:eastAsiaTheme="minorEastAsia" w:cstheme="minorHAnsi"/>
          <w:color w:val="000000" w:themeColor="text1"/>
          <w:sz w:val="28"/>
          <w:szCs w:val="28"/>
        </w:rPr>
        <w:t xml:space="preserve"> č. 569/2016 ze dne </w:t>
      </w:r>
      <w:proofErr w:type="gramStart"/>
      <w:r w:rsidR="00FD1C76" w:rsidRPr="00FD1C76">
        <w:rPr>
          <w:rFonts w:eastAsiaTheme="minorEastAsia" w:cstheme="minorHAnsi"/>
          <w:color w:val="000000" w:themeColor="text1"/>
          <w:sz w:val="28"/>
          <w:szCs w:val="28"/>
        </w:rPr>
        <w:t>13.10.2016</w:t>
      </w:r>
      <w:proofErr w:type="gramEnd"/>
      <w:r w:rsidR="008E429B" w:rsidRPr="00FD1C76">
        <w:rPr>
          <w:rFonts w:eastAsiaTheme="minorEastAsia" w:cstheme="minorHAnsi"/>
          <w:color w:val="000000" w:themeColor="text1"/>
          <w:sz w:val="28"/>
          <w:szCs w:val="28"/>
        </w:rPr>
        <w:t>.</w:t>
      </w:r>
    </w:p>
    <w:p w14:paraId="17FBB4EB" w14:textId="62B7355F" w:rsidR="00AD142E" w:rsidRDefault="00E760E0" w:rsidP="00AD142E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>měly podle § 2 odst. 1 písm. a) zákona č. 340/2015, o registru sml</w:t>
      </w:r>
      <w:r w:rsidR="001C1FC9">
        <w:rPr>
          <w:rFonts w:eastAsiaTheme="minorEastAsia" w:cstheme="minorHAnsi"/>
          <w:color w:val="000000" w:themeColor="text1"/>
          <w:sz w:val="28"/>
          <w:szCs w:val="28"/>
        </w:rPr>
        <w:t>uv, povinnost uveřejnit smlouvu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uvedenou v článku I. odst.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2511111E" w14:textId="4E89CE5E" w:rsidR="00E760E0" w:rsidRPr="00AD142E" w:rsidRDefault="001C1FC9" w:rsidP="007F382E">
      <w:pPr>
        <w:pStyle w:val="Odstavecseseznamem"/>
        <w:numPr>
          <w:ilvl w:val="0"/>
          <w:numId w:val="7"/>
        </w:numPr>
        <w:spacing w:after="0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 xml:space="preserve">ze smlouvy 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uvedené v článku I. odst. 1 této Dohody bylo poskytnuto plnění, přestože v době poskytnutí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plnění nebyla tato smlouva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uveřejněna 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lastRenderedPageBreak/>
        <w:t xml:space="preserve">dle § 5 ZRS a nenabyla tak účinnosti, a tudíž má poskytnuté plnění povahu bezdůvodného obohacení strany přijímající takové plnění, neboť bylo plněno bez právního důvodu. </w:t>
      </w:r>
    </w:p>
    <w:p w14:paraId="1ACA66A5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61D08B00" w14:textId="16307864" w:rsidR="00E760E0" w:rsidRPr="00AD142E" w:rsidRDefault="00E760E0" w:rsidP="00AD142E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AD142E">
        <w:rPr>
          <w:rFonts w:eastAsiaTheme="minorEastAsia" w:cstheme="minorHAnsi"/>
          <w:b/>
          <w:color w:val="000000" w:themeColor="text1"/>
          <w:sz w:val="28"/>
          <w:szCs w:val="28"/>
        </w:rPr>
        <w:t>II.</w:t>
      </w:r>
    </w:p>
    <w:p w14:paraId="6AC01ACD" w14:textId="428FEF61" w:rsidR="00E760E0" w:rsidRPr="0052585F" w:rsidRDefault="00E760E0" w:rsidP="0052585F">
      <w:pPr>
        <w:pStyle w:val="Odstavecseseznamem"/>
        <w:numPr>
          <w:ilvl w:val="0"/>
          <w:numId w:val="8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konstatují, že:</w:t>
      </w:r>
    </w:p>
    <w:p w14:paraId="00E925D3" w14:textId="74A16EBA" w:rsidR="00E760E0" w:rsidRDefault="00C1505D" w:rsidP="0052585F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 xml:space="preserve">Dne </w:t>
      </w:r>
      <w:proofErr w:type="gramStart"/>
      <w:r>
        <w:rPr>
          <w:bCs/>
          <w:sz w:val="28"/>
          <w:szCs w:val="28"/>
        </w:rPr>
        <w:t>31.10.2016</w:t>
      </w:r>
      <w:proofErr w:type="gramEnd"/>
      <w:r>
        <w:rPr>
          <w:bCs/>
          <w:sz w:val="28"/>
          <w:szCs w:val="28"/>
        </w:rPr>
        <w:t xml:space="preserve"> </w:t>
      </w:r>
      <w:r>
        <w:rPr>
          <w:rFonts w:eastAsiaTheme="minorEastAsia" w:cstheme="minorHAnsi"/>
          <w:color w:val="000000" w:themeColor="text1"/>
          <w:sz w:val="28"/>
          <w:szCs w:val="28"/>
        </w:rPr>
        <w:t>dodavatel provedl plnění spočívající ve zpracování účetnictví za říjen 2016.</w:t>
      </w:r>
    </w:p>
    <w:p w14:paraId="02F860AC" w14:textId="4FCDC6F9" w:rsidR="00E760E0" w:rsidRPr="0052585F" w:rsidRDefault="00E760E0" w:rsidP="00E760E0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Dne </w:t>
      </w:r>
      <w:proofErr w:type="gramStart"/>
      <w:r w:rsidR="00C1505D">
        <w:rPr>
          <w:bCs/>
          <w:sz w:val="28"/>
          <w:szCs w:val="28"/>
        </w:rPr>
        <w:t>4.11.2016</w:t>
      </w:r>
      <w:proofErr w:type="gramEnd"/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byla dodavateli uhrazena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poměrná část smluvní ceny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za výše uvedené plnění ve výši </w:t>
      </w:r>
      <w:r w:rsidR="00C1505D">
        <w:rPr>
          <w:bCs/>
          <w:sz w:val="28"/>
          <w:szCs w:val="28"/>
        </w:rPr>
        <w:t>5 000,-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Kč bez DPH, z toho DPH činí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0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Kč. </w:t>
      </w:r>
      <w:r w:rsidR="0052585F">
        <w:rPr>
          <w:rFonts w:eastAsiaTheme="minorEastAsia" w:cstheme="minorHAnsi"/>
          <w:color w:val="000000" w:themeColor="text1"/>
          <w:sz w:val="28"/>
          <w:szCs w:val="28"/>
        </w:rPr>
        <w:t xml:space="preserve">Celková cena včetně DPH činí </w:t>
      </w:r>
      <w:r w:rsidR="00C1505D">
        <w:rPr>
          <w:bCs/>
          <w:sz w:val="28"/>
          <w:szCs w:val="28"/>
        </w:rPr>
        <w:t>5 000,-</w:t>
      </w:r>
      <w:r w:rsidR="009D2F6A">
        <w:rPr>
          <w:rFonts w:eastAsiaTheme="minorEastAsia" w:cstheme="minorHAnsi"/>
          <w:color w:val="000000" w:themeColor="text1"/>
          <w:sz w:val="28"/>
          <w:szCs w:val="28"/>
        </w:rPr>
        <w:t xml:space="preserve"> Kč.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Dodavatel není plátce DPH.</w:t>
      </w:r>
    </w:p>
    <w:p w14:paraId="0F47D89B" w14:textId="06760B1B" w:rsid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any výše uvedené plnění smlouvy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dle písm. a) a b) považují za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nesporné, v souladu se smlouvou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uvedenou v článku I. odst. 1 této Dohody a prohlašují, že plnění př</w:t>
      </w:r>
      <w:r w:rsidR="0052585F">
        <w:rPr>
          <w:rFonts w:eastAsiaTheme="minorEastAsia" w:cstheme="minorHAnsi"/>
          <w:color w:val="000000" w:themeColor="text1"/>
          <w:sz w:val="28"/>
          <w:szCs w:val="28"/>
        </w:rPr>
        <w:t xml:space="preserve">ijímají do svého vlastnictví. </w:t>
      </w:r>
    </w:p>
    <w:p w14:paraId="118E9F40" w14:textId="30704F2A" w:rsidR="00E760E0" w:rsidRP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Obě smluvní strany prohlašují, že se bezdůvodně neobohatily na úkor druhé smluvní strany a jednaly v dobré víře.</w:t>
      </w:r>
    </w:p>
    <w:p w14:paraId="2780100D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76F4863B" w14:textId="28E00B34" w:rsidR="00E760E0" w:rsidRPr="0052585F" w:rsidRDefault="0052585F" w:rsidP="0052585F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b/>
          <w:color w:val="000000" w:themeColor="text1"/>
          <w:sz w:val="28"/>
          <w:szCs w:val="28"/>
        </w:rPr>
        <w:t>III.</w:t>
      </w:r>
    </w:p>
    <w:p w14:paraId="00531460" w14:textId="00504104" w:rsidR="0052585F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souhlasí s uveřejněním plného znění této Dohody v registru smluv podle ZRS a rovněž na profilu zadavatele, případně i na dalších místech, kde tak stanoví právní předpis. Uveřejnění Dohody prostřednictvím re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gistru smluv zajistí objednatel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. Dohoda bude zveřejněna po </w:t>
      </w:r>
      <w:proofErr w:type="spellStart"/>
      <w:r w:rsidRPr="0052585F">
        <w:rPr>
          <w:rFonts w:eastAsiaTheme="minorEastAsia" w:cstheme="minorHAnsi"/>
          <w:color w:val="000000" w:themeColor="text1"/>
          <w:sz w:val="28"/>
          <w:szCs w:val="28"/>
        </w:rPr>
        <w:t>anonymizaci</w:t>
      </w:r>
      <w:proofErr w:type="spellEnd"/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provedené v souladu s platnými právními předpisy.</w:t>
      </w:r>
    </w:p>
    <w:p w14:paraId="59A957FA" w14:textId="38B81704" w:rsidR="0052585F" w:rsidRDefault="00E760E0" w:rsidP="007325E5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Práva a povinnosti touto Dohodou výslovně neupravené se řídí právními předpisy České republiky, zejména zákonem č. 89/2012 Sb., občanský zákoník, ve znění pozdějších předpisů.</w:t>
      </w:r>
      <w:r w:rsidR="00E2633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</w:p>
    <w:p w14:paraId="49AF68CE" w14:textId="69E0A656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Tato Dohoda je vyhotovena ve </w:t>
      </w:r>
      <w:r w:rsidR="00C1505D">
        <w:rPr>
          <w:bCs/>
          <w:sz w:val="28"/>
          <w:szCs w:val="28"/>
        </w:rPr>
        <w:t>2</w:t>
      </w:r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>stejnopisech, z nichž každý má platnos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>t originálu, přičemž objednatel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obdrží </w:t>
      </w:r>
      <w:r w:rsidR="00C1505D">
        <w:rPr>
          <w:bCs/>
          <w:sz w:val="28"/>
          <w:szCs w:val="28"/>
        </w:rPr>
        <w:t>1</w:t>
      </w:r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C1505D">
        <w:rPr>
          <w:rFonts w:eastAsiaTheme="minorEastAsia" w:cstheme="minorHAnsi"/>
          <w:color w:val="000000" w:themeColor="text1"/>
          <w:sz w:val="28"/>
          <w:szCs w:val="28"/>
        </w:rPr>
        <w:t xml:space="preserve">vyhotovení a dodavatel </w:t>
      </w:r>
      <w:r w:rsidR="00C1505D">
        <w:rPr>
          <w:bCs/>
          <w:sz w:val="28"/>
          <w:szCs w:val="28"/>
        </w:rPr>
        <w:t>1</w:t>
      </w:r>
      <w:r w:rsidR="007F382E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vyhotovení. </w:t>
      </w:r>
    </w:p>
    <w:p w14:paraId="418AC91A" w14:textId="77777777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potvrzují, že si tuto Dohodu před jejím podpisem přečetly a že s jejím obsahem souhlasí. Na důkaz toho připojují své podpisy. </w:t>
      </w:r>
    </w:p>
    <w:p w14:paraId="10B18444" w14:textId="25EAD9A0" w:rsidR="001518D2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>Dohoda nabývá účinnosti dnem jejího uveřejnění v registru smluv.</w:t>
      </w:r>
    </w:p>
    <w:p w14:paraId="6A5A230E" w14:textId="77777777" w:rsidR="00C1505D" w:rsidRDefault="00C1505D" w:rsidP="00C1505D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70" w14:paraId="03D28677" w14:textId="77777777" w:rsidTr="0047424F">
        <w:tc>
          <w:tcPr>
            <w:tcW w:w="4531" w:type="dxa"/>
          </w:tcPr>
          <w:p w14:paraId="4817116A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0BFBABE6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4939863F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45F65E6D" w14:textId="50FE5CC3" w:rsidR="00361B70" w:rsidRDefault="00361B70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lastRenderedPageBreak/>
              <w:t xml:space="preserve">V Písku dne </w:t>
            </w:r>
            <w:proofErr w:type="gramStart"/>
            <w:r w:rsidR="00C1505D">
              <w:rPr>
                <w:bCs/>
                <w:sz w:val="28"/>
                <w:szCs w:val="28"/>
              </w:rPr>
              <w:t>1</w:t>
            </w:r>
            <w:r w:rsidR="009D2F6A">
              <w:rPr>
                <w:bCs/>
                <w:sz w:val="28"/>
                <w:szCs w:val="28"/>
              </w:rPr>
              <w:t>3</w:t>
            </w:r>
            <w:r w:rsidR="00C1505D">
              <w:rPr>
                <w:bCs/>
                <w:sz w:val="28"/>
                <w:szCs w:val="28"/>
              </w:rPr>
              <w:t>.9.2021</w:t>
            </w:r>
            <w:proofErr w:type="gramEnd"/>
          </w:p>
          <w:p w14:paraId="41797C1D" w14:textId="77777777" w:rsidR="009D2F6A" w:rsidRDefault="009D2F6A" w:rsidP="00361B70">
            <w:pPr>
              <w:spacing w:after="134"/>
              <w:rPr>
                <w:bCs/>
                <w:sz w:val="28"/>
                <w:szCs w:val="28"/>
              </w:rPr>
            </w:pPr>
          </w:p>
          <w:p w14:paraId="4D4EA367" w14:textId="22ECC8EC" w:rsidR="00C1505D" w:rsidRDefault="00C1505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32194073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2471B506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10F396D7" w14:textId="77777777" w:rsidR="009D2F6A" w:rsidRDefault="009D2F6A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  <w:p w14:paraId="0F70AB9C" w14:textId="4E5DA048" w:rsidR="00361B70" w:rsidRDefault="00361B70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lastRenderedPageBreak/>
              <w:t xml:space="preserve">V </w:t>
            </w:r>
            <w:r w:rsidR="00C1505D">
              <w:rPr>
                <w:bCs/>
                <w:sz w:val="28"/>
                <w:szCs w:val="28"/>
              </w:rPr>
              <w:t xml:space="preserve">Branicích </w:t>
            </w:r>
            <w:r>
              <w:rPr>
                <w:bCs/>
                <w:sz w:val="28"/>
                <w:szCs w:val="28"/>
              </w:rPr>
              <w:t xml:space="preserve"> dne </w:t>
            </w:r>
            <w:bookmarkStart w:id="0" w:name="_GoBack"/>
            <w:bookmarkEnd w:id="0"/>
            <w:r w:rsidR="008E32D4">
              <w:rPr>
                <w:bCs/>
                <w:sz w:val="28"/>
                <w:szCs w:val="28"/>
              </w:rPr>
              <w:t>13.9.2021</w:t>
            </w:r>
            <w:r w:rsidR="009D2F6A">
              <w:rPr>
                <w:bCs/>
                <w:sz w:val="28"/>
                <w:szCs w:val="28"/>
              </w:rPr>
              <w:t>.</w:t>
            </w:r>
          </w:p>
          <w:p w14:paraId="069DD38C" w14:textId="77777777" w:rsidR="009D2F6A" w:rsidRDefault="009D2F6A" w:rsidP="00361B70">
            <w:pPr>
              <w:spacing w:after="134"/>
              <w:rPr>
                <w:bCs/>
                <w:sz w:val="28"/>
                <w:szCs w:val="28"/>
              </w:rPr>
            </w:pPr>
          </w:p>
          <w:p w14:paraId="5CDF7684" w14:textId="312DD9F4" w:rsidR="00C1505D" w:rsidRDefault="00C1505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………………………………………..</w:t>
            </w:r>
          </w:p>
        </w:tc>
      </w:tr>
      <w:tr w:rsidR="00361B70" w14:paraId="67B9690C" w14:textId="77777777" w:rsidTr="0047424F">
        <w:tc>
          <w:tcPr>
            <w:tcW w:w="4531" w:type="dxa"/>
          </w:tcPr>
          <w:p w14:paraId="23622120" w14:textId="70743ACA" w:rsidR="00361B70" w:rsidRDefault="00C1505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lastRenderedPageBreak/>
              <w:t>Mgr.Roman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Dub</w:t>
            </w:r>
          </w:p>
        </w:tc>
        <w:tc>
          <w:tcPr>
            <w:tcW w:w="4531" w:type="dxa"/>
          </w:tcPr>
          <w:p w14:paraId="069D9DBF" w14:textId="0EC3A8DF" w:rsidR="00361B70" w:rsidRDefault="00C1505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Marie Sádlová</w:t>
            </w:r>
          </w:p>
        </w:tc>
      </w:tr>
      <w:tr w:rsidR="00361B70" w14:paraId="5AF9349C" w14:textId="77777777" w:rsidTr="0047424F">
        <w:tc>
          <w:tcPr>
            <w:tcW w:w="4531" w:type="dxa"/>
          </w:tcPr>
          <w:p w14:paraId="3E7D34E9" w14:textId="499DE494" w:rsidR="00361B70" w:rsidRPr="00361B70" w:rsidRDefault="00361B70" w:rsidP="00C1505D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 w:rsidRPr="00361B70"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Objed</w:t>
            </w:r>
            <w:r w:rsidR="00C1505D"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natel</w:t>
            </w:r>
          </w:p>
        </w:tc>
        <w:tc>
          <w:tcPr>
            <w:tcW w:w="4531" w:type="dxa"/>
          </w:tcPr>
          <w:p w14:paraId="64639287" w14:textId="60FC88E0" w:rsidR="00361B70" w:rsidRPr="00361B70" w:rsidRDefault="00C1505D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Dodavatel</w:t>
            </w:r>
          </w:p>
        </w:tc>
      </w:tr>
    </w:tbl>
    <w:p w14:paraId="052BD2CA" w14:textId="549E470D" w:rsidR="001518D2" w:rsidRPr="00416EEE" w:rsidRDefault="001518D2" w:rsidP="00361B70">
      <w:pPr>
        <w:spacing w:after="134"/>
        <w:rPr>
          <w:rFonts w:eastAsia="Arial" w:cstheme="minorHAnsi"/>
          <w:color w:val="000000" w:themeColor="text1"/>
          <w:sz w:val="28"/>
          <w:szCs w:val="28"/>
        </w:rPr>
      </w:pPr>
    </w:p>
    <w:p w14:paraId="15A7986D" w14:textId="318C8FA1" w:rsidR="0048379B" w:rsidRDefault="00A60183" w:rsidP="00A60183">
      <w:pPr>
        <w:spacing w:after="16"/>
        <w:rPr>
          <w:bCs/>
          <w:sz w:val="28"/>
          <w:szCs w:val="28"/>
          <w:highlight w:val="yellow"/>
        </w:rPr>
      </w:pPr>
      <w:r w:rsidRPr="00A60183">
        <w:rPr>
          <w:rFonts w:eastAsia="Arial" w:cstheme="minorHAnsi"/>
          <w:color w:val="000000" w:themeColor="text1"/>
          <w:sz w:val="28"/>
          <w:szCs w:val="28"/>
        </w:rPr>
        <w:t>Příloha č.1</w:t>
      </w:r>
      <w:r w:rsidR="0011098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C1505D">
        <w:rPr>
          <w:rFonts w:eastAsia="Arial" w:cstheme="minorHAnsi"/>
          <w:color w:val="000000" w:themeColor="text1"/>
          <w:sz w:val="28"/>
          <w:szCs w:val="28"/>
        </w:rPr>
        <w:t xml:space="preserve">Smlouva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č. </w:t>
      </w:r>
      <w:r w:rsidR="00C1505D">
        <w:rPr>
          <w:bCs/>
          <w:sz w:val="28"/>
          <w:szCs w:val="28"/>
        </w:rPr>
        <w:t xml:space="preserve">59 </w:t>
      </w:r>
      <w:r>
        <w:rPr>
          <w:bCs/>
          <w:sz w:val="28"/>
          <w:szCs w:val="28"/>
        </w:rPr>
        <w:t xml:space="preserve">ze dne </w:t>
      </w:r>
      <w:proofErr w:type="gramStart"/>
      <w:r w:rsidR="00C1505D" w:rsidRPr="00C1505D">
        <w:rPr>
          <w:bCs/>
          <w:sz w:val="28"/>
          <w:szCs w:val="28"/>
        </w:rPr>
        <w:t>13.10.2016</w:t>
      </w:r>
      <w:proofErr w:type="gramEnd"/>
    </w:p>
    <w:sectPr w:rsidR="0048379B" w:rsidSect="00E760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B2DE" w14:textId="77777777" w:rsidR="00BB1052" w:rsidRDefault="00BB1052" w:rsidP="00BB1052">
      <w:pPr>
        <w:spacing w:after="0" w:line="240" w:lineRule="auto"/>
      </w:pPr>
      <w:r>
        <w:separator/>
      </w:r>
    </w:p>
  </w:endnote>
  <w:endnote w:type="continuationSeparator" w:id="0">
    <w:p w14:paraId="7AC8AB41" w14:textId="77777777" w:rsidR="00BB1052" w:rsidRDefault="00BB1052" w:rsidP="00BB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E926" w14:textId="77777777" w:rsidR="00BB1052" w:rsidRDefault="00BB1052" w:rsidP="00BB1052">
      <w:pPr>
        <w:spacing w:after="0" w:line="240" w:lineRule="auto"/>
      </w:pPr>
      <w:r>
        <w:separator/>
      </w:r>
    </w:p>
  </w:footnote>
  <w:footnote w:type="continuationSeparator" w:id="0">
    <w:p w14:paraId="14536BEF" w14:textId="77777777" w:rsidR="00BB1052" w:rsidRDefault="00BB1052" w:rsidP="00BB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C8"/>
    <w:multiLevelType w:val="hybridMultilevel"/>
    <w:tmpl w:val="FD287BCC"/>
    <w:lvl w:ilvl="0" w:tplc="096CF8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93D13D5"/>
    <w:multiLevelType w:val="hybridMultilevel"/>
    <w:tmpl w:val="EF86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AD0"/>
    <w:multiLevelType w:val="hybridMultilevel"/>
    <w:tmpl w:val="6A70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B38"/>
    <w:multiLevelType w:val="hybridMultilevel"/>
    <w:tmpl w:val="5614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7FC8"/>
    <w:multiLevelType w:val="hybridMultilevel"/>
    <w:tmpl w:val="EFEE244C"/>
    <w:lvl w:ilvl="0" w:tplc="E54C2AA0">
      <w:start w:val="1"/>
      <w:numFmt w:val="decimal"/>
      <w:lvlText w:val="%1."/>
      <w:lvlJc w:val="left"/>
      <w:pPr>
        <w:ind w:left="720" w:hanging="360"/>
      </w:pPr>
    </w:lvl>
    <w:lvl w:ilvl="1" w:tplc="9878A9A4">
      <w:start w:val="1"/>
      <w:numFmt w:val="lowerLetter"/>
      <w:lvlText w:val="%2."/>
      <w:lvlJc w:val="left"/>
      <w:pPr>
        <w:ind w:left="1440" w:hanging="360"/>
      </w:pPr>
    </w:lvl>
    <w:lvl w:ilvl="2" w:tplc="9C2AA0AE">
      <w:start w:val="1"/>
      <w:numFmt w:val="lowerRoman"/>
      <w:lvlText w:val="%3."/>
      <w:lvlJc w:val="right"/>
      <w:pPr>
        <w:ind w:left="2160" w:hanging="180"/>
      </w:pPr>
    </w:lvl>
    <w:lvl w:ilvl="3" w:tplc="9CBA2E2C">
      <w:start w:val="1"/>
      <w:numFmt w:val="decimal"/>
      <w:lvlText w:val="%4."/>
      <w:lvlJc w:val="left"/>
      <w:pPr>
        <w:ind w:left="2880" w:hanging="360"/>
      </w:pPr>
    </w:lvl>
    <w:lvl w:ilvl="4" w:tplc="C8E2346E">
      <w:start w:val="1"/>
      <w:numFmt w:val="lowerLetter"/>
      <w:lvlText w:val="%5."/>
      <w:lvlJc w:val="left"/>
      <w:pPr>
        <w:ind w:left="3600" w:hanging="360"/>
      </w:pPr>
    </w:lvl>
    <w:lvl w:ilvl="5" w:tplc="E61C5D78">
      <w:start w:val="1"/>
      <w:numFmt w:val="lowerRoman"/>
      <w:lvlText w:val="%6."/>
      <w:lvlJc w:val="right"/>
      <w:pPr>
        <w:ind w:left="4320" w:hanging="180"/>
      </w:pPr>
    </w:lvl>
    <w:lvl w:ilvl="6" w:tplc="33BAB268">
      <w:start w:val="1"/>
      <w:numFmt w:val="decimal"/>
      <w:lvlText w:val="%7."/>
      <w:lvlJc w:val="left"/>
      <w:pPr>
        <w:ind w:left="5040" w:hanging="360"/>
      </w:pPr>
    </w:lvl>
    <w:lvl w:ilvl="7" w:tplc="B7B4207E">
      <w:start w:val="1"/>
      <w:numFmt w:val="lowerLetter"/>
      <w:lvlText w:val="%8."/>
      <w:lvlJc w:val="left"/>
      <w:pPr>
        <w:ind w:left="5760" w:hanging="360"/>
      </w:pPr>
    </w:lvl>
    <w:lvl w:ilvl="8" w:tplc="ED6626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E76"/>
    <w:multiLevelType w:val="hybridMultilevel"/>
    <w:tmpl w:val="DDC46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4A31"/>
    <w:multiLevelType w:val="hybridMultilevel"/>
    <w:tmpl w:val="E4D67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502A"/>
    <w:multiLevelType w:val="hybridMultilevel"/>
    <w:tmpl w:val="51CC8ED2"/>
    <w:lvl w:ilvl="0" w:tplc="861C4D5E">
      <w:start w:val="1"/>
      <w:numFmt w:val="decimal"/>
      <w:lvlText w:val="%1."/>
      <w:lvlJc w:val="left"/>
      <w:pPr>
        <w:ind w:left="720" w:hanging="360"/>
      </w:pPr>
    </w:lvl>
    <w:lvl w:ilvl="1" w:tplc="791821FE">
      <w:start w:val="1"/>
      <w:numFmt w:val="lowerLetter"/>
      <w:lvlText w:val="%2."/>
      <w:lvlJc w:val="left"/>
      <w:pPr>
        <w:ind w:left="1440" w:hanging="360"/>
      </w:pPr>
    </w:lvl>
    <w:lvl w:ilvl="2" w:tplc="89866706">
      <w:start w:val="1"/>
      <w:numFmt w:val="lowerRoman"/>
      <w:lvlText w:val="%3."/>
      <w:lvlJc w:val="right"/>
      <w:pPr>
        <w:ind w:left="2160" w:hanging="180"/>
      </w:pPr>
    </w:lvl>
    <w:lvl w:ilvl="3" w:tplc="C5ACDBCC">
      <w:start w:val="1"/>
      <w:numFmt w:val="decimal"/>
      <w:lvlText w:val="%4."/>
      <w:lvlJc w:val="left"/>
      <w:pPr>
        <w:ind w:left="2880" w:hanging="360"/>
      </w:pPr>
    </w:lvl>
    <w:lvl w:ilvl="4" w:tplc="D812D59E">
      <w:start w:val="1"/>
      <w:numFmt w:val="lowerLetter"/>
      <w:lvlText w:val="%5."/>
      <w:lvlJc w:val="left"/>
      <w:pPr>
        <w:ind w:left="3600" w:hanging="360"/>
      </w:pPr>
    </w:lvl>
    <w:lvl w:ilvl="5" w:tplc="CDC829F2">
      <w:start w:val="1"/>
      <w:numFmt w:val="lowerRoman"/>
      <w:lvlText w:val="%6."/>
      <w:lvlJc w:val="right"/>
      <w:pPr>
        <w:ind w:left="4320" w:hanging="180"/>
      </w:pPr>
    </w:lvl>
    <w:lvl w:ilvl="6" w:tplc="84F8B5DA">
      <w:start w:val="1"/>
      <w:numFmt w:val="decimal"/>
      <w:lvlText w:val="%7."/>
      <w:lvlJc w:val="left"/>
      <w:pPr>
        <w:ind w:left="5040" w:hanging="360"/>
      </w:pPr>
    </w:lvl>
    <w:lvl w:ilvl="7" w:tplc="215081CA">
      <w:start w:val="1"/>
      <w:numFmt w:val="lowerLetter"/>
      <w:lvlText w:val="%8."/>
      <w:lvlJc w:val="left"/>
      <w:pPr>
        <w:ind w:left="5760" w:hanging="360"/>
      </w:pPr>
    </w:lvl>
    <w:lvl w:ilvl="8" w:tplc="C5665A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596"/>
    <w:multiLevelType w:val="hybridMultilevel"/>
    <w:tmpl w:val="309EA6BE"/>
    <w:lvl w:ilvl="0" w:tplc="6F2E8FB8">
      <w:start w:val="1"/>
      <w:numFmt w:val="decimal"/>
      <w:lvlText w:val="%1."/>
      <w:lvlJc w:val="left"/>
      <w:pPr>
        <w:ind w:left="720" w:hanging="360"/>
      </w:pPr>
    </w:lvl>
    <w:lvl w:ilvl="1" w:tplc="0C1273E0">
      <w:start w:val="1"/>
      <w:numFmt w:val="lowerLetter"/>
      <w:lvlText w:val="%2."/>
      <w:lvlJc w:val="left"/>
      <w:pPr>
        <w:ind w:left="1440" w:hanging="360"/>
      </w:pPr>
    </w:lvl>
    <w:lvl w:ilvl="2" w:tplc="B43E1FBE">
      <w:start w:val="1"/>
      <w:numFmt w:val="lowerRoman"/>
      <w:lvlText w:val="%3."/>
      <w:lvlJc w:val="right"/>
      <w:pPr>
        <w:ind w:left="2160" w:hanging="180"/>
      </w:pPr>
    </w:lvl>
    <w:lvl w:ilvl="3" w:tplc="0ACC966A">
      <w:start w:val="1"/>
      <w:numFmt w:val="decimal"/>
      <w:lvlText w:val="%4."/>
      <w:lvlJc w:val="left"/>
      <w:pPr>
        <w:ind w:left="2880" w:hanging="360"/>
      </w:pPr>
    </w:lvl>
    <w:lvl w:ilvl="4" w:tplc="F0C20102">
      <w:start w:val="1"/>
      <w:numFmt w:val="lowerLetter"/>
      <w:lvlText w:val="%5."/>
      <w:lvlJc w:val="left"/>
      <w:pPr>
        <w:ind w:left="3600" w:hanging="360"/>
      </w:pPr>
    </w:lvl>
    <w:lvl w:ilvl="5" w:tplc="F598802A">
      <w:start w:val="1"/>
      <w:numFmt w:val="lowerRoman"/>
      <w:lvlText w:val="%6."/>
      <w:lvlJc w:val="right"/>
      <w:pPr>
        <w:ind w:left="4320" w:hanging="180"/>
      </w:pPr>
    </w:lvl>
    <w:lvl w:ilvl="6" w:tplc="2D02160C">
      <w:start w:val="1"/>
      <w:numFmt w:val="decimal"/>
      <w:lvlText w:val="%7."/>
      <w:lvlJc w:val="left"/>
      <w:pPr>
        <w:ind w:left="5040" w:hanging="360"/>
      </w:pPr>
    </w:lvl>
    <w:lvl w:ilvl="7" w:tplc="0D4C9288">
      <w:start w:val="1"/>
      <w:numFmt w:val="lowerLetter"/>
      <w:lvlText w:val="%8."/>
      <w:lvlJc w:val="left"/>
      <w:pPr>
        <w:ind w:left="5760" w:hanging="360"/>
      </w:pPr>
    </w:lvl>
    <w:lvl w:ilvl="8" w:tplc="F72E419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9A8"/>
    <w:multiLevelType w:val="hybridMultilevel"/>
    <w:tmpl w:val="928A5C56"/>
    <w:lvl w:ilvl="0" w:tplc="B7C810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5E6C1ED0"/>
    <w:multiLevelType w:val="hybridMultilevel"/>
    <w:tmpl w:val="147EA902"/>
    <w:lvl w:ilvl="0" w:tplc="02AAAB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2"/>
    <w:rsid w:val="00110987"/>
    <w:rsid w:val="00147A52"/>
    <w:rsid w:val="001518D2"/>
    <w:rsid w:val="001A610F"/>
    <w:rsid w:val="001C1FC9"/>
    <w:rsid w:val="00255DDD"/>
    <w:rsid w:val="002D0929"/>
    <w:rsid w:val="002E0A8A"/>
    <w:rsid w:val="00361B70"/>
    <w:rsid w:val="0047424F"/>
    <w:rsid w:val="0048379B"/>
    <w:rsid w:val="0052585F"/>
    <w:rsid w:val="0071780A"/>
    <w:rsid w:val="007A28BD"/>
    <w:rsid w:val="007F382E"/>
    <w:rsid w:val="008E32D4"/>
    <w:rsid w:val="008E429B"/>
    <w:rsid w:val="009642EC"/>
    <w:rsid w:val="009D2F6A"/>
    <w:rsid w:val="00A60183"/>
    <w:rsid w:val="00AD142E"/>
    <w:rsid w:val="00B517B6"/>
    <w:rsid w:val="00BB1052"/>
    <w:rsid w:val="00C1505D"/>
    <w:rsid w:val="00CE556B"/>
    <w:rsid w:val="00D30082"/>
    <w:rsid w:val="00DC03A4"/>
    <w:rsid w:val="00DD51B5"/>
    <w:rsid w:val="00E2633F"/>
    <w:rsid w:val="00E518C2"/>
    <w:rsid w:val="00E760E0"/>
    <w:rsid w:val="00F31C1B"/>
    <w:rsid w:val="00F821A9"/>
    <w:rsid w:val="00FC5B9D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EFE1-D7B5-4FD5-AE1C-033257B6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2781F-7223-4F44-81A0-7CE8E3D7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DA17C-F47B-4247-A31F-8AB297B285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80c6ba5-67a9-4e8c-ba88-85dc2bdb787d"/>
    <ds:schemaRef ds:uri="http://schemas.microsoft.com/office/infopath/2007/PartnerControls"/>
    <ds:schemaRef ds:uri="faf3b4b0-75a0-40cd-aa39-d7e23b71de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80E409-942D-4FEC-8BD1-117B0F6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Dub</dc:creator>
  <cp:lastModifiedBy>Kateřina Kostková</cp:lastModifiedBy>
  <cp:revision>2</cp:revision>
  <dcterms:created xsi:type="dcterms:W3CDTF">2021-10-06T14:02:00Z</dcterms:created>
  <dcterms:modified xsi:type="dcterms:W3CDTF">2021-10-06T14:02:00Z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  <property fmtid="{D5CDD505-2E9C-101B-9397-08002B2CF9AE}" pid="3" name="_DocHome">
    <vt:i4>903196107</vt:i4>
  </property>
</Properties>
</file>