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6AF" w:rsidRDefault="00DA56AF" w:rsidP="00DA56AF">
      <w:pPr>
        <w:jc w:val="center"/>
        <w:rPr>
          <w:b/>
          <w:sz w:val="28"/>
        </w:rPr>
      </w:pPr>
    </w:p>
    <w:p w:rsidR="00DA56AF" w:rsidRDefault="00DA56AF" w:rsidP="00DA56AF">
      <w:pPr>
        <w:jc w:val="center"/>
        <w:rPr>
          <w:b/>
          <w:sz w:val="28"/>
        </w:rPr>
      </w:pPr>
      <w:r>
        <w:rPr>
          <w:b/>
          <w:sz w:val="28"/>
        </w:rPr>
        <w:t>SMLOUVA O PROVEDENÍ AUDITU</w:t>
      </w:r>
    </w:p>
    <w:p w:rsidR="00DA56AF" w:rsidRDefault="00DA56AF" w:rsidP="00DA56AF">
      <w:pPr>
        <w:jc w:val="center"/>
        <w:rPr>
          <w:b/>
          <w:sz w:val="28"/>
        </w:rPr>
      </w:pPr>
      <w:r>
        <w:rPr>
          <w:b/>
          <w:sz w:val="28"/>
        </w:rPr>
        <w:t>(„smlouva“)</w:t>
      </w:r>
    </w:p>
    <w:p w:rsidR="00DA56AF" w:rsidRDefault="00DA56AF" w:rsidP="00DA56AF">
      <w:pPr>
        <w:jc w:val="center"/>
      </w:pPr>
      <w:r>
        <w:rPr>
          <w:b/>
        </w:rPr>
        <w:t>uzavřená podle § 1746  a násl., zákona č. 89/2012 Sb., občanský zákoník, v platném znění a ve smyslu zákona č. 93/2009 Sb., o auditorech, v platném znění</w:t>
      </w:r>
    </w:p>
    <w:p w:rsidR="00DA56AF" w:rsidRDefault="00DA56AF" w:rsidP="00DA56AF">
      <w:pPr>
        <w:jc w:val="center"/>
        <w:rPr>
          <w:b/>
        </w:rPr>
      </w:pPr>
      <w:r>
        <w:rPr>
          <w:b/>
        </w:rPr>
        <w:t>mezi následujícími smluvními stranami:</w:t>
      </w:r>
    </w:p>
    <w:p w:rsidR="00DA56AF" w:rsidRDefault="00DA56AF" w:rsidP="00DA56AF">
      <w:pPr>
        <w:jc w:val="center"/>
        <w:rPr>
          <w:b/>
        </w:rPr>
      </w:pPr>
    </w:p>
    <w:tbl>
      <w:tblPr>
        <w:tblW w:w="9638" w:type="dxa"/>
        <w:tblCellMar>
          <w:left w:w="0" w:type="dxa"/>
          <w:right w:w="0" w:type="dxa"/>
        </w:tblCellMar>
        <w:tblLook w:val="04A0" w:firstRow="1" w:lastRow="0" w:firstColumn="1" w:lastColumn="0" w:noHBand="0" w:noVBand="1"/>
      </w:tblPr>
      <w:tblGrid>
        <w:gridCol w:w="230"/>
        <w:gridCol w:w="1978"/>
        <w:gridCol w:w="7430"/>
      </w:tblGrid>
      <w:tr w:rsidR="00DA56AF" w:rsidTr="00915003">
        <w:tc>
          <w:tcPr>
            <w:tcW w:w="230" w:type="dxa"/>
            <w:shd w:val="clear" w:color="auto" w:fill="auto"/>
          </w:tcPr>
          <w:p w:rsidR="00DA56AF" w:rsidRDefault="00DA56AF" w:rsidP="00915003">
            <w:pPr>
              <w:pStyle w:val="Obsahtabulky"/>
              <w:widowControl w:val="0"/>
              <w:snapToGrid w:val="0"/>
              <w:rPr>
                <w:szCs w:val="24"/>
              </w:rPr>
            </w:pPr>
            <w:r>
              <w:rPr>
                <w:szCs w:val="24"/>
              </w:rPr>
              <w:t>1.</w:t>
            </w: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rPr>
                <w:szCs w:val="24"/>
              </w:rPr>
            </w:pPr>
            <w:r>
              <w:rPr>
                <w:szCs w:val="24"/>
              </w:rPr>
              <w:t>Odběratel:</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rPr>
                <w:b/>
                <w:bCs/>
                <w:szCs w:val="24"/>
              </w:rPr>
            </w:pPr>
            <w:r>
              <w:rPr>
                <w:b/>
                <w:bCs/>
                <w:szCs w:val="24"/>
              </w:rPr>
              <w:t>Městská správa sociálních služeb v Mostě - příspěvková organizace</w:t>
            </w:r>
          </w:p>
        </w:tc>
      </w:tr>
      <w:tr w:rsidR="00DA56AF" w:rsidTr="00915003">
        <w:tc>
          <w:tcPr>
            <w:tcW w:w="230" w:type="dxa"/>
            <w:shd w:val="clear" w:color="auto" w:fill="auto"/>
          </w:tcPr>
          <w:p w:rsidR="00DA56AF" w:rsidRDefault="00DA56AF" w:rsidP="00915003">
            <w:pPr>
              <w:pStyle w:val="Obsahtabulky"/>
              <w:widowControl w:val="0"/>
              <w:snapToGrid w:val="0"/>
              <w:rPr>
                <w:b/>
                <w:bCs/>
                <w:color w:val="000000"/>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Sídlo:</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jc w:val="both"/>
              <w:rPr>
                <w:szCs w:val="24"/>
              </w:rPr>
            </w:pPr>
            <w:r>
              <w:rPr>
                <w:szCs w:val="24"/>
              </w:rPr>
              <w:t>43401 Most, Barvířská 495</w:t>
            </w:r>
          </w:p>
        </w:tc>
      </w:tr>
      <w:tr w:rsidR="00DA56AF" w:rsidTr="00915003">
        <w:tc>
          <w:tcPr>
            <w:tcW w:w="230" w:type="dxa"/>
            <w:shd w:val="clear" w:color="auto" w:fill="auto"/>
          </w:tcPr>
          <w:p w:rsidR="00DA56AF" w:rsidRDefault="00DA56AF" w:rsidP="00915003">
            <w:pPr>
              <w:pStyle w:val="Obsahtabulky"/>
              <w:widowControl w:val="0"/>
              <w:snapToGrid w:val="0"/>
              <w:rPr>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pPr>
            <w:r>
              <w:t>Doručovací adresa:</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jc w:val="both"/>
              <w:rPr>
                <w:szCs w:val="24"/>
              </w:rPr>
            </w:pPr>
            <w:r>
              <w:rPr>
                <w:szCs w:val="24"/>
              </w:rPr>
              <w:t>43401 Most, Barvířská 495</w:t>
            </w:r>
          </w:p>
        </w:tc>
      </w:tr>
      <w:tr w:rsidR="00DA56AF" w:rsidTr="00915003">
        <w:tc>
          <w:tcPr>
            <w:tcW w:w="230" w:type="dxa"/>
            <w:shd w:val="clear" w:color="auto" w:fill="auto"/>
          </w:tcPr>
          <w:p w:rsidR="00DA56AF" w:rsidRDefault="00DA56AF" w:rsidP="00915003">
            <w:pPr>
              <w:pStyle w:val="Obsahtabulky"/>
              <w:widowControl w:val="0"/>
              <w:snapToGrid w:val="0"/>
              <w:rPr>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IČO:</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jc w:val="both"/>
              <w:rPr>
                <w:szCs w:val="24"/>
              </w:rPr>
            </w:pPr>
            <w:r>
              <w:rPr>
                <w:szCs w:val="24"/>
              </w:rPr>
              <w:t>00831212</w:t>
            </w:r>
          </w:p>
        </w:tc>
      </w:tr>
      <w:tr w:rsidR="00DA56AF" w:rsidTr="00915003">
        <w:tc>
          <w:tcPr>
            <w:tcW w:w="230" w:type="dxa"/>
            <w:shd w:val="clear" w:color="auto" w:fill="auto"/>
          </w:tcPr>
          <w:p w:rsidR="00DA56AF" w:rsidRDefault="00DA56AF" w:rsidP="00915003">
            <w:pPr>
              <w:pStyle w:val="Obsahtabulky"/>
              <w:widowControl w:val="0"/>
              <w:snapToGrid w:val="0"/>
              <w:rPr>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DIČ:</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rPr>
                <w:szCs w:val="24"/>
              </w:rPr>
            </w:pPr>
            <w:r>
              <w:rPr>
                <w:szCs w:val="24"/>
              </w:rPr>
              <w:t xml:space="preserve">CZ00831212  </w:t>
            </w:r>
          </w:p>
        </w:tc>
      </w:tr>
      <w:tr w:rsidR="00DA56AF" w:rsidTr="00915003">
        <w:tc>
          <w:tcPr>
            <w:tcW w:w="230" w:type="dxa"/>
            <w:shd w:val="clear" w:color="auto" w:fill="auto"/>
          </w:tcPr>
          <w:p w:rsidR="00DA56AF" w:rsidRDefault="00DA56AF" w:rsidP="00915003">
            <w:pPr>
              <w:pStyle w:val="Obsahtabulky"/>
              <w:widowControl w:val="0"/>
              <w:snapToGrid w:val="0"/>
              <w:rPr>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Spisová zn.:</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jc w:val="both"/>
              <w:rPr>
                <w:szCs w:val="24"/>
              </w:rPr>
            </w:pPr>
            <w:r>
              <w:rPr>
                <w:szCs w:val="24"/>
              </w:rPr>
              <w:t>O 1333 vedená u Městského soudu v Praze</w:t>
            </w:r>
          </w:p>
        </w:tc>
      </w:tr>
      <w:tr w:rsidR="00DA56AF" w:rsidTr="00915003">
        <w:tc>
          <w:tcPr>
            <w:tcW w:w="230" w:type="dxa"/>
            <w:shd w:val="clear" w:color="auto" w:fill="auto"/>
          </w:tcPr>
          <w:p w:rsidR="00DA56AF" w:rsidRDefault="00DA56AF" w:rsidP="00915003">
            <w:pPr>
              <w:pStyle w:val="Obsahtabulky"/>
              <w:widowControl w:val="0"/>
              <w:snapToGrid w:val="0"/>
              <w:rPr>
                <w:szCs w:val="24"/>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Zastoupený:</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jc w:val="both"/>
              <w:rPr>
                <w:szCs w:val="24"/>
              </w:rPr>
            </w:pPr>
            <w:r>
              <w:rPr>
                <w:szCs w:val="24"/>
              </w:rPr>
              <w:t>Ing. Lubošem Trojnou, ředitelem organizace</w:t>
            </w:r>
          </w:p>
        </w:tc>
      </w:tr>
    </w:tbl>
    <w:p w:rsidR="00DA56AF" w:rsidRDefault="00DA56AF" w:rsidP="00DA56AF">
      <w:pPr>
        <w:jc w:val="center"/>
        <w:rPr>
          <w:b/>
          <w:szCs w:val="24"/>
        </w:rPr>
      </w:pPr>
    </w:p>
    <w:p w:rsidR="00DA56AF" w:rsidRDefault="00DA56AF" w:rsidP="00DA56AF">
      <w:pPr>
        <w:jc w:val="both"/>
        <w:rPr>
          <w:b/>
          <w:szCs w:val="24"/>
        </w:rPr>
      </w:pPr>
    </w:p>
    <w:tbl>
      <w:tblPr>
        <w:tblW w:w="9638" w:type="dxa"/>
        <w:tblCellMar>
          <w:left w:w="0" w:type="dxa"/>
          <w:right w:w="0" w:type="dxa"/>
        </w:tblCellMar>
        <w:tblLook w:val="04A0" w:firstRow="1" w:lastRow="0" w:firstColumn="1" w:lastColumn="0" w:noHBand="0" w:noVBand="1"/>
      </w:tblPr>
      <w:tblGrid>
        <w:gridCol w:w="230"/>
        <w:gridCol w:w="1978"/>
        <w:gridCol w:w="7430"/>
      </w:tblGrid>
      <w:tr w:rsidR="00DA56AF" w:rsidTr="00915003">
        <w:tc>
          <w:tcPr>
            <w:tcW w:w="230" w:type="dxa"/>
            <w:shd w:val="clear" w:color="auto" w:fill="auto"/>
          </w:tcPr>
          <w:p w:rsidR="00DA56AF" w:rsidRDefault="00DA56AF" w:rsidP="00915003">
            <w:pPr>
              <w:pStyle w:val="Obsahtabulky"/>
              <w:widowControl w:val="0"/>
              <w:snapToGrid w:val="0"/>
              <w:rPr>
                <w:szCs w:val="24"/>
              </w:rPr>
            </w:pPr>
            <w:r>
              <w:rPr>
                <w:szCs w:val="24"/>
              </w:rPr>
              <w:t>2.</w:t>
            </w: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rPr>
                <w:szCs w:val="24"/>
              </w:rPr>
              <w:t>Auditor:</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rPr>
                <w:b/>
                <w:bCs/>
              </w:rPr>
            </w:pPr>
            <w:r>
              <w:rPr>
                <w:b/>
                <w:bCs/>
              </w:rPr>
              <w:t>22HLAV s.r.o.</w:t>
            </w:r>
          </w:p>
        </w:tc>
      </w:tr>
      <w:tr w:rsidR="00DA56AF" w:rsidTr="00915003">
        <w:tc>
          <w:tcPr>
            <w:tcW w:w="230" w:type="dxa"/>
            <w:shd w:val="clear" w:color="auto" w:fill="auto"/>
          </w:tcPr>
          <w:p w:rsidR="00DA56AF" w:rsidRDefault="00DA56AF" w:rsidP="00915003">
            <w:pPr>
              <w:pStyle w:val="Obsahtabulky"/>
              <w:widowControl w:val="0"/>
              <w:snapToGrid w:val="0"/>
              <w:rPr>
                <w:b/>
                <w:bCs/>
              </w:rPr>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Adresa:</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Všebořická 82/2, 400 01 Ústí nad Labem</w:t>
            </w:r>
          </w:p>
        </w:tc>
      </w:tr>
      <w:tr w:rsidR="00DA56AF" w:rsidTr="00915003">
        <w:tc>
          <w:tcPr>
            <w:tcW w:w="230" w:type="dxa"/>
            <w:shd w:val="clear" w:color="auto" w:fill="auto"/>
          </w:tcPr>
          <w:p w:rsidR="00DA56AF" w:rsidRDefault="00DA56AF" w:rsidP="00915003">
            <w:pPr>
              <w:pStyle w:val="Obsahtabulky"/>
              <w:widowControl w:val="0"/>
              <w:snapToGrid w:val="0"/>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Doručovací adresa:</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Všebořická 82/2, 400 01 Ústí nad Labem</w:t>
            </w:r>
          </w:p>
        </w:tc>
      </w:tr>
      <w:tr w:rsidR="00DA56AF" w:rsidTr="00915003">
        <w:tc>
          <w:tcPr>
            <w:tcW w:w="230" w:type="dxa"/>
            <w:shd w:val="clear" w:color="auto" w:fill="auto"/>
          </w:tcPr>
          <w:p w:rsidR="00DA56AF" w:rsidRDefault="00DA56AF" w:rsidP="00915003">
            <w:pPr>
              <w:pStyle w:val="Obsahtabulky"/>
              <w:widowControl w:val="0"/>
              <w:snapToGrid w:val="0"/>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IČO:</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64052907</w:t>
            </w:r>
          </w:p>
        </w:tc>
      </w:tr>
      <w:tr w:rsidR="00DA56AF" w:rsidTr="00915003">
        <w:tc>
          <w:tcPr>
            <w:tcW w:w="230" w:type="dxa"/>
            <w:shd w:val="clear" w:color="auto" w:fill="auto"/>
          </w:tcPr>
          <w:p w:rsidR="00DA56AF" w:rsidRDefault="00DA56AF" w:rsidP="00915003">
            <w:pPr>
              <w:pStyle w:val="Obsahtabulky"/>
              <w:widowControl w:val="0"/>
              <w:snapToGrid w:val="0"/>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DIČ:</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CZ64052907</w:t>
            </w:r>
          </w:p>
        </w:tc>
      </w:tr>
      <w:tr w:rsidR="00DA56AF" w:rsidTr="00915003">
        <w:tc>
          <w:tcPr>
            <w:tcW w:w="230" w:type="dxa"/>
            <w:shd w:val="clear" w:color="auto" w:fill="auto"/>
          </w:tcPr>
          <w:p w:rsidR="00DA56AF" w:rsidRDefault="00DA56AF" w:rsidP="00915003">
            <w:pPr>
              <w:pStyle w:val="Obsahtabulky"/>
              <w:widowControl w:val="0"/>
              <w:snapToGrid w:val="0"/>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Spisová zn.:</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C 10016 vedená u Krajského soudu v Ústí nad Labem</w:t>
            </w:r>
          </w:p>
        </w:tc>
      </w:tr>
      <w:tr w:rsidR="00DA56AF" w:rsidTr="00915003">
        <w:tc>
          <w:tcPr>
            <w:tcW w:w="230" w:type="dxa"/>
            <w:shd w:val="clear" w:color="auto" w:fill="auto"/>
          </w:tcPr>
          <w:p w:rsidR="00DA56AF" w:rsidRDefault="00DA56AF" w:rsidP="00915003">
            <w:pPr>
              <w:pStyle w:val="Obsahtabulky"/>
              <w:widowControl w:val="0"/>
              <w:snapToGrid w:val="0"/>
            </w:pPr>
          </w:p>
        </w:tc>
        <w:tc>
          <w:tcPr>
            <w:tcW w:w="1978"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Zastoupený:</w:t>
            </w:r>
          </w:p>
        </w:tc>
        <w:tc>
          <w:tcPr>
            <w:tcW w:w="7430" w:type="dxa"/>
            <w:shd w:val="clear" w:color="auto" w:fill="auto"/>
          </w:tcPr>
          <w:p w:rsidR="00DA56AF" w:rsidRDefault="00DA56AF" w:rsidP="00915003">
            <w:pPr>
              <w:widowControl w:val="0"/>
              <w:tabs>
                <w:tab w:val="left" w:pos="360"/>
                <w:tab w:val="left" w:pos="1704"/>
                <w:tab w:val="center" w:pos="6696"/>
                <w:tab w:val="right" w:pos="11232"/>
              </w:tabs>
              <w:snapToGrid w:val="0"/>
              <w:ind w:left="360" w:hanging="360"/>
              <w:jc w:val="both"/>
            </w:pPr>
            <w:r>
              <w:t>Ing. Miroslavou Nebuželskou, jednatelkou společnosti</w:t>
            </w:r>
          </w:p>
        </w:tc>
      </w:tr>
    </w:tbl>
    <w:p w:rsidR="00DA56AF" w:rsidRDefault="00DA56AF" w:rsidP="00DA56AF">
      <w:pPr>
        <w:jc w:val="both"/>
        <w:rPr>
          <w:b/>
        </w:rPr>
      </w:pPr>
    </w:p>
    <w:p w:rsidR="00DA56AF" w:rsidRDefault="00DA56AF" w:rsidP="00DA56AF">
      <w:pPr>
        <w:jc w:val="center"/>
        <w:rPr>
          <w:b/>
        </w:rPr>
      </w:pPr>
      <w:r>
        <w:rPr>
          <w:b/>
        </w:rPr>
        <w:t>I.</w:t>
      </w:r>
    </w:p>
    <w:p w:rsidR="00DA56AF" w:rsidRDefault="00DA56AF" w:rsidP="00DA56AF">
      <w:pPr>
        <w:spacing w:after="113"/>
        <w:jc w:val="center"/>
        <w:rPr>
          <w:b/>
        </w:rPr>
      </w:pPr>
      <w:r>
        <w:rPr>
          <w:b/>
        </w:rPr>
        <w:t>Předmět smlouvy</w:t>
      </w:r>
    </w:p>
    <w:p w:rsidR="00DA56AF" w:rsidRDefault="00DA56AF" w:rsidP="00DA56AF">
      <w:pPr>
        <w:numPr>
          <w:ilvl w:val="0"/>
          <w:numId w:val="3"/>
        </w:numPr>
        <w:spacing w:before="113" w:after="113"/>
        <w:jc w:val="both"/>
      </w:pPr>
      <w:r>
        <w:t>Auditor se zavazuje provést pro odběratele audit účetní závěrky sestavené k 31.12.2021, 31.12.2022 a 31.12.2023 včetně vyjádření k výroční zprávě</w:t>
      </w:r>
      <w:r>
        <w:rPr>
          <w:lang w:val="en-US"/>
        </w:rPr>
        <w:t>,</w:t>
      </w:r>
      <w:r>
        <w:t xml:space="preserve"> které odběratel vypracuje v souladu s předpisy platnými v České republice. Auditor zpracuje a předloží odběrateli Zprávu o auditu účetní závěrky. Zpráva bude zpracována v souladu se zákonem č. 93/2009 Sb., o auditorech, v platném znění a profesními standardy Komory auditorů ČR, tj. Mezinárodními auditorskými standardy a souvisejícími aplikačními doložkami a platnými směrnicemi Komory auditorů ČR.  Zpráva musí být zpracována v českém jazyce, musí být jasná, srozumitelná a dostatečně </w:t>
      </w:r>
    </w:p>
    <w:p w:rsidR="00DA56AF" w:rsidRDefault="00DA56AF" w:rsidP="00DA56AF">
      <w:pPr>
        <w:numPr>
          <w:ilvl w:val="0"/>
          <w:numId w:val="3"/>
        </w:numPr>
        <w:spacing w:before="113" w:after="113"/>
        <w:jc w:val="both"/>
      </w:pPr>
      <w:r>
        <w:t>Auditor se zavazuje provést pro odběratele současně též ověření  neinvestiční dotace na podporu sociálních služeb poskytnuté z rozpočtu Ústeckého kraje na rok 2021, 2022 a 2023. Ve zprávě se auditor vyjádří k účtování a použití dotace v souladu s příslušnou veřejnoprávní smlouvou o přidělení dotace a dalšími dotačními podmínkami.</w:t>
      </w:r>
    </w:p>
    <w:p w:rsidR="00DA56AF" w:rsidRDefault="00DA56AF" w:rsidP="00DA56AF">
      <w:pPr>
        <w:numPr>
          <w:ilvl w:val="0"/>
          <w:numId w:val="3"/>
        </w:numPr>
        <w:spacing w:before="113" w:after="113"/>
        <w:jc w:val="both"/>
      </w:pPr>
      <w:r>
        <w:t>Předmět smlouvy je dále blíže specifikován v nabídce auditora ze dne 31.8.2021, která je nedílnou součástí této smlouvy.</w:t>
      </w:r>
    </w:p>
    <w:p w:rsidR="00DA56AF" w:rsidRDefault="00DA56AF" w:rsidP="00DA56AF">
      <w:pPr>
        <w:spacing w:before="113" w:after="113"/>
        <w:ind w:left="360"/>
        <w:jc w:val="both"/>
      </w:pPr>
    </w:p>
    <w:p w:rsidR="00DA56AF" w:rsidRDefault="00DA56AF" w:rsidP="00DA56AF">
      <w:pPr>
        <w:jc w:val="both"/>
      </w:pPr>
    </w:p>
    <w:p w:rsidR="00DA56AF" w:rsidRDefault="00DA56AF" w:rsidP="00DA56AF">
      <w:pPr>
        <w:jc w:val="center"/>
        <w:rPr>
          <w:b/>
        </w:rPr>
      </w:pPr>
      <w:r>
        <w:rPr>
          <w:b/>
        </w:rPr>
        <w:t>II.</w:t>
      </w:r>
    </w:p>
    <w:p w:rsidR="00DA56AF" w:rsidRDefault="00DA56AF" w:rsidP="00DA56AF">
      <w:pPr>
        <w:spacing w:after="113"/>
        <w:jc w:val="center"/>
        <w:rPr>
          <w:b/>
        </w:rPr>
      </w:pPr>
      <w:r>
        <w:rPr>
          <w:b/>
        </w:rPr>
        <w:t>Termín plnění</w:t>
      </w:r>
    </w:p>
    <w:p w:rsidR="00DA56AF" w:rsidRDefault="00DA56AF" w:rsidP="00DA56AF">
      <w:pPr>
        <w:numPr>
          <w:ilvl w:val="0"/>
          <w:numId w:val="4"/>
        </w:numPr>
        <w:spacing w:before="113" w:after="113"/>
        <w:jc w:val="both"/>
      </w:pPr>
      <w:r>
        <w:t xml:space="preserve">Auditor provede ověření a předloží Zprávu o auditu do 30ti kalendářních dnů ode dne předložení účetní závěrky sestavené k 31.12.2021, 31.12.2022 a 31.12.2023, případně v termínu dle vzájemné dohody, nejpozději však do 30.04.2022, resp. 30.04.2023 </w:t>
      </w:r>
      <w:r>
        <w:lastRenderedPageBreak/>
        <w:t xml:space="preserve">a 30.04.2024. </w:t>
      </w:r>
      <w:r>
        <w:rPr>
          <w:szCs w:val="24"/>
        </w:rPr>
        <w:t xml:space="preserve">Současně se zprávou auditora bude dle potřeby vydán </w:t>
      </w:r>
      <w:r>
        <w:rPr>
          <w:rFonts w:cs="Arial"/>
          <w:szCs w:val="24"/>
        </w:rPr>
        <w:t xml:space="preserve">Dopis auditora určený vedení organizace upozorňující na nesprávnosti či rizika a shrnující příslušná doporučení. </w:t>
      </w:r>
      <w:r>
        <w:t xml:space="preserve">Finální audit v sídle odběratele, případně distančním způsobem bude proveden v termínu od 01.02.2022, 01.02.2023 a 01.02.2024. </w:t>
      </w:r>
    </w:p>
    <w:p w:rsidR="00DA56AF" w:rsidRDefault="00DA56AF" w:rsidP="00DA56AF">
      <w:pPr>
        <w:numPr>
          <w:ilvl w:val="0"/>
          <w:numId w:val="4"/>
        </w:numPr>
        <w:spacing w:before="113" w:after="113"/>
        <w:jc w:val="both"/>
      </w:pPr>
      <w:r>
        <w:t>Vlastnímu auditu roční účetní závěrky za rok 2021, 2022 a 2023 bude předcházet průběžný audit předběžných výsledků, který bude proveden v sídle odběratele, případně distančním způsobem v termínu vždy od 01.10.</w:t>
      </w:r>
      <w:r>
        <w:rPr>
          <w:lang w:val="en-US"/>
        </w:rPr>
        <w:t xml:space="preserve"> </w:t>
      </w:r>
      <w:r>
        <w:t xml:space="preserve">auditovaného roku. Výsledkem průběžného auditu bude Dopis vedení společnosti, v němž auditor oznámí zjištěný stav.  </w:t>
      </w:r>
    </w:p>
    <w:p w:rsidR="00DA56AF" w:rsidRDefault="00DA56AF" w:rsidP="00DA56AF">
      <w:pPr>
        <w:numPr>
          <w:ilvl w:val="0"/>
          <w:numId w:val="4"/>
        </w:numPr>
        <w:spacing w:before="113" w:after="113"/>
        <w:jc w:val="both"/>
      </w:pPr>
      <w:r>
        <w:t>Auditor provede ověření a předloží Zprávu o ověření účtování a použití dotace v termínu nejpozději do 30.04. 2022, 30.04.2023 a 30.04.2024, popř. v jiném předem dohodnutém termínu s odběratelem.</w:t>
      </w:r>
    </w:p>
    <w:p w:rsidR="00DA56AF" w:rsidRDefault="00DA56AF" w:rsidP="00DA56AF">
      <w:pPr>
        <w:numPr>
          <w:ilvl w:val="0"/>
          <w:numId w:val="4"/>
        </w:numPr>
        <w:spacing w:before="113" w:after="113"/>
        <w:jc w:val="both"/>
      </w:pPr>
      <w:r>
        <w:t>Zpráva o auditu účetní závěrky, popř. Dopis auditora i Zpráva o ověření dotace budou vyhotoveny a předány odběrateli v elektronické podobě opatřené zaručeným podpisem auditora. Zprávy a Dopis auditora budou zpracovány v českém jazyce.</w:t>
      </w:r>
    </w:p>
    <w:p w:rsidR="00DA56AF" w:rsidRDefault="00DA56AF" w:rsidP="00DA56AF">
      <w:pPr>
        <w:ind w:left="360"/>
        <w:jc w:val="both"/>
      </w:pPr>
    </w:p>
    <w:p w:rsidR="00DA56AF" w:rsidRDefault="00DA56AF" w:rsidP="00DA56AF">
      <w:pPr>
        <w:ind w:left="360"/>
        <w:jc w:val="center"/>
        <w:rPr>
          <w:b/>
        </w:rPr>
      </w:pPr>
      <w:r>
        <w:rPr>
          <w:b/>
        </w:rPr>
        <w:t xml:space="preserve">III. </w:t>
      </w:r>
    </w:p>
    <w:p w:rsidR="00DA56AF" w:rsidRDefault="00DA56AF" w:rsidP="00DA56AF">
      <w:pPr>
        <w:keepNext/>
        <w:spacing w:after="113"/>
        <w:jc w:val="center"/>
        <w:rPr>
          <w:b/>
        </w:rPr>
      </w:pPr>
      <w:r>
        <w:rPr>
          <w:b/>
        </w:rPr>
        <w:t>Cena a platební podmínky</w:t>
      </w:r>
    </w:p>
    <w:p w:rsidR="00DA56AF" w:rsidRDefault="00DA56AF" w:rsidP="00DA56AF">
      <w:pPr>
        <w:pStyle w:val="Odstavecseseznamem"/>
        <w:keepNext/>
        <w:numPr>
          <w:ilvl w:val="0"/>
          <w:numId w:val="9"/>
        </w:numPr>
        <w:spacing w:before="113" w:after="113"/>
        <w:ind w:left="357" w:hanging="357"/>
        <w:jc w:val="both"/>
      </w:pPr>
      <w:r>
        <w:rPr>
          <w:rFonts w:cs="Calibri"/>
          <w:color w:val="000000"/>
        </w:rPr>
        <w:t xml:space="preserve">Odběratel se zavazuje zaplatit auditorovi za provedení auditu, tj. za činnosti dle čl. I. smlouvy částku ve výši </w:t>
      </w:r>
      <w:r>
        <w:rPr>
          <w:rFonts w:cs="Calibri"/>
          <w:b/>
          <w:bCs/>
          <w:color w:val="000000"/>
        </w:rPr>
        <w:t xml:space="preserve">390 000 Kč plus DPH. </w:t>
      </w:r>
      <w:r>
        <w:rPr>
          <w:rFonts w:cs="Calibri"/>
          <w:color w:val="000000"/>
        </w:rPr>
        <w:t>DPH bude stanovena a odvedena v souladu s platnými pr</w:t>
      </w:r>
      <w:r>
        <w:rPr>
          <w:rFonts w:cs="Calibri"/>
        </w:rPr>
        <w:t>ávními předpisy.</w:t>
      </w:r>
    </w:p>
    <w:p w:rsidR="00DA56AF" w:rsidRDefault="00DA56AF" w:rsidP="00DA56AF">
      <w:pPr>
        <w:numPr>
          <w:ilvl w:val="0"/>
          <w:numId w:val="9"/>
        </w:numPr>
        <w:spacing w:before="113" w:after="113"/>
        <w:jc w:val="both"/>
      </w:pPr>
      <w:r>
        <w:t>Odměna za řádné provedení auditorských služeb v rámci zpracování auditu bude auditorem fakturována následujícím způsobem:</w:t>
      </w:r>
    </w:p>
    <w:p w:rsidR="00DA56AF" w:rsidRDefault="00DA56AF" w:rsidP="00DA56AF">
      <w:pPr>
        <w:numPr>
          <w:ilvl w:val="0"/>
          <w:numId w:val="8"/>
        </w:numPr>
        <w:jc w:val="both"/>
      </w:pPr>
      <w:r>
        <w:t>audit účetní závěrky:</w:t>
      </w:r>
    </w:p>
    <w:p w:rsidR="00DA56AF" w:rsidRDefault="00DA56AF" w:rsidP="00DA56AF">
      <w:pPr>
        <w:numPr>
          <w:ilvl w:val="0"/>
          <w:numId w:val="10"/>
        </w:numPr>
        <w:jc w:val="both"/>
      </w:pPr>
      <w:r>
        <w:t xml:space="preserve">40 000 Kč plus DPH - </w:t>
      </w:r>
      <w:r>
        <w:rPr>
          <w:rFonts w:eastAsia="Lucida Sans Unicode" w:cs="Tahoma"/>
        </w:rPr>
        <w:t>po dokončení průběžného auditu v období 01.10. - 31.12.2021</w:t>
      </w:r>
    </w:p>
    <w:p w:rsidR="00DA56AF" w:rsidRDefault="00DA56AF" w:rsidP="00DA56AF">
      <w:pPr>
        <w:numPr>
          <w:ilvl w:val="0"/>
          <w:numId w:val="10"/>
        </w:numPr>
        <w:jc w:val="both"/>
      </w:pPr>
      <w:r>
        <w:t xml:space="preserve">40 000 Kč plus DPH - </w:t>
      </w:r>
      <w:r>
        <w:rPr>
          <w:rFonts w:eastAsia="Lucida Sans Unicode" w:cs="Tahoma"/>
        </w:rPr>
        <w:t>po předání Zprávy auditora o ověření účetní závěrky za rok 2021</w:t>
      </w:r>
    </w:p>
    <w:p w:rsidR="00DA56AF" w:rsidRDefault="00DA56AF" w:rsidP="00DA56AF">
      <w:pPr>
        <w:numPr>
          <w:ilvl w:val="0"/>
          <w:numId w:val="10"/>
        </w:numPr>
        <w:jc w:val="both"/>
      </w:pPr>
      <w:r>
        <w:t xml:space="preserve">40 000 Kč plus DPH - </w:t>
      </w:r>
      <w:r>
        <w:rPr>
          <w:rFonts w:eastAsia="Lucida Sans Unicode" w:cs="Tahoma"/>
        </w:rPr>
        <w:t>po dokončení průběžného auditu v období 01.10. - 31.12.2022</w:t>
      </w:r>
    </w:p>
    <w:p w:rsidR="00DA56AF" w:rsidRDefault="00DA56AF" w:rsidP="00DA56AF">
      <w:pPr>
        <w:numPr>
          <w:ilvl w:val="0"/>
          <w:numId w:val="10"/>
        </w:numPr>
        <w:jc w:val="both"/>
      </w:pPr>
      <w:r>
        <w:t xml:space="preserve">40 000 Kč plus DPH - </w:t>
      </w:r>
      <w:r>
        <w:rPr>
          <w:rFonts w:eastAsia="Lucida Sans Unicode" w:cs="Tahoma"/>
        </w:rPr>
        <w:t>po předání Zprávy auditora o ověření účetní závěrky za rok 2022</w:t>
      </w:r>
    </w:p>
    <w:p w:rsidR="00DA56AF" w:rsidRDefault="00DA56AF" w:rsidP="00DA56AF">
      <w:pPr>
        <w:numPr>
          <w:ilvl w:val="0"/>
          <w:numId w:val="10"/>
        </w:numPr>
        <w:jc w:val="both"/>
      </w:pPr>
      <w:r>
        <w:t xml:space="preserve">40 000 Kč plus DPH - </w:t>
      </w:r>
      <w:r>
        <w:rPr>
          <w:rFonts w:eastAsia="Lucida Sans Unicode" w:cs="Tahoma"/>
        </w:rPr>
        <w:t>po dokončení průběžného auditu v období 01.10. - 31.12.2023</w:t>
      </w:r>
    </w:p>
    <w:p w:rsidR="00DA56AF" w:rsidRDefault="00DA56AF" w:rsidP="00DA56AF">
      <w:pPr>
        <w:numPr>
          <w:ilvl w:val="0"/>
          <w:numId w:val="10"/>
        </w:numPr>
        <w:jc w:val="both"/>
      </w:pPr>
      <w:r>
        <w:t xml:space="preserve">40 000 Kč plus DPH - </w:t>
      </w:r>
      <w:r>
        <w:rPr>
          <w:rFonts w:eastAsia="Lucida Sans Unicode" w:cs="Tahoma"/>
        </w:rPr>
        <w:t>po předání Zprávy auditora o ověření účetní závěrky za rok 2023</w:t>
      </w:r>
    </w:p>
    <w:p w:rsidR="00DA56AF" w:rsidRDefault="00DA56AF" w:rsidP="00DA56AF">
      <w:pPr>
        <w:numPr>
          <w:ilvl w:val="0"/>
          <w:numId w:val="8"/>
        </w:numPr>
        <w:ind w:left="737" w:right="-1417" w:hanging="340"/>
        <w:jc w:val="both"/>
        <w:rPr>
          <w:rFonts w:eastAsia="Lucida Sans Unicode" w:cs="Tahoma"/>
        </w:rPr>
      </w:pPr>
      <w:r>
        <w:rPr>
          <w:rFonts w:eastAsia="Lucida Sans Unicode" w:cs="Tahoma"/>
        </w:rPr>
        <w:t>ověření neinvestiční dotace:</w:t>
      </w:r>
    </w:p>
    <w:p w:rsidR="00DA56AF" w:rsidRDefault="00DA56AF" w:rsidP="00DA56AF">
      <w:pPr>
        <w:numPr>
          <w:ilvl w:val="0"/>
          <w:numId w:val="11"/>
        </w:numPr>
        <w:jc w:val="both"/>
        <w:rPr>
          <w:rFonts w:eastAsia="Lucida Sans Unicode" w:cs="Tahoma"/>
        </w:rPr>
      </w:pPr>
      <w:r>
        <w:rPr>
          <w:rFonts w:eastAsia="Lucida Sans Unicode" w:cs="Tahoma"/>
        </w:rPr>
        <w:t>50 000 Kč plus DPH - po předání Zprávy auditora o ověření neinvestiční dotace za rok 2021</w:t>
      </w:r>
    </w:p>
    <w:p w:rsidR="00DA56AF" w:rsidRDefault="00DA56AF" w:rsidP="00DA56AF">
      <w:pPr>
        <w:numPr>
          <w:ilvl w:val="0"/>
          <w:numId w:val="11"/>
        </w:numPr>
        <w:jc w:val="both"/>
        <w:rPr>
          <w:rFonts w:eastAsia="Lucida Sans Unicode" w:cs="Tahoma"/>
        </w:rPr>
      </w:pPr>
      <w:r>
        <w:rPr>
          <w:rFonts w:eastAsia="Lucida Sans Unicode" w:cs="Tahoma"/>
        </w:rPr>
        <w:t>50 000 Kč plus DPH - po předání Zprávy auditora o ověření neinvestiční dotace za rok 2022</w:t>
      </w:r>
    </w:p>
    <w:p w:rsidR="00DA56AF" w:rsidRDefault="00DA56AF" w:rsidP="00DA56AF">
      <w:pPr>
        <w:numPr>
          <w:ilvl w:val="0"/>
          <w:numId w:val="11"/>
        </w:numPr>
        <w:jc w:val="both"/>
        <w:rPr>
          <w:rFonts w:eastAsia="Lucida Sans Unicode" w:cs="Tahoma"/>
        </w:rPr>
      </w:pPr>
      <w:r>
        <w:rPr>
          <w:rFonts w:eastAsia="Lucida Sans Unicode" w:cs="Tahoma"/>
        </w:rPr>
        <w:t>50 000 Kč plus DPH - po předání Zprávy auditora o ověření neinvestiční dotace za rok 2023</w:t>
      </w:r>
    </w:p>
    <w:p w:rsidR="00DA56AF" w:rsidRDefault="00DA56AF" w:rsidP="00DA56AF">
      <w:pPr>
        <w:pStyle w:val="Odstavecseseznamem"/>
        <w:numPr>
          <w:ilvl w:val="0"/>
          <w:numId w:val="9"/>
        </w:numPr>
        <w:spacing w:before="120" w:after="120"/>
        <w:jc w:val="both"/>
        <w:rPr>
          <w:szCs w:val="24"/>
        </w:rPr>
      </w:pPr>
      <w:r>
        <w:rPr>
          <w:szCs w:val="24"/>
        </w:rPr>
        <w:t>Odměna byla propočtena s přihlédnutím k časovému rozsahu práce, její odborné úrovni a odpovědnosti.</w:t>
      </w:r>
    </w:p>
    <w:p w:rsidR="00DA56AF" w:rsidRDefault="00DA56AF" w:rsidP="00DA56AF">
      <w:pPr>
        <w:numPr>
          <w:ilvl w:val="0"/>
          <w:numId w:val="9"/>
        </w:numPr>
        <w:spacing w:before="113" w:after="119"/>
        <w:contextualSpacing/>
        <w:jc w:val="both"/>
      </w:pPr>
      <w:r>
        <w:rPr>
          <w:szCs w:val="24"/>
        </w:rPr>
        <w:t xml:space="preserve">Odměna je stanovena jako konečná, nepřekročitelná a zahrnuje veškeré práce, které auditor musí provést, aby mohl odpovědně vydat zprávu auditora, včetně případných hotových výdajů a cestovného. </w:t>
      </w:r>
    </w:p>
    <w:p w:rsidR="00DA56AF" w:rsidRDefault="00DA56AF" w:rsidP="00DA56AF">
      <w:pPr>
        <w:pStyle w:val="Odstavecseseznamem"/>
        <w:numPr>
          <w:ilvl w:val="0"/>
          <w:numId w:val="9"/>
        </w:numPr>
        <w:spacing w:before="120" w:after="120"/>
        <w:jc w:val="both"/>
      </w:pPr>
      <w:r>
        <w:rPr>
          <w:szCs w:val="24"/>
        </w:rPr>
        <w:t xml:space="preserve">Dílčími plněními dle této smlouvy jsou včasná předání bezchybných dokumentů ukončujících jednotlivé fáze -  předání zprávy o ověření neinvestiční dotace daného roku, předání dopisu auditora po dokončení průběžného auditu a předání závěrečné zprávy o </w:t>
      </w:r>
      <w:r>
        <w:rPr>
          <w:szCs w:val="24"/>
        </w:rPr>
        <w:lastRenderedPageBreak/>
        <w:t xml:space="preserve">auditu účetní závěrky daného roku. Předání budou potvrzena podpisem předávacího protokolu oběma smluvními stranami. </w:t>
      </w:r>
    </w:p>
    <w:p w:rsidR="00DA56AF" w:rsidRDefault="00DA56AF" w:rsidP="00DA56AF">
      <w:pPr>
        <w:numPr>
          <w:ilvl w:val="0"/>
          <w:numId w:val="9"/>
        </w:numPr>
        <w:spacing w:before="113" w:after="113"/>
        <w:jc w:val="both"/>
      </w:pPr>
      <w:r>
        <w:t>Odměna je splatná na základě faktury splňující všechny náležitosti daňového dokladu vystavené auditorem po ukončení každého dílčího plnění. Součástí faktury bude podepsaný předávací protokol. Splatnost faktury činí 30 dnů. Zálohy nejsou sjednány a nebudou poskytovány. Úrok z prodlení v placení faktur se stanovuje ve výši 0,02 % z fakturované částky za každý den prodlení.</w:t>
      </w:r>
    </w:p>
    <w:p w:rsidR="00DA56AF" w:rsidRDefault="00DA56AF" w:rsidP="00DA56AF">
      <w:pPr>
        <w:pStyle w:val="Odstavecseseznamem"/>
        <w:numPr>
          <w:ilvl w:val="0"/>
          <w:numId w:val="9"/>
        </w:numPr>
        <w:spacing w:before="113" w:after="113"/>
        <w:jc w:val="both"/>
        <w:rPr>
          <w:rFonts w:cs="Calibri"/>
        </w:rPr>
      </w:pPr>
      <w:r>
        <w:rPr>
          <w:rFonts w:cs="Calibri"/>
        </w:rPr>
        <w:t>V případě, že faktura nebude mít odpovídající zákonné náležitosti, je odběratel oprávněn ji vrátit ve lhůtě splatnosti zpět auditorovi k doplnění, aniž se tak dostane do prodlení se splatností. Lhůta splatnosti počíná běžet znovu od opětovného doručení náležitě doplněné či opravené faktury odběrateli.</w:t>
      </w:r>
    </w:p>
    <w:p w:rsidR="00DA56AF" w:rsidRDefault="00DA56AF" w:rsidP="00DA56AF">
      <w:pPr>
        <w:pStyle w:val="Odstavecseseznamem"/>
        <w:spacing w:before="113" w:after="113"/>
        <w:ind w:left="1080"/>
        <w:jc w:val="both"/>
      </w:pPr>
    </w:p>
    <w:p w:rsidR="00DA56AF" w:rsidRDefault="00DA56AF" w:rsidP="00DA56AF">
      <w:pPr>
        <w:pStyle w:val="Odstavecseseznamem"/>
        <w:numPr>
          <w:ilvl w:val="0"/>
          <w:numId w:val="9"/>
        </w:numPr>
        <w:spacing w:before="113" w:after="113"/>
        <w:jc w:val="both"/>
      </w:pPr>
      <w:r>
        <w:rPr>
          <w:rFonts w:cs="Calibri"/>
        </w:rPr>
        <w:t>Pokud správce daně zveřejnil způsobem umožňujícím dálkový přístup čísla účtů, která auditor</w:t>
      </w:r>
      <w:r>
        <w:t xml:space="preserve"> </w:t>
      </w:r>
      <w:r>
        <w:rPr>
          <w:rFonts w:cs="Calibri"/>
        </w:rPr>
        <w:t>určil v přihlášce k registraci plátce DPH ke zveřejnění, považuje se povinnost odběratele</w:t>
      </w:r>
      <w:r>
        <w:t xml:space="preserve"> </w:t>
      </w:r>
      <w:r>
        <w:rPr>
          <w:rFonts w:cs="Calibri"/>
        </w:rPr>
        <w:t>zaplatit DPH za splněnou připsáním DPH na takto zveřejněný účet.</w:t>
      </w:r>
    </w:p>
    <w:p w:rsidR="00DA56AF" w:rsidRDefault="00DA56AF" w:rsidP="00DA56AF">
      <w:pPr>
        <w:pStyle w:val="Odstavecseseznamem"/>
        <w:spacing w:before="113" w:after="113"/>
        <w:ind w:left="1080"/>
        <w:jc w:val="both"/>
      </w:pPr>
    </w:p>
    <w:p w:rsidR="00DA56AF" w:rsidRDefault="00DA56AF" w:rsidP="00DA56AF">
      <w:pPr>
        <w:pStyle w:val="Odstavecseseznamem"/>
        <w:numPr>
          <w:ilvl w:val="0"/>
          <w:numId w:val="9"/>
        </w:numPr>
        <w:spacing w:before="113" w:after="0"/>
        <w:jc w:val="both"/>
      </w:pPr>
      <w:r>
        <w:rPr>
          <w:rFonts w:cs="Calibri"/>
        </w:rPr>
        <w:t>V případě, že se auditor stane nespolehlivým plátcem ve smyslu § 106a zákona č. 235/2004 Sb., o dani z přidané hodnoty, ve znění pozdějších předpisů (dále jen ZDPH), se smluvní strany ve smyslu § 109a cit. zákona dohodly, že odběratel zaplatí cenu plnění takto:</w:t>
      </w:r>
    </w:p>
    <w:p w:rsidR="00DA56AF" w:rsidRDefault="00DA56AF" w:rsidP="00DA56AF">
      <w:pPr>
        <w:pStyle w:val="Odstavecseseznamem"/>
        <w:spacing w:before="113" w:after="0"/>
        <w:jc w:val="both"/>
        <w:rPr>
          <w:rFonts w:cs="Calibri"/>
        </w:rPr>
      </w:pPr>
    </w:p>
    <w:p w:rsidR="00DA56AF" w:rsidRDefault="00DA56AF" w:rsidP="00DA56AF">
      <w:pPr>
        <w:pStyle w:val="Odstavecseseznamem"/>
        <w:spacing w:before="113" w:after="113"/>
        <w:ind w:left="1440"/>
        <w:jc w:val="both"/>
      </w:pPr>
      <w:r>
        <w:rPr>
          <w:rFonts w:cs="Calibri"/>
        </w:rPr>
        <w:t>a) cenu plnění bez DPH zaplatí na účet auditora uvedený na vystavené faktuře (daňovém dokladu)</w:t>
      </w:r>
    </w:p>
    <w:p w:rsidR="00DA56AF" w:rsidRDefault="00DA56AF" w:rsidP="00DA56AF">
      <w:pPr>
        <w:pStyle w:val="Odstavecseseznamem"/>
        <w:spacing w:before="113" w:after="113"/>
        <w:ind w:left="1440"/>
        <w:jc w:val="both"/>
      </w:pPr>
      <w:r>
        <w:rPr>
          <w:rFonts w:cs="Calibri"/>
        </w:rPr>
        <w:t>b) DPH zaplatí na účet XXXXX, pod variabilním symbolem č. 64052907,  konstantní symbol č. 1148, specifický symbol č. 00831212, ve zprávě pro příjemce bude uveden</w:t>
      </w:r>
      <w:r>
        <w:t xml:space="preserve"> </w:t>
      </w:r>
      <w:r>
        <w:rPr>
          <w:rFonts w:cs="Calibri"/>
        </w:rPr>
        <w:t>den uskutečněného zdanitelného plnění.</w:t>
      </w:r>
    </w:p>
    <w:p w:rsidR="00DA56AF" w:rsidRDefault="00DA56AF" w:rsidP="00DA56AF">
      <w:pPr>
        <w:pStyle w:val="Odstavecseseznamem"/>
        <w:spacing w:before="113" w:after="113"/>
        <w:ind w:left="1440"/>
        <w:jc w:val="both"/>
      </w:pPr>
      <w:r>
        <w:rPr>
          <w:rFonts w:cs="Calibri"/>
        </w:rPr>
        <w:t>Auditor ujišťuje odběratele, že číslo matriky 77621411 je číslem matriky bankovního</w:t>
      </w:r>
      <w:r>
        <w:t xml:space="preserve"> </w:t>
      </w:r>
      <w:r>
        <w:rPr>
          <w:rFonts w:cs="Calibri"/>
        </w:rPr>
        <w:t>účtu příslušného finančního úřadu (správce daně), a tedy součástí čísla bankovního účtu správce</w:t>
      </w:r>
      <w:r>
        <w:t xml:space="preserve"> </w:t>
      </w:r>
      <w:r>
        <w:rPr>
          <w:rFonts w:cs="Calibri"/>
        </w:rPr>
        <w:t>daně, na který auditor platí DPH.</w:t>
      </w:r>
    </w:p>
    <w:p w:rsidR="00DA56AF" w:rsidRDefault="00DA56AF" w:rsidP="00DA56AF">
      <w:pPr>
        <w:pStyle w:val="Odstavecseseznamem"/>
        <w:spacing w:before="113" w:after="113"/>
        <w:ind w:left="1440"/>
        <w:jc w:val="both"/>
      </w:pPr>
      <w:r>
        <w:t xml:space="preserve"> </w:t>
      </w:r>
      <w:r>
        <w:rPr>
          <w:rFonts w:cs="Calibri"/>
        </w:rPr>
        <w:t>Při placení DPH bude odběratel postupovat podle § 109a ZDPH.</w:t>
      </w:r>
    </w:p>
    <w:p w:rsidR="00DA56AF" w:rsidRDefault="00DA56AF" w:rsidP="00DA56AF">
      <w:pPr>
        <w:jc w:val="both"/>
      </w:pPr>
    </w:p>
    <w:p w:rsidR="00DA56AF" w:rsidRDefault="00DA56AF" w:rsidP="00DA56AF">
      <w:pPr>
        <w:jc w:val="both"/>
      </w:pPr>
    </w:p>
    <w:p w:rsidR="00DA56AF" w:rsidRDefault="00DA56AF" w:rsidP="00DA56AF">
      <w:pPr>
        <w:jc w:val="center"/>
        <w:rPr>
          <w:b/>
        </w:rPr>
      </w:pPr>
      <w:r>
        <w:rPr>
          <w:b/>
        </w:rPr>
        <w:t>IV.</w:t>
      </w:r>
    </w:p>
    <w:p w:rsidR="00DA56AF" w:rsidRDefault="00DA56AF" w:rsidP="00DA56AF">
      <w:pPr>
        <w:spacing w:after="113"/>
        <w:jc w:val="center"/>
        <w:rPr>
          <w:b/>
        </w:rPr>
      </w:pPr>
      <w:r>
        <w:rPr>
          <w:b/>
        </w:rPr>
        <w:t>Práva a povinnosti smluvních stran</w:t>
      </w:r>
    </w:p>
    <w:p w:rsidR="00DA56AF" w:rsidRDefault="00DA56AF" w:rsidP="00DA56AF">
      <w:pPr>
        <w:numPr>
          <w:ilvl w:val="0"/>
          <w:numId w:val="5"/>
        </w:numPr>
        <w:spacing w:before="113" w:after="113"/>
        <w:jc w:val="both"/>
      </w:pPr>
      <w:r>
        <w:t>Auditor je povinen:</w:t>
      </w:r>
    </w:p>
    <w:p w:rsidR="00DA56AF" w:rsidRDefault="00DA56AF" w:rsidP="00DA56AF">
      <w:pPr>
        <w:numPr>
          <w:ilvl w:val="0"/>
          <w:numId w:val="1"/>
        </w:numPr>
        <w:tabs>
          <w:tab w:val="left" w:pos="849"/>
          <w:tab w:val="left" w:pos="1132"/>
        </w:tabs>
        <w:spacing w:before="113" w:after="113"/>
        <w:jc w:val="both"/>
      </w:pPr>
      <w:r>
        <w:t xml:space="preserve">Provést audit účetní závěrky sestavené k 31.12.2021, 31.12.2022 a 31.12.2023 a ověření účtování a použití dotace poskytnuté Ústeckým krajem za rok 2021, 2022 a 2023 s odbornou péčí a nestranným způsobem a zjištěný stav popsat ve Zprávě o auditu. </w:t>
      </w:r>
    </w:p>
    <w:p w:rsidR="00DA56AF" w:rsidRDefault="00DA56AF" w:rsidP="00DA56AF">
      <w:pPr>
        <w:numPr>
          <w:ilvl w:val="0"/>
          <w:numId w:val="1"/>
        </w:numPr>
        <w:tabs>
          <w:tab w:val="left" w:pos="849"/>
          <w:tab w:val="left" w:pos="1132"/>
        </w:tabs>
        <w:spacing w:before="113" w:after="113"/>
        <w:jc w:val="both"/>
      </w:pPr>
      <w:r>
        <w:t xml:space="preserve">Provádět auditorské práce v souladu s právními předpisy, příslušnými ČSN, oborovými normami a dalšími příslušnými normami, zejména v souladu se zákonem č. 93/2009 Sb., o auditorech, Mezinárodními auditorskými standardy a profesními předpisy Komory auditorů ČR. </w:t>
      </w:r>
    </w:p>
    <w:p w:rsidR="00DA56AF" w:rsidRDefault="00DA56AF" w:rsidP="00DA56AF">
      <w:pPr>
        <w:numPr>
          <w:ilvl w:val="0"/>
          <w:numId w:val="1"/>
        </w:numPr>
        <w:tabs>
          <w:tab w:val="left" w:pos="849"/>
          <w:tab w:val="left" w:pos="1132"/>
        </w:tabs>
        <w:spacing w:before="113" w:after="113"/>
        <w:jc w:val="both"/>
      </w:pPr>
      <w:r>
        <w:t>Prověřit takové podklady, které uzná za dostačující k tomu, aby mohl činit příslušné závěry.</w:t>
      </w:r>
    </w:p>
    <w:p w:rsidR="00DA56AF" w:rsidRDefault="00DA56AF" w:rsidP="00DA56AF">
      <w:pPr>
        <w:numPr>
          <w:ilvl w:val="0"/>
          <w:numId w:val="1"/>
        </w:numPr>
        <w:tabs>
          <w:tab w:val="left" w:pos="849"/>
          <w:tab w:val="left" w:pos="1132"/>
        </w:tabs>
        <w:spacing w:before="113" w:after="113"/>
        <w:jc w:val="both"/>
      </w:pPr>
      <w:r>
        <w:t xml:space="preserve">Pro případ prodlení auditore s plněním podle této smlouvy se sjednává právo odběratele požadovat smluvní pokutu ve výši 1 000 Kč plus DPH za každý započatý kalendářní den prodlení. </w:t>
      </w:r>
    </w:p>
    <w:p w:rsidR="00DA56AF" w:rsidRDefault="00DA56AF" w:rsidP="00DA56AF">
      <w:pPr>
        <w:numPr>
          <w:ilvl w:val="0"/>
          <w:numId w:val="5"/>
        </w:numPr>
        <w:spacing w:before="113" w:after="113"/>
        <w:jc w:val="both"/>
      </w:pPr>
      <w:r>
        <w:t>Odběratel je povinen:</w:t>
      </w:r>
    </w:p>
    <w:p w:rsidR="00DA56AF" w:rsidRDefault="00DA56AF" w:rsidP="00DA56AF">
      <w:pPr>
        <w:numPr>
          <w:ilvl w:val="0"/>
          <w:numId w:val="2"/>
        </w:numPr>
        <w:tabs>
          <w:tab w:val="left" w:pos="849"/>
          <w:tab w:val="left" w:pos="1132"/>
        </w:tabs>
        <w:spacing w:before="113" w:after="113"/>
        <w:jc w:val="both"/>
      </w:pPr>
      <w:r>
        <w:lastRenderedPageBreak/>
        <w:t>Poskytovat auditorovi součinnost k provedení auditu. Odběratel se zejména zavazuje zajistit přístup k veškerým informacím, tedy k záznamům, dokumentaci a dalším podkladům, které si auditor od odběratele pro účely auditu vyžádá, a neomezený přístup k osobám působícím v účetní jednotce, od nichž je podle auditora nutné důkazní informace získat.</w:t>
      </w:r>
    </w:p>
    <w:p w:rsidR="00DA56AF" w:rsidRDefault="00DA56AF" w:rsidP="00DA56AF">
      <w:pPr>
        <w:numPr>
          <w:ilvl w:val="0"/>
          <w:numId w:val="2"/>
        </w:numPr>
        <w:tabs>
          <w:tab w:val="left" w:pos="849"/>
          <w:tab w:val="left" w:pos="1132"/>
        </w:tabs>
        <w:spacing w:before="113" w:after="113"/>
        <w:jc w:val="both"/>
      </w:pPr>
      <w:r>
        <w:t>Zajistit auditorovi volný přístup do prostor společnosti a k veškerým aktivům společnosti k ověření fyzické existence účetně vykazovaných hodnot, které jsou předmětem auditu.</w:t>
      </w:r>
    </w:p>
    <w:p w:rsidR="00DA56AF" w:rsidRDefault="00DA56AF" w:rsidP="00DA56AF">
      <w:pPr>
        <w:numPr>
          <w:ilvl w:val="0"/>
          <w:numId w:val="2"/>
        </w:numPr>
        <w:tabs>
          <w:tab w:val="left" w:pos="849"/>
        </w:tabs>
        <w:spacing w:before="113" w:after="113"/>
        <w:jc w:val="both"/>
      </w:pPr>
      <w:r>
        <w:t>Jmenovat kontaktní osobu, se kterou budou řešeny problémy v průběhu provádění auditu.</w:t>
      </w:r>
    </w:p>
    <w:p w:rsidR="00DA56AF" w:rsidRDefault="00DA56AF" w:rsidP="00DA56AF">
      <w:pPr>
        <w:numPr>
          <w:ilvl w:val="0"/>
          <w:numId w:val="2"/>
        </w:numPr>
        <w:tabs>
          <w:tab w:val="left" w:pos="283"/>
        </w:tabs>
        <w:spacing w:before="113" w:after="113"/>
        <w:jc w:val="both"/>
      </w:pPr>
      <w:r>
        <w:t xml:space="preserve">Nenavázat bez písemného souhlasu auditora žádnou přímou smluvní spolupráci s pracovníky auditore, zejména s nimi neuzavřít zaměstnanecký poměr, a to v průběhu platnosti této smlouvy nebo během jednoho roku od ukončení platnosti této smlouvy. </w:t>
      </w:r>
    </w:p>
    <w:p w:rsidR="00DA56AF" w:rsidRDefault="00DA56AF" w:rsidP="00DA56AF">
      <w:pPr>
        <w:numPr>
          <w:ilvl w:val="0"/>
          <w:numId w:val="12"/>
        </w:numPr>
        <w:tabs>
          <w:tab w:val="left" w:pos="283"/>
        </w:tabs>
        <w:spacing w:before="113" w:after="113"/>
        <w:jc w:val="both"/>
      </w:pPr>
      <w:r>
        <w:rPr>
          <w:color w:val="000000"/>
        </w:rPr>
        <w:t xml:space="preserve">Smluvní strany se dohodly na tom, že tato smlouva zaniká vedle případů stanovených zákonem č. 89/2012 Sb., občanský zákoník, také:     </w:t>
      </w:r>
    </w:p>
    <w:p w:rsidR="00DA56AF" w:rsidRDefault="00DA56AF" w:rsidP="00DA56AF">
      <w:pPr>
        <w:rPr>
          <w:color w:val="000000"/>
        </w:rPr>
      </w:pPr>
    </w:p>
    <w:p w:rsidR="00DA56AF" w:rsidRDefault="00DA56AF" w:rsidP="00DA56AF">
      <w:pPr>
        <w:tabs>
          <w:tab w:val="left" w:pos="1260"/>
        </w:tabs>
        <w:spacing w:after="60"/>
        <w:ind w:left="567"/>
      </w:pPr>
      <w:r>
        <w:rPr>
          <w:color w:val="000000"/>
        </w:rPr>
        <w:t>a) dohodou smluvních stran spojenou se vzájemným vyrovnáním účelně vynaložených nákladů; nebo</w:t>
      </w:r>
    </w:p>
    <w:p w:rsidR="00DA56AF" w:rsidRDefault="00DA56AF" w:rsidP="00DA56AF">
      <w:pPr>
        <w:pStyle w:val="Text-Zd"/>
        <w:tabs>
          <w:tab w:val="left" w:pos="1260"/>
        </w:tabs>
        <w:spacing w:after="60"/>
        <w:ind w:left="567" w:firstLine="0"/>
      </w:pPr>
      <w:r>
        <w:rPr>
          <w:color w:val="000000"/>
        </w:rPr>
        <w:t>b) jednostranným odstoupením od smlouvy ze strany odběratele pro její podstatné porušení auditorem, kterým se rozumí zejména opakované či hrubé porušení povinností auditora vyplývající z této smlouvy, přičemž opakovaným porušením se rozumí nejméně třetí porušení jakékoliv povinnosti. Ustanovení § 2660 občanského zákoníku tím není dotčeno.</w:t>
      </w:r>
    </w:p>
    <w:p w:rsidR="00DA56AF" w:rsidRDefault="00DA56AF" w:rsidP="00DA56AF">
      <w:pPr>
        <w:pStyle w:val="Text-Zd"/>
        <w:tabs>
          <w:tab w:val="left" w:pos="1260"/>
        </w:tabs>
        <w:spacing w:after="60"/>
        <w:ind w:left="567" w:firstLine="0"/>
        <w:rPr>
          <w:color w:val="000000"/>
        </w:rPr>
      </w:pPr>
    </w:p>
    <w:p w:rsidR="00DA56AF" w:rsidRDefault="00DA56AF" w:rsidP="00DA56AF">
      <w:pPr>
        <w:pStyle w:val="Text-Zd"/>
        <w:numPr>
          <w:ilvl w:val="0"/>
          <w:numId w:val="13"/>
        </w:numPr>
        <w:tabs>
          <w:tab w:val="left" w:pos="1260"/>
        </w:tabs>
        <w:spacing w:after="62" w:line="238" w:lineRule="atLeast"/>
      </w:pPr>
      <w:r>
        <w:rPr>
          <w:color w:val="000000"/>
        </w:rPr>
        <w:t xml:space="preserve">Odběratel je oprávněn od smlouvy odstoupit také v případě, že výdaje, které by mu na základě plnění této smlouvy měly vzniknout, budou odborem zadávání veřejných zakázek Magistrátu města Mostu (zřizovatelem odběratele), případně jiným kontrolním subjektem, označeny za nezpůsobilé. </w:t>
      </w:r>
    </w:p>
    <w:p w:rsidR="00DA56AF" w:rsidRDefault="00DA56AF" w:rsidP="00DA56AF">
      <w:pPr>
        <w:rPr>
          <w:b/>
          <w:szCs w:val="24"/>
        </w:rPr>
      </w:pPr>
    </w:p>
    <w:p w:rsidR="00DA56AF" w:rsidRDefault="00DA56AF" w:rsidP="00DA56AF">
      <w:pPr>
        <w:jc w:val="center"/>
        <w:rPr>
          <w:b/>
        </w:rPr>
      </w:pPr>
      <w:r>
        <w:rPr>
          <w:b/>
        </w:rPr>
        <w:t>V.</w:t>
      </w:r>
    </w:p>
    <w:p w:rsidR="00DA56AF" w:rsidRDefault="00DA56AF" w:rsidP="00DA56AF">
      <w:pPr>
        <w:spacing w:after="113"/>
        <w:ind w:left="283" w:hanging="283"/>
        <w:jc w:val="center"/>
        <w:rPr>
          <w:b/>
        </w:rPr>
      </w:pPr>
      <w:r>
        <w:rPr>
          <w:b/>
        </w:rPr>
        <w:t>Ochrana osobních údajů</w:t>
      </w:r>
    </w:p>
    <w:p w:rsidR="00DA56AF" w:rsidRDefault="00DA56AF" w:rsidP="00DA56AF">
      <w:pPr>
        <w:numPr>
          <w:ilvl w:val="0"/>
          <w:numId w:val="7"/>
        </w:numPr>
        <w:spacing w:before="113" w:after="113"/>
        <w:jc w:val="both"/>
      </w:pPr>
      <w:r>
        <w:rPr>
          <w:szCs w:val="24"/>
        </w:rPr>
        <w:t xml:space="preserve">Přijde-li auditor při plnění svých povinností podle této smlouvy do styku s Osobními údaji, zavazuje se tento při zpracování osobních údajů dodržovat veškeré platné a účinné právní předpisy, zejména </w:t>
      </w:r>
      <w:r>
        <w:rPr>
          <w:color w:val="222222"/>
          <w:szCs w:val="24"/>
        </w:rPr>
        <w:t xml:space="preserve">nařízení Evropského parlamentu a Rady (EU) č. 2016/679 o ochraně fyzických osob v souvislosti se zpracováním osobních údajů a o volném pohybu těchto údajů a o zrušení směrnice 95/46/ES </w:t>
      </w:r>
      <w:r>
        <w:rPr>
          <w:rStyle w:val="platne1"/>
          <w:color w:val="222222"/>
          <w:szCs w:val="24"/>
        </w:rPr>
        <w:t>a zákon č. 110/2019 Sb., o zpracování osobních údajů ve znění pozdějších předpisů</w:t>
      </w:r>
      <w:r>
        <w:rPr>
          <w:color w:val="222222"/>
          <w:szCs w:val="24"/>
        </w:rPr>
        <w:t xml:space="preserve"> </w:t>
      </w:r>
      <w:r>
        <w:rPr>
          <w:szCs w:val="24"/>
        </w:rPr>
        <w:t>.</w:t>
      </w:r>
    </w:p>
    <w:p w:rsidR="00DA56AF" w:rsidRDefault="00DA56AF" w:rsidP="00DA56AF">
      <w:pPr>
        <w:numPr>
          <w:ilvl w:val="0"/>
          <w:numId w:val="7"/>
        </w:numPr>
        <w:spacing w:before="113" w:after="113"/>
        <w:jc w:val="both"/>
        <w:rPr>
          <w:szCs w:val="24"/>
        </w:rPr>
      </w:pPr>
      <w:r>
        <w:rPr>
          <w:szCs w:val="24"/>
        </w:rPr>
        <w:t>Auditor získává osobní údaje na vyžádání od odběratele. Od jejich předání jsou osobní údaje součástí spisu auditora, jehož je auditor správcem.</w:t>
      </w:r>
    </w:p>
    <w:p w:rsidR="00DA56AF" w:rsidRDefault="00DA56AF" w:rsidP="00DA56AF">
      <w:pPr>
        <w:numPr>
          <w:ilvl w:val="0"/>
          <w:numId w:val="7"/>
        </w:numPr>
        <w:spacing w:before="113" w:after="113"/>
        <w:jc w:val="both"/>
      </w:pPr>
      <w:r>
        <w:rPr>
          <w:szCs w:val="24"/>
        </w:rPr>
        <w:t xml:space="preserve">Auditor se zavazuje technicky a organizačně zabezpečit osobní údaje získané od odběratele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rsidR="00DA56AF" w:rsidRDefault="00DA56AF" w:rsidP="00DA56AF">
      <w:pPr>
        <w:numPr>
          <w:ilvl w:val="0"/>
          <w:numId w:val="7"/>
        </w:numPr>
        <w:spacing w:before="113" w:after="113"/>
        <w:jc w:val="both"/>
        <w:rPr>
          <w:szCs w:val="24"/>
        </w:rPr>
      </w:pPr>
      <w:r>
        <w:rPr>
          <w:szCs w:val="24"/>
        </w:rPr>
        <w:t>Auditor se dále zavazuje udržovat veškeré informace zjištěné při plnění této smlouvy v tajnosti, nezveřejňovat je ve vztahu k třetím osobám. Povinnost mlčenlivosti trvá i po skončení účinnosti této Smlouvy.</w:t>
      </w:r>
    </w:p>
    <w:p w:rsidR="00DA56AF" w:rsidRDefault="00DA56AF" w:rsidP="00DA56AF">
      <w:pPr>
        <w:ind w:left="363"/>
        <w:jc w:val="both"/>
        <w:rPr>
          <w:b/>
        </w:rPr>
      </w:pPr>
    </w:p>
    <w:p w:rsidR="00DA56AF" w:rsidRDefault="00DA56AF" w:rsidP="00DA56AF">
      <w:pPr>
        <w:jc w:val="center"/>
        <w:rPr>
          <w:b/>
        </w:rPr>
      </w:pPr>
      <w:r>
        <w:rPr>
          <w:b/>
        </w:rPr>
        <w:lastRenderedPageBreak/>
        <w:t>VI.</w:t>
      </w:r>
    </w:p>
    <w:p w:rsidR="00DA56AF" w:rsidRDefault="00DA56AF" w:rsidP="00DA56AF">
      <w:pPr>
        <w:keepNext/>
        <w:spacing w:after="113"/>
        <w:jc w:val="center"/>
        <w:rPr>
          <w:b/>
        </w:rPr>
      </w:pPr>
      <w:r>
        <w:rPr>
          <w:b/>
        </w:rPr>
        <w:t>Ostatní ujednání</w:t>
      </w:r>
    </w:p>
    <w:p w:rsidR="00DA56AF" w:rsidRDefault="00DA56AF" w:rsidP="00DA56AF">
      <w:pPr>
        <w:numPr>
          <w:ilvl w:val="0"/>
          <w:numId w:val="6"/>
        </w:numPr>
        <w:spacing w:before="113" w:after="113"/>
        <w:jc w:val="both"/>
      </w:pPr>
      <w:r>
        <w:t xml:space="preserve">Tato smlouva je vyhotovena ve dvou stejnopisech, z nichž každý má platnost originálu. Obě smluvní strany obdrží jeden stejnopis. </w:t>
      </w:r>
    </w:p>
    <w:p w:rsidR="00DA56AF" w:rsidRDefault="00DA56AF" w:rsidP="00DA56AF">
      <w:pPr>
        <w:numPr>
          <w:ilvl w:val="0"/>
          <w:numId w:val="6"/>
        </w:numPr>
        <w:spacing w:before="113" w:after="113"/>
        <w:jc w:val="both"/>
        <w:rPr>
          <w:rFonts w:cs="Calibri"/>
        </w:rPr>
      </w:pPr>
      <w:r>
        <w:rPr>
          <w:rFonts w:cs="Calibri"/>
        </w:rPr>
        <w:t xml:space="preserve">Smlouva může být měněna nebo zrušena pouze písemně, a to v případě změn smlouvy číslovanými dodatky, které musí být podepsány oběma smluvními stranami. </w:t>
      </w:r>
    </w:p>
    <w:p w:rsidR="00DA56AF" w:rsidRDefault="00DA56AF" w:rsidP="00DA56AF">
      <w:pPr>
        <w:pStyle w:val="Odstavecseseznamem"/>
        <w:numPr>
          <w:ilvl w:val="0"/>
          <w:numId w:val="6"/>
        </w:numPr>
        <w:spacing w:before="113" w:after="113"/>
        <w:jc w:val="both"/>
        <w:rPr>
          <w:rFonts w:cs="Calibri"/>
        </w:rPr>
      </w:pPr>
      <w:r>
        <w:rPr>
          <w:rFonts w:cs="Calibri"/>
        </w:rPr>
        <w:t>Smluvní strany se zavazují, že veškeré případné spory, do nichž se při plnění této smlouvy dostanou budou řešeny v prvé řadě dohodou. Zástupci smluvních stran se sejdou na základě písemné výzvy v dohodnutém termínu a místě nejpozději do 10 dnů ode dne doručení výzvy.</w:t>
      </w:r>
    </w:p>
    <w:p w:rsidR="00DA56AF" w:rsidRDefault="00DA56AF" w:rsidP="00DA56AF">
      <w:pPr>
        <w:pStyle w:val="Odstavecseseznamem"/>
        <w:spacing w:before="113" w:after="113"/>
        <w:ind w:left="1080"/>
        <w:jc w:val="both"/>
        <w:rPr>
          <w:rFonts w:cs="Calibri"/>
        </w:rPr>
      </w:pPr>
    </w:p>
    <w:p w:rsidR="00DA56AF" w:rsidRDefault="00DA56AF" w:rsidP="00DA56AF">
      <w:pPr>
        <w:pStyle w:val="Odstavecseseznamem"/>
        <w:numPr>
          <w:ilvl w:val="0"/>
          <w:numId w:val="6"/>
        </w:numPr>
        <w:spacing w:before="113" w:after="113"/>
        <w:jc w:val="both"/>
        <w:rPr>
          <w:rFonts w:cs="Calibri"/>
        </w:rPr>
      </w:pPr>
      <w:r>
        <w:rPr>
          <w:rFonts w:cs="Calibri"/>
        </w:rPr>
        <w:t>Smluvní strany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desátým dnem ode dne vypravení písemnosti.</w:t>
      </w:r>
    </w:p>
    <w:p w:rsidR="00DA56AF" w:rsidRDefault="00DA56AF" w:rsidP="00DA56AF">
      <w:pPr>
        <w:pStyle w:val="Odstavecseseznamem"/>
        <w:spacing w:before="113" w:after="113"/>
        <w:ind w:left="1080"/>
        <w:jc w:val="both"/>
        <w:rPr>
          <w:rFonts w:cs="Calibri"/>
        </w:rPr>
      </w:pPr>
    </w:p>
    <w:p w:rsidR="00DA56AF" w:rsidRDefault="00DA56AF" w:rsidP="00DA56AF">
      <w:pPr>
        <w:pStyle w:val="Odstavecseseznamem"/>
        <w:numPr>
          <w:ilvl w:val="0"/>
          <w:numId w:val="6"/>
        </w:numPr>
        <w:spacing w:before="113" w:after="113"/>
        <w:jc w:val="both"/>
        <w:rPr>
          <w:rFonts w:cs="Calibri"/>
        </w:rPr>
      </w:pPr>
      <w:r>
        <w:rPr>
          <w:rFonts w:cs="Calibri"/>
        </w:rPr>
        <w:t>Smluvní strany výslovně souhlasí s tím, aby tato smlouva byla vedena v evidenci smluv vedené odběratelem, která bude přístupná dle zákona č. 106/1999 Sb., o svobodném přístupu k informacím, ve znění pozdějších předpisů, a která obsahuje údaje o smluvních stranách, předmětu smlouvy, číselné označení této smlouvy a datum jejího uzavření. Údaji o smluvních stranách se u fyzických osob rozumí zejména údaj o jménu, příjmení, datu narození a místě trvalého pobytu.</w:t>
      </w:r>
    </w:p>
    <w:p w:rsidR="00DA56AF" w:rsidRDefault="00DA56AF" w:rsidP="00DA56AF">
      <w:pPr>
        <w:pStyle w:val="Odstavecseseznamem"/>
        <w:spacing w:before="113" w:after="113"/>
        <w:ind w:left="1080"/>
        <w:jc w:val="both"/>
      </w:pPr>
    </w:p>
    <w:p w:rsidR="00DA56AF" w:rsidRDefault="00DA56AF" w:rsidP="00DA56AF">
      <w:pPr>
        <w:pStyle w:val="Odstavecseseznamem"/>
        <w:numPr>
          <w:ilvl w:val="0"/>
          <w:numId w:val="6"/>
        </w:numPr>
        <w:spacing w:before="113" w:after="113"/>
        <w:jc w:val="both"/>
        <w:rPr>
          <w:rFonts w:cs="Calibri"/>
        </w:rPr>
      </w:pPr>
      <w:r>
        <w:rPr>
          <w:rFonts w:cs="Calibri"/>
        </w:rPr>
        <w:t>Smluvní strany se dohodly, že odběratel zajistí zveřejnění této smlouvy, včetně veškerých příloh a případných dodatků a to nejpozději do 30 pracovních dnů od podpisu smlouvy, v Informačním systému Registru smluv, a to způsobem a v souladu s ustanoveními dle zákona č. 340/2015 Sb., o zvláštních podmínkách účinnosti některých smluv, uveřejňování těchto smluv a o registru smluv (zákon o registru smluv). V případě nesplnění tohoto ujednání může uveřejnit smlouvu v registru auditor.</w:t>
      </w:r>
    </w:p>
    <w:p w:rsidR="00DA56AF" w:rsidRDefault="00DA56AF" w:rsidP="00DA56AF">
      <w:pPr>
        <w:pStyle w:val="Odstavecseseznamem"/>
        <w:spacing w:before="113" w:after="113"/>
        <w:ind w:left="1080"/>
        <w:jc w:val="both"/>
        <w:rPr>
          <w:rFonts w:cs="Calibri"/>
        </w:rPr>
      </w:pPr>
    </w:p>
    <w:p w:rsidR="00DA56AF" w:rsidRDefault="00DA56AF" w:rsidP="00DA56AF">
      <w:pPr>
        <w:pStyle w:val="Odstavecseseznamem"/>
        <w:numPr>
          <w:ilvl w:val="0"/>
          <w:numId w:val="6"/>
        </w:numPr>
        <w:spacing w:before="113" w:after="113"/>
        <w:jc w:val="both"/>
      </w:pPr>
      <w:r>
        <w:rPr>
          <w:rFonts w:cs="Calibri"/>
        </w:rPr>
        <w:t>Smluvní strany prohlašují, že skutečnosti uvedené v této smlouvě nepovažují za obchodní tajemství a udělují svolení k jejich zpřístupnění ve smyslu zákona č. 106/1999 Sb. a zveřejnění</w:t>
      </w:r>
      <w:r>
        <w:t xml:space="preserve"> </w:t>
      </w:r>
      <w:r>
        <w:rPr>
          <w:rFonts w:cs="Calibri"/>
        </w:rPr>
        <w:t>bez stanovení jakýchkoli dalších podmínek.</w:t>
      </w:r>
    </w:p>
    <w:p w:rsidR="00DA56AF" w:rsidRDefault="00DA56AF" w:rsidP="00DA56AF">
      <w:pPr>
        <w:pStyle w:val="Odstavecseseznamem"/>
        <w:spacing w:before="113" w:after="113"/>
        <w:ind w:left="1080"/>
        <w:jc w:val="both"/>
      </w:pPr>
    </w:p>
    <w:p w:rsidR="00DA56AF" w:rsidRDefault="00DA56AF" w:rsidP="00DA56AF">
      <w:pPr>
        <w:pStyle w:val="Odstavecseseznamem"/>
        <w:numPr>
          <w:ilvl w:val="0"/>
          <w:numId w:val="6"/>
        </w:numPr>
        <w:spacing w:before="113" w:after="113"/>
        <w:jc w:val="both"/>
        <w:rPr>
          <w:rFonts w:cs="Calibri"/>
        </w:rPr>
      </w:pPr>
      <w:r>
        <w:rPr>
          <w:rFonts w:cs="Calibri"/>
        </w:rPr>
        <w:t>Po uveřejnění v registru smluv obdrží auditor elektronickou poštou od odběratele potvrzení z registru smluv. Potvrzení obsahuje metadata, je ve formátu .pdf, označeno uznávanou elektronickou značkou a opatřeno kvalifikovaným časovým razítkem.</w:t>
      </w:r>
    </w:p>
    <w:p w:rsidR="00DA56AF" w:rsidRDefault="00DA56AF" w:rsidP="00DA56AF">
      <w:pPr>
        <w:pStyle w:val="Odstavecseseznamem"/>
        <w:spacing w:before="113" w:after="113"/>
        <w:ind w:left="1080"/>
        <w:jc w:val="both"/>
        <w:rPr>
          <w:rFonts w:cs="Calibri"/>
        </w:rPr>
      </w:pPr>
    </w:p>
    <w:p w:rsidR="00DA56AF" w:rsidRDefault="00DA56AF" w:rsidP="00DA56AF">
      <w:pPr>
        <w:pStyle w:val="Odstavecseseznamem"/>
        <w:numPr>
          <w:ilvl w:val="0"/>
          <w:numId w:val="6"/>
        </w:numPr>
        <w:spacing w:before="113" w:after="113"/>
        <w:jc w:val="both"/>
        <w:rPr>
          <w:rFonts w:cs="Calibri"/>
        </w:rPr>
      </w:pPr>
      <w:r>
        <w:rPr>
          <w:rFonts w:cs="Calibri"/>
        </w:rPr>
        <w:t>Tato smlouva nabývá platnosti dnem jejího podpisu oběma smluvními stranami a účinnosti dnem uveřejnění v registru smluv.</w:t>
      </w:r>
    </w:p>
    <w:p w:rsidR="00DA56AF" w:rsidRDefault="00DA56AF" w:rsidP="00DA56AF">
      <w:pPr>
        <w:numPr>
          <w:ilvl w:val="0"/>
          <w:numId w:val="6"/>
        </w:numPr>
        <w:spacing w:before="113" w:after="113"/>
        <w:jc w:val="both"/>
      </w:pPr>
      <w: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tblCellMar>
          <w:top w:w="55" w:type="dxa"/>
          <w:left w:w="55" w:type="dxa"/>
          <w:bottom w:w="55" w:type="dxa"/>
          <w:right w:w="55" w:type="dxa"/>
        </w:tblCellMar>
        <w:tblLook w:val="04A0" w:firstRow="1" w:lastRow="0" w:firstColumn="1" w:lastColumn="0" w:noHBand="0" w:noVBand="1"/>
      </w:tblPr>
      <w:tblGrid>
        <w:gridCol w:w="4820"/>
        <w:gridCol w:w="4818"/>
      </w:tblGrid>
      <w:tr w:rsidR="00DA56AF" w:rsidTr="00915003">
        <w:tc>
          <w:tcPr>
            <w:tcW w:w="4820" w:type="dxa"/>
            <w:shd w:val="clear" w:color="auto" w:fill="auto"/>
          </w:tcPr>
          <w:p w:rsidR="00DA56AF" w:rsidRDefault="00DA56AF" w:rsidP="00915003">
            <w:pPr>
              <w:widowControl w:val="0"/>
              <w:snapToGrid w:val="0"/>
              <w:rPr>
                <w:szCs w:val="24"/>
              </w:rPr>
            </w:pPr>
            <w:r>
              <w:rPr>
                <w:szCs w:val="24"/>
              </w:rPr>
              <w:t>V Ústí nad Labem dne 04.10.2021</w:t>
            </w:r>
          </w:p>
        </w:tc>
        <w:tc>
          <w:tcPr>
            <w:tcW w:w="4818" w:type="dxa"/>
            <w:shd w:val="clear" w:color="auto" w:fill="auto"/>
          </w:tcPr>
          <w:p w:rsidR="00DA56AF" w:rsidRDefault="00DA56AF" w:rsidP="00915003">
            <w:pPr>
              <w:widowControl w:val="0"/>
              <w:snapToGrid w:val="0"/>
              <w:rPr>
                <w:szCs w:val="24"/>
              </w:rPr>
            </w:pPr>
            <w:r>
              <w:rPr>
                <w:szCs w:val="24"/>
              </w:rPr>
              <w:t>V Mostě dne  05.10.2021</w:t>
            </w:r>
          </w:p>
        </w:tc>
      </w:tr>
      <w:tr w:rsidR="00DA56AF" w:rsidTr="00915003">
        <w:tc>
          <w:tcPr>
            <w:tcW w:w="4820" w:type="dxa"/>
            <w:shd w:val="clear" w:color="auto" w:fill="auto"/>
          </w:tcPr>
          <w:p w:rsidR="00DA56AF" w:rsidRDefault="00DA56AF" w:rsidP="00915003">
            <w:pPr>
              <w:widowControl w:val="0"/>
              <w:snapToGrid w:val="0"/>
              <w:jc w:val="center"/>
              <w:rPr>
                <w:szCs w:val="24"/>
              </w:rPr>
            </w:pPr>
            <w:r>
              <w:rPr>
                <w:szCs w:val="24"/>
              </w:rPr>
              <w:t>Auditor</w:t>
            </w:r>
          </w:p>
          <w:p w:rsidR="00DA56AF" w:rsidRDefault="00DA56AF" w:rsidP="00915003">
            <w:pPr>
              <w:widowControl w:val="0"/>
              <w:snapToGrid w:val="0"/>
              <w:jc w:val="center"/>
              <w:rPr>
                <w:szCs w:val="24"/>
              </w:rPr>
            </w:pPr>
            <w:r>
              <w:rPr>
                <w:szCs w:val="24"/>
              </w:rPr>
              <w:t>Ing. Miroslava Nebuželská, jednatelka společnosti</w:t>
            </w:r>
          </w:p>
        </w:tc>
        <w:tc>
          <w:tcPr>
            <w:tcW w:w="4818" w:type="dxa"/>
            <w:shd w:val="clear" w:color="auto" w:fill="auto"/>
          </w:tcPr>
          <w:p w:rsidR="00DA56AF" w:rsidRDefault="00DA56AF" w:rsidP="00915003">
            <w:pPr>
              <w:widowControl w:val="0"/>
              <w:snapToGrid w:val="0"/>
              <w:jc w:val="center"/>
              <w:rPr>
                <w:szCs w:val="24"/>
              </w:rPr>
            </w:pPr>
            <w:r>
              <w:rPr>
                <w:szCs w:val="24"/>
              </w:rPr>
              <w:t>Odběratel</w:t>
            </w:r>
          </w:p>
          <w:p w:rsidR="00DA56AF" w:rsidRDefault="00DA56AF" w:rsidP="00915003">
            <w:pPr>
              <w:widowControl w:val="0"/>
              <w:snapToGrid w:val="0"/>
              <w:jc w:val="center"/>
              <w:rPr>
                <w:szCs w:val="24"/>
              </w:rPr>
            </w:pPr>
            <w:r>
              <w:rPr>
                <w:szCs w:val="24"/>
              </w:rPr>
              <w:t>Ing. Luboš Trojna, ředitel organizace</w:t>
            </w:r>
          </w:p>
          <w:p w:rsidR="00DA56AF" w:rsidRDefault="00DA56AF" w:rsidP="00915003">
            <w:pPr>
              <w:widowControl w:val="0"/>
              <w:snapToGrid w:val="0"/>
              <w:jc w:val="center"/>
              <w:rPr>
                <w:szCs w:val="24"/>
              </w:rPr>
            </w:pPr>
          </w:p>
        </w:tc>
      </w:tr>
    </w:tbl>
    <w:p w:rsidR="00DA56AF" w:rsidRDefault="00DA56AF" w:rsidP="00DA56AF">
      <w:pPr>
        <w:jc w:val="both"/>
      </w:pPr>
    </w:p>
    <w:p w:rsidR="007158E3" w:rsidRDefault="007158E3">
      <w:bookmarkStart w:id="0" w:name="_GoBack"/>
      <w:bookmarkEnd w:id="0"/>
    </w:p>
    <w:sectPr w:rsidR="007158E3">
      <w:footerReference w:type="default" r:id="rId5"/>
      <w:pgSz w:w="11906" w:h="16838"/>
      <w:pgMar w:top="1417" w:right="1417" w:bottom="1547" w:left="1417" w:header="0" w:footer="85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59E" w:rsidRDefault="00DA56AF">
    <w:pPr>
      <w:pStyle w:val="Zpat"/>
      <w:ind w:right="24"/>
    </w:pPr>
    <w:r>
      <w:tab/>
    </w:r>
    <w:r>
      <w:tab/>
      <w:t xml:space="preserve">Strana </w:t>
    </w:r>
    <w:r>
      <w:fldChar w:fldCharType="begin"/>
    </w:r>
    <w:r>
      <w:instrText>PAGE</w:instrText>
    </w:r>
    <w:r>
      <w:fldChar w:fldCharType="separate"/>
    </w:r>
    <w:r>
      <w:rPr>
        <w:noProof/>
      </w:rPr>
      <w:t>4</w:t>
    </w:r>
    <w:r>
      <w:fldChar w:fldCharType="end"/>
    </w:r>
    <w:r>
      <w:rPr>
        <w:lang w:val="en-US"/>
      </w:rPr>
      <w:t>/</w:t>
    </w:r>
    <w:r>
      <w:fldChar w:fldCharType="begin"/>
    </w:r>
    <w:r>
      <w:instrText>NUMPAGES</w:instrText>
    </w:r>
    <w:r>
      <w:fldChar w:fldCharType="separate"/>
    </w:r>
    <w:r>
      <w:rPr>
        <w:noProof/>
      </w:rPr>
      <w:t>6</w:t>
    </w:r>
    <w: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452B"/>
    <w:multiLevelType w:val="multilevel"/>
    <w:tmpl w:val="875A326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2E528D"/>
    <w:multiLevelType w:val="multilevel"/>
    <w:tmpl w:val="7D1C24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09A59E6"/>
    <w:multiLevelType w:val="multilevel"/>
    <w:tmpl w:val="24BA418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3.%4.%5"/>
      <w:lvlJc w:val="left"/>
      <w:pPr>
        <w:tabs>
          <w:tab w:val="num" w:pos="1800"/>
        </w:tabs>
        <w:ind w:left="1800" w:hanging="360"/>
      </w:pPr>
    </w:lvl>
    <w:lvl w:ilvl="5">
      <w:start w:val="1"/>
      <w:numFmt w:val="decimal"/>
      <w:lvlText w:val="%4.%5.%6"/>
      <w:lvlJc w:val="left"/>
      <w:pPr>
        <w:tabs>
          <w:tab w:val="num" w:pos="2160"/>
        </w:tabs>
        <w:ind w:left="2160" w:hanging="360"/>
      </w:pPr>
    </w:lvl>
    <w:lvl w:ilvl="6">
      <w:start w:val="1"/>
      <w:numFmt w:val="decimal"/>
      <w:lvlText w:val="%5.%6.%7"/>
      <w:lvlJc w:val="left"/>
      <w:pPr>
        <w:tabs>
          <w:tab w:val="num" w:pos="2520"/>
        </w:tabs>
        <w:ind w:left="2520" w:hanging="360"/>
      </w:pPr>
    </w:lvl>
    <w:lvl w:ilvl="7">
      <w:start w:val="1"/>
      <w:numFmt w:val="decimal"/>
      <w:lvlText w:val="%6.%7.%8"/>
      <w:lvlJc w:val="left"/>
      <w:pPr>
        <w:tabs>
          <w:tab w:val="num" w:pos="2880"/>
        </w:tabs>
        <w:ind w:left="2880" w:hanging="360"/>
      </w:pPr>
    </w:lvl>
    <w:lvl w:ilvl="8">
      <w:start w:val="1"/>
      <w:numFmt w:val="decimal"/>
      <w:lvlText w:val="%7.%8.%9"/>
      <w:lvlJc w:val="left"/>
      <w:pPr>
        <w:tabs>
          <w:tab w:val="num" w:pos="3240"/>
        </w:tabs>
        <w:ind w:left="3240" w:hanging="360"/>
      </w:pPr>
    </w:lvl>
  </w:abstractNum>
  <w:abstractNum w:abstractNumId="3" w15:restartNumberingAfterBreak="0">
    <w:nsid w:val="24126C7D"/>
    <w:multiLevelType w:val="multilevel"/>
    <w:tmpl w:val="93046EE2"/>
    <w:lvl w:ilvl="0">
      <w:start w:val="4"/>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92A632B"/>
    <w:multiLevelType w:val="multilevel"/>
    <w:tmpl w:val="881AB092"/>
    <w:lvl w:ilvl="0">
      <w:start w:val="1"/>
      <w:numFmt w:val="decimal"/>
      <w:lvlText w:val="%1."/>
      <w:lvlJc w:val="left"/>
      <w:pPr>
        <w:ind w:left="363" w:hanging="363"/>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D1DB4"/>
    <w:multiLevelType w:val="multilevel"/>
    <w:tmpl w:val="5830BAD0"/>
    <w:lvl w:ilvl="0">
      <w:start w:val="3"/>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3415D4"/>
    <w:multiLevelType w:val="multilevel"/>
    <w:tmpl w:val="342CFDC4"/>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1.%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3.%4.%5"/>
      <w:lvlJc w:val="left"/>
      <w:pPr>
        <w:tabs>
          <w:tab w:val="num" w:pos="2160"/>
        </w:tabs>
        <w:ind w:left="2160" w:hanging="360"/>
      </w:pPr>
    </w:lvl>
    <w:lvl w:ilvl="5">
      <w:start w:val="1"/>
      <w:numFmt w:val="lowerLetter"/>
      <w:lvlText w:val="%4.%5.%6"/>
      <w:lvlJc w:val="left"/>
      <w:pPr>
        <w:tabs>
          <w:tab w:val="num" w:pos="2520"/>
        </w:tabs>
        <w:ind w:left="2520" w:hanging="360"/>
      </w:pPr>
    </w:lvl>
    <w:lvl w:ilvl="6">
      <w:start w:val="1"/>
      <w:numFmt w:val="lowerLetter"/>
      <w:lvlText w:val="%5.%6.%7"/>
      <w:lvlJc w:val="left"/>
      <w:pPr>
        <w:tabs>
          <w:tab w:val="num" w:pos="2880"/>
        </w:tabs>
        <w:ind w:left="2880" w:hanging="360"/>
      </w:pPr>
    </w:lvl>
    <w:lvl w:ilvl="7">
      <w:start w:val="1"/>
      <w:numFmt w:val="lowerLetter"/>
      <w:lvlText w:val="%6.%7.%8"/>
      <w:lvlJc w:val="left"/>
      <w:pPr>
        <w:tabs>
          <w:tab w:val="num" w:pos="3240"/>
        </w:tabs>
        <w:ind w:left="3240" w:hanging="360"/>
      </w:pPr>
    </w:lvl>
    <w:lvl w:ilvl="8">
      <w:start w:val="1"/>
      <w:numFmt w:val="lowerLetter"/>
      <w:lvlText w:val="%7.%8.%9"/>
      <w:lvlJc w:val="left"/>
      <w:pPr>
        <w:tabs>
          <w:tab w:val="num" w:pos="3600"/>
        </w:tabs>
        <w:ind w:left="3600" w:hanging="360"/>
      </w:pPr>
    </w:lvl>
  </w:abstractNum>
  <w:abstractNum w:abstractNumId="7" w15:restartNumberingAfterBreak="0">
    <w:nsid w:val="562D5103"/>
    <w:multiLevelType w:val="multilevel"/>
    <w:tmpl w:val="5470DC24"/>
    <w:lvl w:ilvl="0">
      <w:start w:val="1"/>
      <w:numFmt w:val="lowerLetter"/>
      <w:lvlText w:val="%1)"/>
      <w:lvlJc w:val="left"/>
      <w:pPr>
        <w:tabs>
          <w:tab w:val="num" w:pos="283"/>
        </w:tabs>
        <w:ind w:left="283" w:hanging="283"/>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8" w15:restartNumberingAfterBreak="0">
    <w:nsid w:val="5E3B47FD"/>
    <w:multiLevelType w:val="multilevel"/>
    <w:tmpl w:val="0AD00D9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3.%4.%5"/>
      <w:lvlJc w:val="left"/>
      <w:pPr>
        <w:tabs>
          <w:tab w:val="num" w:pos="1800"/>
        </w:tabs>
        <w:ind w:left="1800" w:hanging="360"/>
      </w:pPr>
    </w:lvl>
    <w:lvl w:ilvl="5">
      <w:start w:val="1"/>
      <w:numFmt w:val="decimal"/>
      <w:lvlText w:val="%4.%5.%6"/>
      <w:lvlJc w:val="left"/>
      <w:pPr>
        <w:tabs>
          <w:tab w:val="num" w:pos="2160"/>
        </w:tabs>
        <w:ind w:left="2160" w:hanging="360"/>
      </w:pPr>
    </w:lvl>
    <w:lvl w:ilvl="6">
      <w:start w:val="1"/>
      <w:numFmt w:val="decimal"/>
      <w:lvlText w:val="%5.%6.%7"/>
      <w:lvlJc w:val="left"/>
      <w:pPr>
        <w:tabs>
          <w:tab w:val="num" w:pos="2520"/>
        </w:tabs>
        <w:ind w:left="2520" w:hanging="360"/>
      </w:pPr>
    </w:lvl>
    <w:lvl w:ilvl="7">
      <w:start w:val="1"/>
      <w:numFmt w:val="decimal"/>
      <w:lvlText w:val="%6.%7.%8"/>
      <w:lvlJc w:val="left"/>
      <w:pPr>
        <w:tabs>
          <w:tab w:val="num" w:pos="2880"/>
        </w:tabs>
        <w:ind w:left="2880" w:hanging="360"/>
      </w:pPr>
    </w:lvl>
    <w:lvl w:ilvl="8">
      <w:start w:val="1"/>
      <w:numFmt w:val="decimal"/>
      <w:lvlText w:val="%7.%8.%9"/>
      <w:lvlJc w:val="left"/>
      <w:pPr>
        <w:tabs>
          <w:tab w:val="num" w:pos="3240"/>
        </w:tabs>
        <w:ind w:left="3240" w:hanging="360"/>
      </w:pPr>
    </w:lvl>
  </w:abstractNum>
  <w:abstractNum w:abstractNumId="9" w15:restartNumberingAfterBreak="0">
    <w:nsid w:val="6F2B01D4"/>
    <w:multiLevelType w:val="multilevel"/>
    <w:tmpl w:val="8FC276E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3.%4.%5"/>
      <w:lvlJc w:val="left"/>
      <w:pPr>
        <w:tabs>
          <w:tab w:val="num" w:pos="1800"/>
        </w:tabs>
        <w:ind w:left="1800" w:hanging="360"/>
      </w:pPr>
    </w:lvl>
    <w:lvl w:ilvl="5">
      <w:start w:val="1"/>
      <w:numFmt w:val="decimal"/>
      <w:lvlText w:val="%4.%5.%6"/>
      <w:lvlJc w:val="left"/>
      <w:pPr>
        <w:tabs>
          <w:tab w:val="num" w:pos="2160"/>
        </w:tabs>
        <w:ind w:left="2160" w:hanging="360"/>
      </w:pPr>
    </w:lvl>
    <w:lvl w:ilvl="6">
      <w:start w:val="1"/>
      <w:numFmt w:val="decimal"/>
      <w:lvlText w:val="%5.%6.%7"/>
      <w:lvlJc w:val="left"/>
      <w:pPr>
        <w:tabs>
          <w:tab w:val="num" w:pos="2520"/>
        </w:tabs>
        <w:ind w:left="2520" w:hanging="360"/>
      </w:pPr>
    </w:lvl>
    <w:lvl w:ilvl="7">
      <w:start w:val="1"/>
      <w:numFmt w:val="decimal"/>
      <w:lvlText w:val="%6.%7.%8"/>
      <w:lvlJc w:val="left"/>
      <w:pPr>
        <w:tabs>
          <w:tab w:val="num" w:pos="2880"/>
        </w:tabs>
        <w:ind w:left="2880" w:hanging="360"/>
      </w:pPr>
    </w:lvl>
    <w:lvl w:ilvl="8">
      <w:start w:val="1"/>
      <w:numFmt w:val="decimal"/>
      <w:lvlText w:val="%7.%8.%9"/>
      <w:lvlJc w:val="left"/>
      <w:pPr>
        <w:tabs>
          <w:tab w:val="num" w:pos="3240"/>
        </w:tabs>
        <w:ind w:left="3240" w:hanging="360"/>
      </w:pPr>
    </w:lvl>
  </w:abstractNum>
  <w:abstractNum w:abstractNumId="10" w15:restartNumberingAfterBreak="0">
    <w:nsid w:val="70745A61"/>
    <w:multiLevelType w:val="multilevel"/>
    <w:tmpl w:val="F308338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3.%4.%5"/>
      <w:lvlJc w:val="left"/>
      <w:pPr>
        <w:tabs>
          <w:tab w:val="num" w:pos="1800"/>
        </w:tabs>
        <w:ind w:left="1800" w:hanging="360"/>
      </w:pPr>
    </w:lvl>
    <w:lvl w:ilvl="5">
      <w:start w:val="1"/>
      <w:numFmt w:val="decimal"/>
      <w:lvlText w:val="%4.%5.%6"/>
      <w:lvlJc w:val="left"/>
      <w:pPr>
        <w:tabs>
          <w:tab w:val="num" w:pos="2160"/>
        </w:tabs>
        <w:ind w:left="2160" w:hanging="360"/>
      </w:pPr>
    </w:lvl>
    <w:lvl w:ilvl="6">
      <w:start w:val="1"/>
      <w:numFmt w:val="decimal"/>
      <w:lvlText w:val="%5.%6.%7"/>
      <w:lvlJc w:val="left"/>
      <w:pPr>
        <w:tabs>
          <w:tab w:val="num" w:pos="2520"/>
        </w:tabs>
        <w:ind w:left="2520" w:hanging="360"/>
      </w:pPr>
    </w:lvl>
    <w:lvl w:ilvl="7">
      <w:start w:val="1"/>
      <w:numFmt w:val="decimal"/>
      <w:lvlText w:val="%6.%7.%8"/>
      <w:lvlJc w:val="left"/>
      <w:pPr>
        <w:tabs>
          <w:tab w:val="num" w:pos="2880"/>
        </w:tabs>
        <w:ind w:left="2880" w:hanging="360"/>
      </w:pPr>
    </w:lvl>
    <w:lvl w:ilvl="8">
      <w:start w:val="1"/>
      <w:numFmt w:val="decimal"/>
      <w:lvlText w:val="%7.%8.%9"/>
      <w:lvlJc w:val="left"/>
      <w:pPr>
        <w:tabs>
          <w:tab w:val="num" w:pos="3240"/>
        </w:tabs>
        <w:ind w:left="3240" w:hanging="360"/>
      </w:pPr>
    </w:lvl>
  </w:abstractNum>
  <w:abstractNum w:abstractNumId="11" w15:restartNumberingAfterBreak="0">
    <w:nsid w:val="73AD7636"/>
    <w:multiLevelType w:val="multilevel"/>
    <w:tmpl w:val="76700F2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3.%4.%5"/>
      <w:lvlJc w:val="left"/>
      <w:pPr>
        <w:tabs>
          <w:tab w:val="num" w:pos="1800"/>
        </w:tabs>
        <w:ind w:left="1800" w:hanging="360"/>
      </w:pPr>
    </w:lvl>
    <w:lvl w:ilvl="5">
      <w:start w:val="1"/>
      <w:numFmt w:val="decimal"/>
      <w:lvlText w:val="%4.%5.%6"/>
      <w:lvlJc w:val="left"/>
      <w:pPr>
        <w:tabs>
          <w:tab w:val="num" w:pos="2160"/>
        </w:tabs>
        <w:ind w:left="2160" w:hanging="360"/>
      </w:pPr>
    </w:lvl>
    <w:lvl w:ilvl="6">
      <w:start w:val="1"/>
      <w:numFmt w:val="decimal"/>
      <w:lvlText w:val="%5.%6.%7"/>
      <w:lvlJc w:val="left"/>
      <w:pPr>
        <w:tabs>
          <w:tab w:val="num" w:pos="2520"/>
        </w:tabs>
        <w:ind w:left="2520" w:hanging="360"/>
      </w:pPr>
    </w:lvl>
    <w:lvl w:ilvl="7">
      <w:start w:val="1"/>
      <w:numFmt w:val="decimal"/>
      <w:lvlText w:val="%6.%7.%8"/>
      <w:lvlJc w:val="left"/>
      <w:pPr>
        <w:tabs>
          <w:tab w:val="num" w:pos="2880"/>
        </w:tabs>
        <w:ind w:left="2880" w:hanging="360"/>
      </w:pPr>
    </w:lvl>
    <w:lvl w:ilvl="8">
      <w:start w:val="1"/>
      <w:numFmt w:val="decimal"/>
      <w:lvlText w:val="%7.%8.%9"/>
      <w:lvlJc w:val="left"/>
      <w:pPr>
        <w:tabs>
          <w:tab w:val="num" w:pos="3240"/>
        </w:tabs>
        <w:ind w:left="3240" w:hanging="360"/>
      </w:pPr>
    </w:lvl>
  </w:abstractNum>
  <w:abstractNum w:abstractNumId="12" w15:restartNumberingAfterBreak="0">
    <w:nsid w:val="799174F4"/>
    <w:multiLevelType w:val="multilevel"/>
    <w:tmpl w:val="F85ECBF6"/>
    <w:lvl w:ilvl="0">
      <w:start w:val="1"/>
      <w:numFmt w:val="lowerLetter"/>
      <w:lvlText w:val="%1)"/>
      <w:lvlJc w:val="left"/>
      <w:pPr>
        <w:tabs>
          <w:tab w:val="num" w:pos="283"/>
        </w:tabs>
        <w:ind w:left="283" w:hanging="283"/>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abstractNumId w:val="7"/>
  </w:num>
  <w:num w:numId="2">
    <w:abstractNumId w:val="12"/>
  </w:num>
  <w:num w:numId="3">
    <w:abstractNumId w:val="2"/>
  </w:num>
  <w:num w:numId="4">
    <w:abstractNumId w:val="11"/>
  </w:num>
  <w:num w:numId="5">
    <w:abstractNumId w:val="9"/>
  </w:num>
  <w:num w:numId="6">
    <w:abstractNumId w:val="8"/>
  </w:num>
  <w:num w:numId="7">
    <w:abstractNumId w:val="4"/>
  </w:num>
  <w:num w:numId="8">
    <w:abstractNumId w:val="6"/>
  </w:num>
  <w:num w:numId="9">
    <w:abstractNumId w:val="10"/>
  </w:num>
  <w:num w:numId="10">
    <w:abstractNumId w:val="1"/>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AF"/>
    <w:rsid w:val="007158E3"/>
    <w:rsid w:val="00DA5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A2BAE-6094-4002-A5C3-C4F7242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56AF"/>
    <w:pPr>
      <w:suppressAutoHyphens/>
      <w:overflowPunct w:val="0"/>
      <w:spacing w:after="0" w:line="240" w:lineRule="auto"/>
    </w:pPr>
    <w:rPr>
      <w:rFonts w:ascii="Times New Roman" w:eastAsia="Times New Roman" w:hAnsi="Times New Roman" w:cs="Times New Roman"/>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DA56AF"/>
  </w:style>
  <w:style w:type="paragraph" w:styleId="Zpat">
    <w:name w:val="footer"/>
    <w:basedOn w:val="Normln"/>
    <w:link w:val="ZpatChar"/>
    <w:rsid w:val="00DA56AF"/>
    <w:pPr>
      <w:tabs>
        <w:tab w:val="center" w:pos="4536"/>
        <w:tab w:val="right" w:pos="9072"/>
      </w:tabs>
    </w:pPr>
  </w:style>
  <w:style w:type="character" w:customStyle="1" w:styleId="ZpatChar">
    <w:name w:val="Zápatí Char"/>
    <w:basedOn w:val="Standardnpsmoodstavce"/>
    <w:link w:val="Zpat"/>
    <w:rsid w:val="00DA56AF"/>
    <w:rPr>
      <w:rFonts w:ascii="Times New Roman" w:eastAsia="Times New Roman" w:hAnsi="Times New Roman" w:cs="Times New Roman"/>
      <w:sz w:val="24"/>
      <w:szCs w:val="20"/>
      <w:lang w:eastAsia="zh-CN"/>
    </w:rPr>
  </w:style>
  <w:style w:type="paragraph" w:customStyle="1" w:styleId="Obsahtabulky">
    <w:name w:val="Obsah tabulky"/>
    <w:basedOn w:val="Normln"/>
    <w:qFormat/>
    <w:rsid w:val="00DA56AF"/>
    <w:pPr>
      <w:suppressLineNumbers/>
    </w:pPr>
  </w:style>
  <w:style w:type="paragraph" w:styleId="Odstavecseseznamem">
    <w:name w:val="List Paragraph"/>
    <w:basedOn w:val="Normln"/>
    <w:qFormat/>
    <w:rsid w:val="00DA56AF"/>
    <w:pPr>
      <w:spacing w:after="160"/>
      <w:ind w:left="720"/>
      <w:contextualSpacing/>
    </w:pPr>
  </w:style>
  <w:style w:type="paragraph" w:customStyle="1" w:styleId="Text-Zd">
    <w:name w:val="Text-Zd"/>
    <w:basedOn w:val="Normln"/>
    <w:qFormat/>
    <w:rsid w:val="00DA56AF"/>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1967</Words>
  <Characters>11612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MSSS Most</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Nermuťová</dc:creator>
  <cp:keywords/>
  <dc:description/>
  <cp:lastModifiedBy>Michaela Nermuťová</cp:lastModifiedBy>
  <cp:revision>1</cp:revision>
  <dcterms:created xsi:type="dcterms:W3CDTF">2021-10-06T06:49:00Z</dcterms:created>
  <dcterms:modified xsi:type="dcterms:W3CDTF">2021-10-06T06:50:00Z</dcterms:modified>
</cp:coreProperties>
</file>