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4790590A" w:rsidR="00726B26" w:rsidRPr="00726B26" w:rsidRDefault="001254CB" w:rsidP="00726B26">
      <w:pPr>
        <w:rPr>
          <w:b/>
        </w:rPr>
      </w:pPr>
      <w:r>
        <w:rPr>
          <w:b/>
        </w:rPr>
        <w:t>Bayer s.r</w:t>
      </w:r>
      <w:r w:rsidR="003752B7">
        <w:rPr>
          <w:b/>
        </w:rPr>
        <w:t>.</w:t>
      </w:r>
      <w:r>
        <w:rPr>
          <w:b/>
        </w:rPr>
        <w:t>o.</w:t>
      </w:r>
    </w:p>
    <w:p w14:paraId="62F78EE6" w14:textId="5F1C270B" w:rsidR="00726B26" w:rsidRDefault="00726B26" w:rsidP="00726B26">
      <w:r>
        <w:t xml:space="preserve">IČ: </w:t>
      </w:r>
      <w:r w:rsidR="0071282A">
        <w:t>00565474</w:t>
      </w:r>
    </w:p>
    <w:p w14:paraId="62F78EE7" w14:textId="3B35AAAC" w:rsidR="00726B26" w:rsidRPr="00512AB9" w:rsidRDefault="00726B26" w:rsidP="00726B26">
      <w:r>
        <w:t xml:space="preserve">DIČ: </w:t>
      </w:r>
      <w:r w:rsidR="0071282A">
        <w:t>CZ00565474</w:t>
      </w:r>
    </w:p>
    <w:p w14:paraId="62F78EE8" w14:textId="65BEE786" w:rsidR="00726B26" w:rsidRPr="00512AB9" w:rsidRDefault="00726B26" w:rsidP="00726B26">
      <w:r>
        <w:t>se sídlem</w:t>
      </w:r>
      <w:r w:rsidRPr="00512AB9">
        <w:t xml:space="preserve">:  </w:t>
      </w:r>
      <w:proofErr w:type="spellStart"/>
      <w:r w:rsidR="0071282A">
        <w:t>Siemensova</w:t>
      </w:r>
      <w:proofErr w:type="spellEnd"/>
      <w:r w:rsidR="005726D7">
        <w:t xml:space="preserve"> 2717/4, 155 00 Praha 5</w:t>
      </w:r>
    </w:p>
    <w:p w14:paraId="62F78EE9" w14:textId="28204BB6" w:rsidR="00726B26" w:rsidRPr="00512AB9" w:rsidRDefault="00726B26" w:rsidP="00726B26">
      <w:r>
        <w:t>zastoupena</w:t>
      </w:r>
      <w:r w:rsidRPr="00512AB9">
        <w:t xml:space="preserve">: </w:t>
      </w:r>
      <w:r w:rsidR="005726D7">
        <w:t>Ing. Václavem Vlkem, prokuristou</w:t>
      </w:r>
    </w:p>
    <w:p w14:paraId="62F78EEA" w14:textId="596B6F60" w:rsidR="00726B26" w:rsidRPr="00512AB9" w:rsidRDefault="00726B26" w:rsidP="00726B26">
      <w:r w:rsidRPr="00512AB9">
        <w:t xml:space="preserve">bankovní spojení: </w:t>
      </w:r>
      <w:r w:rsidR="00846F3D">
        <w:t>CITIBANK Praha</w:t>
      </w:r>
    </w:p>
    <w:p w14:paraId="62F78EEB" w14:textId="75132956" w:rsidR="00726B26" w:rsidRPr="00512AB9" w:rsidRDefault="00726B26" w:rsidP="00726B26">
      <w:r w:rsidRPr="00512AB9">
        <w:t xml:space="preserve">číslo účtu: </w:t>
      </w:r>
      <w:r w:rsidR="002077E0" w:rsidRPr="002077E0">
        <w:t>2011130109/2600</w:t>
      </w:r>
    </w:p>
    <w:p w14:paraId="62F78EEC" w14:textId="3F614E1D" w:rsidR="00726B26" w:rsidRPr="00512AB9" w:rsidRDefault="00726B26" w:rsidP="00726B26">
      <w:r>
        <w:t>z</w:t>
      </w:r>
      <w:r w:rsidRPr="00512AB9">
        <w:t>apsán</w:t>
      </w:r>
      <w:r>
        <w:t>a</w:t>
      </w:r>
      <w:r w:rsidRPr="00512AB9">
        <w:t xml:space="preserve"> v obchodním rejstříku vedeném </w:t>
      </w:r>
      <w:proofErr w:type="gramStart"/>
      <w:r w:rsidR="00BA47BA">
        <w:t xml:space="preserve">Městským </w:t>
      </w:r>
      <w:r>
        <w:t xml:space="preserve"> </w:t>
      </w:r>
      <w:r w:rsidRPr="00652864">
        <w:t>soudem</w:t>
      </w:r>
      <w:proofErr w:type="gramEnd"/>
      <w:r w:rsidRPr="00652864">
        <w:t xml:space="preserve"> v </w:t>
      </w:r>
      <w:r w:rsidR="00BA47BA">
        <w:t>Praze</w:t>
      </w:r>
      <w:r w:rsidRPr="00652864">
        <w:t>, oddíl</w:t>
      </w:r>
      <w:r w:rsidR="003E3A10">
        <w:t xml:space="preserve"> C</w:t>
      </w:r>
      <w:r w:rsidRPr="00652864">
        <w:t xml:space="preserve">, vložka </w:t>
      </w:r>
      <w:r w:rsidR="003E3A10">
        <w:t>391</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27610D25"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902D1A">
        <w:rPr>
          <w:b/>
        </w:rPr>
        <w:t>Kontrastní látky</w:t>
      </w:r>
      <w:r w:rsidR="003752B7">
        <w:rPr>
          <w:b/>
        </w:rPr>
        <w:t xml:space="preserve"> – část 11 s názvem Kontrastní látky pro vyšetření magnetickou resonancí – V08CA10</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6AF164C1" w:rsidR="00014CFB" w:rsidRDefault="00014CFB" w:rsidP="00014CFB">
      <w:pPr>
        <w:pStyle w:val="Psmenoodstavce"/>
      </w:pPr>
      <w:r>
        <w:t>e-mailem na adresu</w:t>
      </w:r>
      <w:r w:rsidR="00EA0DCE" w:rsidRPr="00EA0DCE">
        <w:t xml:space="preserve"> </w:t>
      </w:r>
      <w:r w:rsidR="0049424F">
        <w:t>XXX</w:t>
      </w:r>
    </w:p>
    <w:p w14:paraId="62F78F16" w14:textId="77777777" w:rsidR="00014CFB" w:rsidRDefault="00014CFB" w:rsidP="00014CFB">
      <w:pPr>
        <w:pStyle w:val="Odstavecsmlouvy"/>
        <w:numPr>
          <w:ilvl w:val="0"/>
          <w:numId w:val="0"/>
        </w:numPr>
        <w:ind w:left="567"/>
      </w:pPr>
    </w:p>
    <w:p w14:paraId="62F78F17" w14:textId="3B68B974" w:rsidR="00014CFB" w:rsidRDefault="00014CFB" w:rsidP="00014CFB">
      <w:pPr>
        <w:pStyle w:val="Odstavecsmlouvy"/>
      </w:pPr>
      <w:r>
        <w:t xml:space="preserve">V naléhavých případech je Kupující oprávněn učinit Objednávku rovněž telefonicky na čísle </w:t>
      </w:r>
      <w:r w:rsidR="0049424F">
        <w:t>XXX</w:t>
      </w:r>
    </w:p>
    <w:p w14:paraId="62F78F18" w14:textId="77777777" w:rsidR="00014CFB" w:rsidRDefault="00014CFB" w:rsidP="00014CFB">
      <w:pPr>
        <w:pStyle w:val="Odstavecsmlouvy"/>
        <w:numPr>
          <w:ilvl w:val="0"/>
          <w:numId w:val="0"/>
        </w:numPr>
        <w:ind w:left="567"/>
      </w:pPr>
    </w:p>
    <w:p w14:paraId="62F78F19" w14:textId="45868F23"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49424F">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bookmarkStart w:id="4" w:name="_GoBack"/>
      <w:bookmarkEnd w:id="4"/>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7"/>
    </w:p>
    <w:p w14:paraId="594B7AC1" w14:textId="77777777" w:rsidR="00BE64FF" w:rsidRDefault="00BE64FF" w:rsidP="00BE64FF">
      <w:pPr>
        <w:pStyle w:val="Odstavecseseznamem"/>
      </w:pPr>
    </w:p>
    <w:p w14:paraId="6EF2F7CD" w14:textId="66062F1F" w:rsidR="00BE64FF" w:rsidRDefault="00BE64FF" w:rsidP="00BE64FF">
      <w:pPr>
        <w:pStyle w:val="Odstavecsmlouvy"/>
      </w:pPr>
      <w:r>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lastRenderedPageBreak/>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2"/>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8B0334B"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oklady, pojištění během dopravy, správní poplatky, daně, recyklační poplatek (pouze u zboží, které to</w:t>
      </w:r>
      <w:r w:rsidR="00B23360">
        <w:t xml:space="preserve">muto poplatku podle zákona č. </w:t>
      </w:r>
      <w:r>
        <w:t>5</w:t>
      </w:r>
      <w:r w:rsidR="00B23360">
        <w:t>41</w:t>
      </w:r>
      <w:r>
        <w:t>/20</w:t>
      </w:r>
      <w:r w:rsidR="00B23360">
        <w:t>20</w:t>
      </w:r>
      <w:r>
        <w:t xml:space="preserve">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DB633B">
      <w:pPr>
        <w:jc w:val="right"/>
      </w:pPr>
    </w:p>
    <w:p w14:paraId="6DECEF96" w14:textId="77777777" w:rsidR="006D1E44" w:rsidRPr="006D1E44" w:rsidRDefault="006D1E44" w:rsidP="006D1E44">
      <w:pPr>
        <w:pStyle w:val="Odstavecsmlouvy"/>
      </w:pPr>
      <w:r w:rsidRPr="006D1E44">
        <w:t xml:space="preserve">Pro vyloučení pochybností se uvádí, že příslušná jednotková kupní cena je dle odst.V.6 </w:t>
      </w:r>
      <w:proofErr w:type="gramStart"/>
      <w:r w:rsidRPr="006D1E44">
        <w:t>resp. V.7 této</w:t>
      </w:r>
      <w:proofErr w:type="gramEnd"/>
      <w:r w:rsidRPr="006D1E44">
        <w:t xml:space="preserve">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4497E6DC" w:rsidR="000C1FD1" w:rsidRPr="003752B7"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367BB6">
        <w:t>„k jednotlivým Objednávkám“</w:t>
      </w:r>
      <w:r w:rsidR="003752B7" w:rsidRPr="003752B7">
        <w:t>.</w:t>
      </w:r>
      <w:r w:rsidRPr="003752B7">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305BD643" w:rsidR="002F473F" w:rsidRPr="00512AB9" w:rsidRDefault="002F473F" w:rsidP="002F473F">
      <w:pPr>
        <w:pStyle w:val="Odstavecsmlouvy"/>
      </w:pPr>
      <w:r>
        <w:t>Zboží musí být označeno šarží na vnějším i vnitřním obalu. Zboží s ex</w:t>
      </w:r>
      <w:r w:rsidR="00B23360">
        <w:t>s</w:t>
      </w:r>
      <w:r>
        <w:t>pirační dobou musí být opatřeno také údajem o ex</w:t>
      </w:r>
      <w:r w:rsidR="00B23360">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3D7D61BB"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B23360">
        <w:t>s</w:t>
      </w:r>
      <w:r w:rsidR="0079294C">
        <w:t xml:space="preserve">pirační doby. Prodávající je povinen takové Zboží převzít (např. při dodání dílčího plnění). V případě vrácení Zboží dle tohoto odstavce </w:t>
      </w:r>
      <w:r w:rsidR="0079294C">
        <w:lastRenderedPageBreak/>
        <w:t>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4978AC84" w14:textId="77777777" w:rsidR="002738B6" w:rsidRDefault="001E166C" w:rsidP="001E166C">
      <w:pPr>
        <w:pStyle w:val="Odstavecsmlouvy"/>
      </w:pPr>
      <w:r>
        <w:t>Prodávající na sebe přebírá nebezpečí změny okolností dle § 1765 odst. 2 občanského zákoníku.</w:t>
      </w:r>
    </w:p>
    <w:p w14:paraId="39B6BECF" w14:textId="77777777" w:rsidR="002738B6" w:rsidRDefault="002738B6" w:rsidP="002738B6">
      <w:pPr>
        <w:pStyle w:val="Odstavecseseznamem"/>
      </w:pPr>
    </w:p>
    <w:p w14:paraId="1D084FF8" w14:textId="784AA6FD" w:rsidR="002738B6" w:rsidRDefault="002738B6" w:rsidP="002738B6">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w:t>
      </w:r>
      <w:r w:rsidRPr="001D71E3">
        <w:lastRenderedPageBreak/>
        <w:t>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3349207B" w:rsidR="007E416F" w:rsidRDefault="007E416F" w:rsidP="000A5B93">
      <w:pPr>
        <w:pStyle w:val="Odstavecsmlouvy"/>
        <w:numPr>
          <w:ilvl w:val="0"/>
          <w:numId w:val="0"/>
        </w:numPr>
        <w:ind w:left="1416"/>
      </w:pPr>
      <w:r>
        <w:t xml:space="preserve">Příloha č. 1: </w:t>
      </w:r>
      <w:r w:rsidR="00074676">
        <w:t>Specifikace Zboží a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1F6D7910"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2D0C5E">
              <w:rPr>
                <w:sz w:val="22"/>
                <w:szCs w:val="22"/>
              </w:rPr>
              <w:t xml:space="preserve"> Praze </w:t>
            </w:r>
            <w:r w:rsidRPr="00D722DC">
              <w:rPr>
                <w:sz w:val="22"/>
                <w:szCs w:val="22"/>
              </w:rPr>
              <w:t>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3752B7">
        <w:tc>
          <w:tcPr>
            <w:tcW w:w="4077" w:type="dxa"/>
            <w:tcBorders>
              <w:top w:val="single" w:sz="4" w:space="0" w:color="auto"/>
            </w:tcBorders>
            <w:shd w:val="clear" w:color="auto" w:fill="FFFFFF" w:themeFill="background1"/>
          </w:tcPr>
          <w:p w14:paraId="558501E7" w14:textId="77777777" w:rsidR="009C052F" w:rsidRPr="003752B7" w:rsidRDefault="009C052F" w:rsidP="003752B7">
            <w:pPr>
              <w:pStyle w:val="slovn"/>
              <w:numPr>
                <w:ilvl w:val="0"/>
                <w:numId w:val="0"/>
              </w:numPr>
              <w:shd w:val="clear" w:color="auto" w:fill="FFFFFF" w:themeFill="background1"/>
              <w:tabs>
                <w:tab w:val="num" w:pos="567"/>
              </w:tabs>
              <w:spacing w:after="0" w:line="280" w:lineRule="atLeast"/>
              <w:jc w:val="center"/>
              <w:rPr>
                <w:b/>
                <w:sz w:val="22"/>
                <w:szCs w:val="22"/>
              </w:rPr>
            </w:pPr>
            <w:r w:rsidRPr="003752B7">
              <w:rPr>
                <w:b/>
                <w:sz w:val="22"/>
                <w:szCs w:val="22"/>
              </w:rPr>
              <w:t>BAYER s.r.o.</w:t>
            </w:r>
          </w:p>
          <w:p w14:paraId="62F78FB8" w14:textId="2012D6A2" w:rsidR="004A45B0" w:rsidRPr="00D722DC" w:rsidRDefault="009C052F" w:rsidP="005B49AA">
            <w:pPr>
              <w:pStyle w:val="slovn"/>
              <w:numPr>
                <w:ilvl w:val="0"/>
                <w:numId w:val="0"/>
              </w:numPr>
              <w:tabs>
                <w:tab w:val="num" w:pos="567"/>
              </w:tabs>
              <w:spacing w:after="0" w:line="280" w:lineRule="atLeast"/>
              <w:jc w:val="center"/>
              <w:rPr>
                <w:sz w:val="22"/>
                <w:szCs w:val="22"/>
              </w:rPr>
            </w:pPr>
            <w:r>
              <w:rPr>
                <w:sz w:val="22"/>
                <w:szCs w:val="22"/>
              </w:rPr>
              <w:t>Ing. Václav Vlk, prokurista</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A736CE0" w14:textId="77777777" w:rsidR="003752B7" w:rsidRDefault="000729CF" w:rsidP="007E416F">
      <w:pPr>
        <w:jc w:val="center"/>
        <w:sectPr w:rsidR="003752B7" w:rsidSect="00D930BD">
          <w:headerReference w:type="even" r:id="rId14"/>
          <w:headerReference w:type="default" r:id="rId15"/>
          <w:footerReference w:type="even" r:id="rId16"/>
          <w:footerReference w:type="default" r:id="rId17"/>
          <w:headerReference w:type="first" r:id="rId18"/>
          <w:footerReference w:type="first" r:id="rId19"/>
          <w:pgSz w:w="11906" w:h="16838"/>
          <w:pgMar w:top="1417" w:right="926" w:bottom="1417" w:left="900" w:header="709" w:footer="708" w:gutter="0"/>
          <w:cols w:space="708"/>
          <w:titlePg/>
          <w:docGrid w:linePitch="360"/>
        </w:sectPr>
      </w:pPr>
      <w:r>
        <w:br w:type="page"/>
      </w:r>
    </w:p>
    <w:p w14:paraId="62F78FBF" w14:textId="1EA63CB3" w:rsidR="007E416F" w:rsidRPr="000729CF" w:rsidRDefault="00575F84" w:rsidP="007E416F">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38F5CA06"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tbl>
      <w:tblPr>
        <w:tblStyle w:val="Mkatabulky"/>
        <w:tblW w:w="14515" w:type="dxa"/>
        <w:tblLayout w:type="fixed"/>
        <w:tblLook w:val="04A0" w:firstRow="1" w:lastRow="0" w:firstColumn="1" w:lastColumn="0" w:noHBand="0" w:noVBand="1"/>
      </w:tblPr>
      <w:tblGrid>
        <w:gridCol w:w="577"/>
        <w:gridCol w:w="1261"/>
        <w:gridCol w:w="2126"/>
        <w:gridCol w:w="993"/>
        <w:gridCol w:w="1098"/>
        <w:gridCol w:w="870"/>
        <w:gridCol w:w="1061"/>
        <w:gridCol w:w="1199"/>
        <w:gridCol w:w="1065"/>
        <w:gridCol w:w="1202"/>
        <w:gridCol w:w="1598"/>
        <w:gridCol w:w="1465"/>
      </w:tblGrid>
      <w:tr w:rsidR="003752B7" w:rsidRPr="003752B7" w14:paraId="77A1E197" w14:textId="77777777" w:rsidTr="00D9196C">
        <w:trPr>
          <w:gridAfter w:val="11"/>
          <w:wAfter w:w="13938" w:type="dxa"/>
          <w:trHeight w:val="305"/>
        </w:trPr>
        <w:tc>
          <w:tcPr>
            <w:tcW w:w="577" w:type="dxa"/>
            <w:noWrap/>
            <w:hideMark/>
          </w:tcPr>
          <w:p w14:paraId="48BA1637" w14:textId="77777777" w:rsidR="003752B7" w:rsidRPr="003752B7" w:rsidRDefault="003752B7" w:rsidP="003752B7">
            <w:pPr>
              <w:rPr>
                <w:highlight w:val="yellow"/>
              </w:rPr>
            </w:pPr>
          </w:p>
        </w:tc>
      </w:tr>
      <w:tr w:rsidR="00D9196C" w:rsidRPr="003752B7" w14:paraId="7A3EADDA" w14:textId="77777777" w:rsidTr="00D9196C">
        <w:trPr>
          <w:trHeight w:val="611"/>
        </w:trPr>
        <w:tc>
          <w:tcPr>
            <w:tcW w:w="577" w:type="dxa"/>
            <w:noWrap/>
            <w:hideMark/>
          </w:tcPr>
          <w:p w14:paraId="185855E5" w14:textId="77777777" w:rsidR="003752B7" w:rsidRPr="003752B7" w:rsidRDefault="003752B7">
            <w:pPr>
              <w:rPr>
                <w:b/>
                <w:bCs/>
              </w:rPr>
            </w:pPr>
          </w:p>
        </w:tc>
        <w:tc>
          <w:tcPr>
            <w:tcW w:w="1261" w:type="dxa"/>
            <w:vMerge w:val="restart"/>
            <w:hideMark/>
          </w:tcPr>
          <w:p w14:paraId="0FE3E55F" w14:textId="77777777" w:rsidR="003752B7" w:rsidRPr="003752B7" w:rsidRDefault="003752B7" w:rsidP="003752B7">
            <w:pPr>
              <w:rPr>
                <w:b/>
                <w:bCs/>
              </w:rPr>
            </w:pPr>
            <w:r w:rsidRPr="003752B7">
              <w:rPr>
                <w:b/>
                <w:bCs/>
              </w:rPr>
              <w:t>ATC</w:t>
            </w:r>
          </w:p>
        </w:tc>
        <w:tc>
          <w:tcPr>
            <w:tcW w:w="2126" w:type="dxa"/>
            <w:vMerge w:val="restart"/>
            <w:hideMark/>
          </w:tcPr>
          <w:p w14:paraId="34E32350" w14:textId="77777777" w:rsidR="003752B7" w:rsidRPr="003752B7" w:rsidRDefault="003752B7" w:rsidP="003752B7">
            <w:pPr>
              <w:rPr>
                <w:b/>
                <w:bCs/>
              </w:rPr>
            </w:pPr>
            <w:r w:rsidRPr="003752B7">
              <w:rPr>
                <w:b/>
                <w:bCs/>
              </w:rPr>
              <w:t>Specifikace položky</w:t>
            </w:r>
          </w:p>
        </w:tc>
        <w:tc>
          <w:tcPr>
            <w:tcW w:w="993" w:type="dxa"/>
            <w:vMerge w:val="restart"/>
            <w:hideMark/>
          </w:tcPr>
          <w:p w14:paraId="08CE7794" w14:textId="77777777" w:rsidR="003752B7" w:rsidRPr="003752B7" w:rsidRDefault="003752B7" w:rsidP="003752B7">
            <w:pPr>
              <w:rPr>
                <w:b/>
                <w:bCs/>
              </w:rPr>
            </w:pPr>
            <w:r w:rsidRPr="003752B7">
              <w:rPr>
                <w:b/>
                <w:bCs/>
              </w:rPr>
              <w:t>Účinná látka</w:t>
            </w:r>
          </w:p>
        </w:tc>
        <w:tc>
          <w:tcPr>
            <w:tcW w:w="1098" w:type="dxa"/>
            <w:vMerge w:val="restart"/>
            <w:hideMark/>
          </w:tcPr>
          <w:p w14:paraId="73CE0F20" w14:textId="77777777" w:rsidR="003752B7" w:rsidRPr="003752B7" w:rsidRDefault="003752B7" w:rsidP="003752B7">
            <w:pPr>
              <w:rPr>
                <w:b/>
                <w:bCs/>
              </w:rPr>
            </w:pPr>
            <w:r w:rsidRPr="003752B7">
              <w:rPr>
                <w:b/>
                <w:bCs/>
              </w:rPr>
              <w:t>Koncentrace [mg gadolinia/1 ml]</w:t>
            </w:r>
          </w:p>
        </w:tc>
        <w:tc>
          <w:tcPr>
            <w:tcW w:w="870" w:type="dxa"/>
            <w:vMerge w:val="restart"/>
            <w:hideMark/>
          </w:tcPr>
          <w:p w14:paraId="43273ED4" w14:textId="77777777" w:rsidR="003752B7" w:rsidRPr="003752B7" w:rsidRDefault="003752B7" w:rsidP="003752B7">
            <w:pPr>
              <w:rPr>
                <w:b/>
                <w:bCs/>
              </w:rPr>
            </w:pPr>
            <w:r w:rsidRPr="003752B7">
              <w:rPr>
                <w:b/>
                <w:bCs/>
              </w:rPr>
              <w:t>Objem dávky* [ml]</w:t>
            </w:r>
          </w:p>
        </w:tc>
        <w:tc>
          <w:tcPr>
            <w:tcW w:w="1061" w:type="dxa"/>
            <w:vMerge w:val="restart"/>
            <w:hideMark/>
          </w:tcPr>
          <w:p w14:paraId="53A21CC3" w14:textId="77777777" w:rsidR="003752B7" w:rsidRPr="003752B7" w:rsidRDefault="003752B7" w:rsidP="003752B7">
            <w:pPr>
              <w:rPr>
                <w:b/>
                <w:bCs/>
              </w:rPr>
            </w:pPr>
            <w:r w:rsidRPr="003752B7">
              <w:rPr>
                <w:b/>
                <w:bCs/>
              </w:rPr>
              <w:t>Předpokládaný počet dávek za 4 roky</w:t>
            </w:r>
          </w:p>
        </w:tc>
        <w:tc>
          <w:tcPr>
            <w:tcW w:w="1199" w:type="dxa"/>
            <w:vMerge w:val="restart"/>
            <w:hideMark/>
          </w:tcPr>
          <w:p w14:paraId="0D364533" w14:textId="77777777" w:rsidR="003752B7" w:rsidRPr="003752B7" w:rsidRDefault="003752B7" w:rsidP="003752B7">
            <w:pPr>
              <w:rPr>
                <w:b/>
                <w:bCs/>
              </w:rPr>
            </w:pPr>
            <w:r w:rsidRPr="003752B7">
              <w:rPr>
                <w:b/>
                <w:bCs/>
              </w:rPr>
              <w:t>Kód SÚKL</w:t>
            </w:r>
          </w:p>
        </w:tc>
        <w:tc>
          <w:tcPr>
            <w:tcW w:w="2267" w:type="dxa"/>
            <w:gridSpan w:val="2"/>
            <w:noWrap/>
            <w:hideMark/>
          </w:tcPr>
          <w:p w14:paraId="76097FA1" w14:textId="77777777" w:rsidR="003752B7" w:rsidRPr="003752B7" w:rsidRDefault="003752B7" w:rsidP="003752B7">
            <w:pPr>
              <w:rPr>
                <w:b/>
                <w:bCs/>
              </w:rPr>
            </w:pPr>
            <w:r w:rsidRPr="003752B7">
              <w:rPr>
                <w:b/>
                <w:bCs/>
              </w:rPr>
              <w:t>Cena za jednu dávku</w:t>
            </w:r>
          </w:p>
        </w:tc>
        <w:tc>
          <w:tcPr>
            <w:tcW w:w="3063" w:type="dxa"/>
            <w:gridSpan w:val="2"/>
            <w:hideMark/>
          </w:tcPr>
          <w:p w14:paraId="657235FA" w14:textId="77777777" w:rsidR="003752B7" w:rsidRPr="003752B7" w:rsidRDefault="003752B7" w:rsidP="003752B7">
            <w:pPr>
              <w:rPr>
                <w:b/>
                <w:bCs/>
              </w:rPr>
            </w:pPr>
            <w:r w:rsidRPr="003752B7">
              <w:rPr>
                <w:b/>
                <w:bCs/>
              </w:rPr>
              <w:t>Cena za předpokládaný počet dávek za 4 roky</w:t>
            </w:r>
          </w:p>
        </w:tc>
      </w:tr>
      <w:tr w:rsidR="00D9196C" w:rsidRPr="003752B7" w14:paraId="12EDE597" w14:textId="77777777" w:rsidTr="00D9196C">
        <w:trPr>
          <w:trHeight w:val="305"/>
        </w:trPr>
        <w:tc>
          <w:tcPr>
            <w:tcW w:w="577" w:type="dxa"/>
            <w:noWrap/>
            <w:hideMark/>
          </w:tcPr>
          <w:p w14:paraId="51A080F3" w14:textId="77777777" w:rsidR="003752B7" w:rsidRPr="003752B7" w:rsidRDefault="003752B7"/>
        </w:tc>
        <w:tc>
          <w:tcPr>
            <w:tcW w:w="1261" w:type="dxa"/>
            <w:vMerge/>
            <w:hideMark/>
          </w:tcPr>
          <w:p w14:paraId="157FD4C1" w14:textId="77777777" w:rsidR="003752B7" w:rsidRPr="003752B7" w:rsidRDefault="003752B7">
            <w:pPr>
              <w:rPr>
                <w:b/>
                <w:bCs/>
              </w:rPr>
            </w:pPr>
          </w:p>
        </w:tc>
        <w:tc>
          <w:tcPr>
            <w:tcW w:w="2126" w:type="dxa"/>
            <w:vMerge/>
            <w:hideMark/>
          </w:tcPr>
          <w:p w14:paraId="6411A7DC" w14:textId="77777777" w:rsidR="003752B7" w:rsidRPr="003752B7" w:rsidRDefault="003752B7">
            <w:pPr>
              <w:rPr>
                <w:b/>
                <w:bCs/>
              </w:rPr>
            </w:pPr>
          </w:p>
        </w:tc>
        <w:tc>
          <w:tcPr>
            <w:tcW w:w="993" w:type="dxa"/>
            <w:vMerge/>
            <w:hideMark/>
          </w:tcPr>
          <w:p w14:paraId="14618229" w14:textId="77777777" w:rsidR="003752B7" w:rsidRPr="003752B7" w:rsidRDefault="003752B7">
            <w:pPr>
              <w:rPr>
                <w:b/>
                <w:bCs/>
              </w:rPr>
            </w:pPr>
          </w:p>
        </w:tc>
        <w:tc>
          <w:tcPr>
            <w:tcW w:w="1098" w:type="dxa"/>
            <w:vMerge/>
            <w:hideMark/>
          </w:tcPr>
          <w:p w14:paraId="7BCB0D32" w14:textId="77777777" w:rsidR="003752B7" w:rsidRPr="003752B7" w:rsidRDefault="003752B7">
            <w:pPr>
              <w:rPr>
                <w:b/>
                <w:bCs/>
              </w:rPr>
            </w:pPr>
          </w:p>
        </w:tc>
        <w:tc>
          <w:tcPr>
            <w:tcW w:w="870" w:type="dxa"/>
            <w:vMerge/>
            <w:hideMark/>
          </w:tcPr>
          <w:p w14:paraId="37C6411C" w14:textId="77777777" w:rsidR="003752B7" w:rsidRPr="003752B7" w:rsidRDefault="003752B7">
            <w:pPr>
              <w:rPr>
                <w:b/>
                <w:bCs/>
              </w:rPr>
            </w:pPr>
          </w:p>
        </w:tc>
        <w:tc>
          <w:tcPr>
            <w:tcW w:w="1061" w:type="dxa"/>
            <w:vMerge/>
            <w:hideMark/>
          </w:tcPr>
          <w:p w14:paraId="4BBC9215" w14:textId="77777777" w:rsidR="003752B7" w:rsidRPr="003752B7" w:rsidRDefault="003752B7">
            <w:pPr>
              <w:rPr>
                <w:b/>
                <w:bCs/>
              </w:rPr>
            </w:pPr>
          </w:p>
        </w:tc>
        <w:tc>
          <w:tcPr>
            <w:tcW w:w="1199" w:type="dxa"/>
            <w:vMerge/>
            <w:hideMark/>
          </w:tcPr>
          <w:p w14:paraId="1C3D1157" w14:textId="77777777" w:rsidR="003752B7" w:rsidRPr="003752B7" w:rsidRDefault="003752B7">
            <w:pPr>
              <w:rPr>
                <w:b/>
                <w:bCs/>
              </w:rPr>
            </w:pPr>
          </w:p>
        </w:tc>
        <w:tc>
          <w:tcPr>
            <w:tcW w:w="1065" w:type="dxa"/>
            <w:hideMark/>
          </w:tcPr>
          <w:p w14:paraId="6DCEE4AF" w14:textId="77777777" w:rsidR="003752B7" w:rsidRPr="003752B7" w:rsidRDefault="003752B7" w:rsidP="003752B7">
            <w:pPr>
              <w:rPr>
                <w:b/>
                <w:bCs/>
              </w:rPr>
            </w:pPr>
            <w:r w:rsidRPr="003752B7">
              <w:rPr>
                <w:b/>
                <w:bCs/>
              </w:rPr>
              <w:t>Kč bez DPH</w:t>
            </w:r>
          </w:p>
        </w:tc>
        <w:tc>
          <w:tcPr>
            <w:tcW w:w="1202" w:type="dxa"/>
            <w:hideMark/>
          </w:tcPr>
          <w:p w14:paraId="3528029D" w14:textId="77777777" w:rsidR="003752B7" w:rsidRPr="003752B7" w:rsidRDefault="003752B7" w:rsidP="003752B7">
            <w:pPr>
              <w:rPr>
                <w:b/>
                <w:bCs/>
              </w:rPr>
            </w:pPr>
            <w:r w:rsidRPr="003752B7">
              <w:rPr>
                <w:b/>
                <w:bCs/>
              </w:rPr>
              <w:t>Kč včetně DPH</w:t>
            </w:r>
          </w:p>
        </w:tc>
        <w:tc>
          <w:tcPr>
            <w:tcW w:w="1598" w:type="dxa"/>
            <w:hideMark/>
          </w:tcPr>
          <w:p w14:paraId="5AF91062" w14:textId="77777777" w:rsidR="003752B7" w:rsidRPr="003752B7" w:rsidRDefault="003752B7" w:rsidP="003752B7">
            <w:pPr>
              <w:rPr>
                <w:b/>
                <w:bCs/>
              </w:rPr>
            </w:pPr>
            <w:r w:rsidRPr="003752B7">
              <w:rPr>
                <w:b/>
                <w:bCs/>
              </w:rPr>
              <w:t>Kč bez DPH</w:t>
            </w:r>
          </w:p>
        </w:tc>
        <w:tc>
          <w:tcPr>
            <w:tcW w:w="1465" w:type="dxa"/>
            <w:hideMark/>
          </w:tcPr>
          <w:p w14:paraId="1FF66728" w14:textId="77777777" w:rsidR="003752B7" w:rsidRPr="003752B7" w:rsidRDefault="003752B7" w:rsidP="003752B7">
            <w:pPr>
              <w:rPr>
                <w:b/>
                <w:bCs/>
              </w:rPr>
            </w:pPr>
            <w:r w:rsidRPr="003752B7">
              <w:rPr>
                <w:b/>
                <w:bCs/>
              </w:rPr>
              <w:t>Kč včetně DPH</w:t>
            </w:r>
          </w:p>
        </w:tc>
      </w:tr>
      <w:tr w:rsidR="00D9196C" w:rsidRPr="003752B7" w14:paraId="538A2A78" w14:textId="77777777" w:rsidTr="00D9196C">
        <w:trPr>
          <w:trHeight w:val="2902"/>
        </w:trPr>
        <w:tc>
          <w:tcPr>
            <w:tcW w:w="577" w:type="dxa"/>
            <w:noWrap/>
            <w:hideMark/>
          </w:tcPr>
          <w:p w14:paraId="4B8D97EA" w14:textId="77777777" w:rsidR="003752B7" w:rsidRPr="003752B7" w:rsidRDefault="003752B7"/>
        </w:tc>
        <w:tc>
          <w:tcPr>
            <w:tcW w:w="1261" w:type="dxa"/>
            <w:hideMark/>
          </w:tcPr>
          <w:p w14:paraId="1209BF7B" w14:textId="77777777" w:rsidR="003752B7" w:rsidRPr="003752B7" w:rsidRDefault="003752B7" w:rsidP="003752B7">
            <w:r w:rsidRPr="003752B7">
              <w:t>V08CA10</w:t>
            </w:r>
          </w:p>
        </w:tc>
        <w:tc>
          <w:tcPr>
            <w:tcW w:w="2126" w:type="dxa"/>
            <w:hideMark/>
          </w:tcPr>
          <w:p w14:paraId="1B039280" w14:textId="77777777" w:rsidR="003752B7" w:rsidRPr="003752B7" w:rsidRDefault="003752B7" w:rsidP="003752B7">
            <w:proofErr w:type="spellStart"/>
            <w:r w:rsidRPr="003752B7">
              <w:t>Hepatospecifická</w:t>
            </w:r>
            <w:proofErr w:type="spellEnd"/>
            <w:r w:rsidRPr="003752B7">
              <w:t xml:space="preserve"> paramagnetická kontrastní látka - </w:t>
            </w:r>
            <w:proofErr w:type="spellStart"/>
            <w:proofErr w:type="gramStart"/>
            <w:r w:rsidRPr="003752B7">
              <w:t>i.v</w:t>
            </w:r>
            <w:proofErr w:type="spellEnd"/>
            <w:r w:rsidRPr="003752B7">
              <w:t>.</w:t>
            </w:r>
            <w:proofErr w:type="gramEnd"/>
            <w:r w:rsidRPr="003752B7">
              <w:t xml:space="preserve"> roztok s obsahem účinné látky </w:t>
            </w:r>
            <w:proofErr w:type="spellStart"/>
            <w:r w:rsidRPr="003752B7">
              <w:t>dinatrii</w:t>
            </w:r>
            <w:proofErr w:type="spellEnd"/>
            <w:r w:rsidRPr="003752B7">
              <w:t xml:space="preserve"> </w:t>
            </w:r>
            <w:proofErr w:type="spellStart"/>
            <w:r w:rsidRPr="003752B7">
              <w:t>gadoxetas</w:t>
            </w:r>
            <w:proofErr w:type="spellEnd"/>
            <w:r w:rsidRPr="003752B7">
              <w:t xml:space="preserve"> o koncentraci </w:t>
            </w:r>
            <w:proofErr w:type="spellStart"/>
            <w:r w:rsidRPr="003752B7">
              <w:t>přibl</w:t>
            </w:r>
            <w:proofErr w:type="spellEnd"/>
            <w:r w:rsidRPr="003752B7">
              <w:t xml:space="preserve">. 180 mg/ml </w:t>
            </w:r>
          </w:p>
        </w:tc>
        <w:tc>
          <w:tcPr>
            <w:tcW w:w="993" w:type="dxa"/>
            <w:hideMark/>
          </w:tcPr>
          <w:p w14:paraId="7317F08B" w14:textId="77777777" w:rsidR="003752B7" w:rsidRPr="003752B7" w:rsidRDefault="003752B7">
            <w:proofErr w:type="spellStart"/>
            <w:r w:rsidRPr="003752B7">
              <w:t>Dinatrii</w:t>
            </w:r>
            <w:proofErr w:type="spellEnd"/>
            <w:r w:rsidRPr="003752B7">
              <w:t xml:space="preserve"> </w:t>
            </w:r>
            <w:proofErr w:type="spellStart"/>
            <w:r w:rsidRPr="003752B7">
              <w:t>gadoxetas</w:t>
            </w:r>
            <w:proofErr w:type="spellEnd"/>
            <w:r w:rsidRPr="003752B7">
              <w:t xml:space="preserve"> 181,43 mg v 1 ml injekčního roztoku</w:t>
            </w:r>
          </w:p>
        </w:tc>
        <w:tc>
          <w:tcPr>
            <w:tcW w:w="1098" w:type="dxa"/>
            <w:hideMark/>
          </w:tcPr>
          <w:p w14:paraId="7873FF9A" w14:textId="77777777" w:rsidR="003752B7" w:rsidRPr="003752B7" w:rsidRDefault="003752B7" w:rsidP="003752B7">
            <w:r w:rsidRPr="003752B7">
              <w:t>181,43</w:t>
            </w:r>
          </w:p>
        </w:tc>
        <w:tc>
          <w:tcPr>
            <w:tcW w:w="870" w:type="dxa"/>
            <w:hideMark/>
          </w:tcPr>
          <w:p w14:paraId="1521A192" w14:textId="77777777" w:rsidR="003752B7" w:rsidRPr="003752B7" w:rsidRDefault="003752B7" w:rsidP="003752B7">
            <w:r w:rsidRPr="003752B7">
              <w:t>10</w:t>
            </w:r>
          </w:p>
        </w:tc>
        <w:tc>
          <w:tcPr>
            <w:tcW w:w="1061" w:type="dxa"/>
            <w:hideMark/>
          </w:tcPr>
          <w:p w14:paraId="464023CC" w14:textId="77777777" w:rsidR="003752B7" w:rsidRPr="003752B7" w:rsidRDefault="003752B7" w:rsidP="003752B7">
            <w:r w:rsidRPr="003752B7">
              <w:t>1600</w:t>
            </w:r>
          </w:p>
        </w:tc>
        <w:tc>
          <w:tcPr>
            <w:tcW w:w="1199" w:type="dxa"/>
            <w:noWrap/>
            <w:hideMark/>
          </w:tcPr>
          <w:p w14:paraId="25AA2712" w14:textId="77777777" w:rsidR="003752B7" w:rsidRPr="003752B7" w:rsidRDefault="003752B7" w:rsidP="003752B7">
            <w:r w:rsidRPr="003752B7">
              <w:t>223189, 223170</w:t>
            </w:r>
          </w:p>
        </w:tc>
        <w:tc>
          <w:tcPr>
            <w:tcW w:w="1065" w:type="dxa"/>
            <w:hideMark/>
          </w:tcPr>
          <w:p w14:paraId="0BA9AED7" w14:textId="77777777" w:rsidR="003752B7" w:rsidRPr="003752B7" w:rsidRDefault="003752B7" w:rsidP="003752B7">
            <w:r w:rsidRPr="003752B7">
              <w:t>3152,2</w:t>
            </w:r>
          </w:p>
        </w:tc>
        <w:tc>
          <w:tcPr>
            <w:tcW w:w="1202" w:type="dxa"/>
            <w:hideMark/>
          </w:tcPr>
          <w:p w14:paraId="07A524A8" w14:textId="77777777" w:rsidR="003752B7" w:rsidRPr="003752B7" w:rsidRDefault="003752B7" w:rsidP="003752B7">
            <w:r w:rsidRPr="003752B7">
              <w:t>3467,42</w:t>
            </w:r>
          </w:p>
        </w:tc>
        <w:tc>
          <w:tcPr>
            <w:tcW w:w="1598" w:type="dxa"/>
            <w:hideMark/>
          </w:tcPr>
          <w:p w14:paraId="657BFD7F" w14:textId="77777777" w:rsidR="003752B7" w:rsidRPr="003752B7" w:rsidRDefault="003752B7" w:rsidP="003752B7">
            <w:r w:rsidRPr="003752B7">
              <w:t>5043520</w:t>
            </w:r>
          </w:p>
        </w:tc>
        <w:tc>
          <w:tcPr>
            <w:tcW w:w="1465" w:type="dxa"/>
            <w:hideMark/>
          </w:tcPr>
          <w:p w14:paraId="60B8E161" w14:textId="77777777" w:rsidR="003752B7" w:rsidRPr="003752B7" w:rsidRDefault="003752B7" w:rsidP="003752B7">
            <w:r w:rsidRPr="003752B7">
              <w:t>5547872</w:t>
            </w:r>
          </w:p>
        </w:tc>
      </w:tr>
      <w:tr w:rsidR="003752B7" w:rsidRPr="003752B7" w14:paraId="5E9AA592" w14:textId="77777777" w:rsidTr="00D9196C">
        <w:trPr>
          <w:trHeight w:val="305"/>
        </w:trPr>
        <w:tc>
          <w:tcPr>
            <w:tcW w:w="11452" w:type="dxa"/>
            <w:gridSpan w:val="10"/>
            <w:noWrap/>
            <w:hideMark/>
          </w:tcPr>
          <w:p w14:paraId="768C2F1B" w14:textId="77777777" w:rsidR="003752B7" w:rsidRPr="003752B7" w:rsidRDefault="003752B7" w:rsidP="003752B7">
            <w:pPr>
              <w:rPr>
                <w:b/>
                <w:bCs/>
              </w:rPr>
            </w:pPr>
            <w:r w:rsidRPr="003752B7">
              <w:rPr>
                <w:b/>
                <w:bCs/>
              </w:rPr>
              <w:t>Nabídková cena (součet za všechny položky):</w:t>
            </w:r>
          </w:p>
        </w:tc>
        <w:tc>
          <w:tcPr>
            <w:tcW w:w="1598" w:type="dxa"/>
            <w:noWrap/>
            <w:hideMark/>
          </w:tcPr>
          <w:p w14:paraId="7AF82620" w14:textId="77777777" w:rsidR="003752B7" w:rsidRPr="003752B7" w:rsidRDefault="003752B7" w:rsidP="003752B7">
            <w:pPr>
              <w:rPr>
                <w:b/>
                <w:bCs/>
              </w:rPr>
            </w:pPr>
            <w:r w:rsidRPr="003752B7">
              <w:rPr>
                <w:b/>
                <w:bCs/>
              </w:rPr>
              <w:t>5 043 520,00</w:t>
            </w:r>
          </w:p>
        </w:tc>
        <w:tc>
          <w:tcPr>
            <w:tcW w:w="1465" w:type="dxa"/>
            <w:noWrap/>
            <w:hideMark/>
          </w:tcPr>
          <w:p w14:paraId="1CDB9BA1" w14:textId="77777777" w:rsidR="003752B7" w:rsidRPr="003752B7" w:rsidRDefault="003752B7" w:rsidP="003752B7">
            <w:pPr>
              <w:rPr>
                <w:b/>
                <w:bCs/>
              </w:rPr>
            </w:pPr>
            <w:r w:rsidRPr="003752B7">
              <w:rPr>
                <w:b/>
                <w:bCs/>
              </w:rPr>
              <w:t> </w:t>
            </w:r>
          </w:p>
        </w:tc>
      </w:tr>
    </w:tbl>
    <w:p w14:paraId="62F78FC4" w14:textId="77777777" w:rsidR="00AA34DF" w:rsidRDefault="00AA34DF" w:rsidP="00023008"/>
    <w:sectPr w:rsidR="00AA34DF" w:rsidSect="003752B7">
      <w:pgSz w:w="16838" w:h="11906" w:orient="landscape"/>
      <w:pgMar w:top="902" w:right="1418" w:bottom="92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E03C3D" w16cid:durableId="2492C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E7B7" w14:textId="77777777" w:rsidR="00EE44D9" w:rsidRDefault="00EE44D9" w:rsidP="006337DC">
      <w:r>
        <w:separator/>
      </w:r>
    </w:p>
  </w:endnote>
  <w:endnote w:type="continuationSeparator" w:id="0">
    <w:p w14:paraId="4FC23A40" w14:textId="77777777" w:rsidR="00EE44D9" w:rsidRDefault="00EE44D9" w:rsidP="006337DC">
      <w:r>
        <w:continuationSeparator/>
      </w:r>
    </w:p>
  </w:endnote>
  <w:endnote w:type="continuationNotice" w:id="1">
    <w:p w14:paraId="11812FF8" w14:textId="77777777" w:rsidR="00191B13" w:rsidRDefault="00191B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F016" w14:textId="77777777" w:rsidR="001254CB" w:rsidRDefault="001254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074AF313" w:rsidR="001B5F9C" w:rsidRPr="00150F89" w:rsidRDefault="001254CB" w:rsidP="00150F89">
    <w:pPr>
      <w:pStyle w:val="Zpat"/>
      <w:jc w:val="center"/>
      <w:rPr>
        <w:sz w:val="20"/>
        <w:szCs w:val="20"/>
      </w:rPr>
    </w:pPr>
    <w:r>
      <w:rPr>
        <w:noProof/>
        <w:sz w:val="20"/>
        <w:szCs w:val="20"/>
      </w:rPr>
      <mc:AlternateContent>
        <mc:Choice Requires="wps">
          <w:drawing>
            <wp:anchor distT="0" distB="0" distL="114300" distR="114300" simplePos="0" relativeHeight="251658240" behindDoc="0" locked="0" layoutInCell="0" allowOverlap="1" wp14:anchorId="13152B8B" wp14:editId="3B924B83">
              <wp:simplePos x="0" y="0"/>
              <wp:positionH relativeFrom="page">
                <wp:posOffset>0</wp:posOffset>
              </wp:positionH>
              <wp:positionV relativeFrom="page">
                <wp:posOffset>10125075</wp:posOffset>
              </wp:positionV>
              <wp:extent cx="7560310" cy="375920"/>
              <wp:effectExtent l="0" t="0" r="0" b="5080"/>
              <wp:wrapNone/>
              <wp:docPr id="1" name="MSIPCM12c44e64986f4a1103292b63"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EED60" w14:textId="12FE8F92" w:rsidR="001254CB" w:rsidRPr="001254CB" w:rsidRDefault="001254CB" w:rsidP="001254CB">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3152B8B" id="_x0000_t202" coordsize="21600,21600" o:spt="202" path="m,l,21600r21600,l21600,xe">
              <v:stroke joinstyle="miter"/>
              <v:path gradientshapeok="t" o:connecttype="rect"/>
            </v:shapetype>
            <v:shape id="MSIPCM12c44e64986f4a1103292b63" o:spid="_x0000_s1026" type="#_x0000_t202" alt="{&quot;HashCode&quot;:-242339457,&quot;Height&quot;:841.0,&quot;Width&quot;:595.0,&quot;Placement&quot;:&quot;Footer&quot;,&quot;Index&quot;:&quot;Primary&quot;,&quot;Section&quot;:1,&quot;Top&quot;:0.0,&quot;Left&quot;:0.0}" style="position:absolute;left:0;text-align:left;margin-left:0;margin-top:797.25pt;width:595.3pt;height:29.6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" o:allowincell="f" filled="f" stroked="f" strokeweight=".5pt">
              <v:textbox inset=",0,20pt,0">
                <w:txbxContent>
                  <w:p w14:paraId="3B8EED60" w14:textId="12FE8F92" w:rsidR="001254CB" w:rsidRPr="001254CB" w:rsidRDefault="001254CB" w:rsidP="001254CB">
                    <w:pPr>
                      <w:jc w:val="right"/>
                      <w:rPr>
                        <w:rFonts w:ascii="Calibri" w:hAnsi="Calibri" w:cs="Calibri"/>
                        <w:color w:val="FF8939"/>
                        <w:sz w:val="44"/>
                      </w:rPr>
                    </w:pPr>
                  </w:p>
                </w:txbxContent>
              </v:textbox>
              <w10:wrap anchorx="page" anchory="page"/>
            </v:shape>
          </w:pict>
        </mc:Fallback>
      </mc:AlternateContent>
    </w:r>
    <w:r w:rsidR="001B5F9C" w:rsidRPr="00150F89">
      <w:rPr>
        <w:sz w:val="20"/>
        <w:szCs w:val="20"/>
      </w:rPr>
      <w:fldChar w:fldCharType="begin"/>
    </w:r>
    <w:r w:rsidR="001B5F9C" w:rsidRPr="00150F89">
      <w:rPr>
        <w:sz w:val="20"/>
        <w:szCs w:val="20"/>
      </w:rPr>
      <w:instrText>PAGE   \* MERGEFORMAT</w:instrText>
    </w:r>
    <w:r w:rsidR="001B5F9C" w:rsidRPr="00150F89">
      <w:rPr>
        <w:sz w:val="20"/>
        <w:szCs w:val="20"/>
      </w:rPr>
      <w:fldChar w:fldCharType="separate"/>
    </w:r>
    <w:r w:rsidR="0049424F">
      <w:rPr>
        <w:noProof/>
        <w:sz w:val="20"/>
        <w:szCs w:val="20"/>
      </w:rPr>
      <w:t>9</w:t>
    </w:r>
    <w:r w:rsidR="001B5F9C"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1905B638" w:rsidR="001B5F9C" w:rsidRDefault="001254CB">
    <w:pPr>
      <w:pStyle w:val="Zpat"/>
      <w:jc w:val="center"/>
    </w:pPr>
    <w:r>
      <w:rPr>
        <w:noProof/>
      </w:rPr>
      <mc:AlternateContent>
        <mc:Choice Requires="wps">
          <w:drawing>
            <wp:anchor distT="0" distB="0" distL="114300" distR="114300" simplePos="0" relativeHeight="251658241" behindDoc="0" locked="0" layoutInCell="0" allowOverlap="1" wp14:anchorId="24647CFB" wp14:editId="15DBAB74">
              <wp:simplePos x="0" y="0"/>
              <wp:positionH relativeFrom="page">
                <wp:posOffset>0</wp:posOffset>
              </wp:positionH>
              <wp:positionV relativeFrom="page">
                <wp:posOffset>10125075</wp:posOffset>
              </wp:positionV>
              <wp:extent cx="7560310" cy="375920"/>
              <wp:effectExtent l="0" t="0" r="0" b="5080"/>
              <wp:wrapNone/>
              <wp:docPr id="2" name="MSIPCMaf9b4abebbda8785b491de8b" descr="{&quot;HashCode&quot;:-24233945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05C1E6" w14:textId="4AD69022" w:rsidR="001254CB" w:rsidRPr="001254CB" w:rsidRDefault="001254CB" w:rsidP="001254CB">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4647CFB" id="_x0000_t202" coordsize="21600,21600" o:spt="202" path="m,l,21600r21600,l21600,xe">
              <v:stroke joinstyle="miter"/>
              <v:path gradientshapeok="t" o:connecttype="rect"/>
            </v:shapetype>
            <v:shape id="MSIPCMaf9b4abebbda8785b491de8b" o:spid="_x0000_s1027" type="#_x0000_t202" alt="{&quot;HashCode&quot;:-242339457,&quot;Height&quot;:841.0,&quot;Width&quot;:595.0,&quot;Placement&quot;:&quot;Footer&quot;,&quot;Index&quot;:&quot;FirstPage&quot;,&quot;Section&quot;:1,&quot;Top&quot;:0.0,&quot;Left&quot;:0.0}" style="position:absolute;left:0;text-align:left;margin-left:0;margin-top:797.25pt;width:595.3pt;height:29.6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" o:allowincell="f" filled="f" stroked="f" strokeweight=".5pt">
              <v:textbox inset=",0,20pt,0">
                <w:txbxContent>
                  <w:p w14:paraId="4505C1E6" w14:textId="4AD69022" w:rsidR="001254CB" w:rsidRPr="001254CB" w:rsidRDefault="001254CB" w:rsidP="001254CB">
                    <w:pPr>
                      <w:jc w:val="right"/>
                      <w:rPr>
                        <w:rFonts w:ascii="Calibri" w:hAnsi="Calibri" w:cs="Calibri"/>
                        <w:color w:val="FF8939"/>
                        <w:sz w:val="44"/>
                      </w:rPr>
                    </w:pPr>
                  </w:p>
                </w:txbxContent>
              </v:textbox>
              <w10:wrap anchorx="page" anchory="page"/>
            </v:shape>
          </w:pict>
        </mc:Fallback>
      </mc:AlternateContent>
    </w:r>
    <w:r w:rsidR="001B5F9C">
      <w:fldChar w:fldCharType="begin"/>
    </w:r>
    <w:r w:rsidR="001B5F9C">
      <w:instrText>PAGE   \* MERGEFORMAT</w:instrText>
    </w:r>
    <w:r w:rsidR="001B5F9C">
      <w:fldChar w:fldCharType="separate"/>
    </w:r>
    <w:r w:rsidR="0049424F">
      <w:rPr>
        <w:noProof/>
      </w:rPr>
      <w:t>10</w:t>
    </w:r>
    <w:r w:rsidR="001B5F9C">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2212A" w14:textId="77777777" w:rsidR="00EE44D9" w:rsidRDefault="00EE44D9" w:rsidP="006337DC">
      <w:r>
        <w:separator/>
      </w:r>
    </w:p>
  </w:footnote>
  <w:footnote w:type="continuationSeparator" w:id="0">
    <w:p w14:paraId="75C61A75" w14:textId="77777777" w:rsidR="00EE44D9" w:rsidRDefault="00EE44D9" w:rsidP="006337DC">
      <w:r>
        <w:continuationSeparator/>
      </w:r>
    </w:p>
  </w:footnote>
  <w:footnote w:type="continuationNotice" w:id="1">
    <w:p w14:paraId="468F4294" w14:textId="77777777" w:rsidR="00191B13" w:rsidRDefault="00191B13">
      <w:pPr>
        <w:spacing w:line="240" w:lineRule="auto"/>
      </w:pPr>
    </w:p>
  </w:footnote>
  <w:footnote w:id="2">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FD4A" w14:textId="77777777" w:rsidR="001254CB" w:rsidRDefault="001254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1412" w14:textId="77777777" w:rsidR="001254CB" w:rsidRDefault="001254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8D63" w14:textId="77777777" w:rsidR="001254CB" w:rsidRDefault="001254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AF5"/>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4752"/>
    <w:rsid w:val="00116BD7"/>
    <w:rsid w:val="001254CB"/>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1B13"/>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077E0"/>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738B6"/>
    <w:rsid w:val="00286EBA"/>
    <w:rsid w:val="00286F30"/>
    <w:rsid w:val="00290F5B"/>
    <w:rsid w:val="0029236A"/>
    <w:rsid w:val="002959B0"/>
    <w:rsid w:val="00297B45"/>
    <w:rsid w:val="00297F3A"/>
    <w:rsid w:val="002A5831"/>
    <w:rsid w:val="002B1098"/>
    <w:rsid w:val="002B68E8"/>
    <w:rsid w:val="002C0743"/>
    <w:rsid w:val="002C243A"/>
    <w:rsid w:val="002C48F4"/>
    <w:rsid w:val="002C5407"/>
    <w:rsid w:val="002D0792"/>
    <w:rsid w:val="002D0C5E"/>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67BB6"/>
    <w:rsid w:val="00371230"/>
    <w:rsid w:val="003752B7"/>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3A10"/>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24F"/>
    <w:rsid w:val="00494744"/>
    <w:rsid w:val="004953EF"/>
    <w:rsid w:val="004A45B0"/>
    <w:rsid w:val="004A7901"/>
    <w:rsid w:val="004B05E8"/>
    <w:rsid w:val="004B1019"/>
    <w:rsid w:val="004B49FA"/>
    <w:rsid w:val="004C2C98"/>
    <w:rsid w:val="004C679C"/>
    <w:rsid w:val="004C6EC3"/>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26D7"/>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63FB2"/>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706E7C"/>
    <w:rsid w:val="0070760F"/>
    <w:rsid w:val="00711929"/>
    <w:rsid w:val="0071208E"/>
    <w:rsid w:val="0071282A"/>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6F3D"/>
    <w:rsid w:val="008470BF"/>
    <w:rsid w:val="00851E34"/>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02D1A"/>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052F"/>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360"/>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47BA"/>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23FBD"/>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196C"/>
    <w:rsid w:val="00D930BD"/>
    <w:rsid w:val="00D93C52"/>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0DCE"/>
    <w:rsid w:val="00EA1A12"/>
    <w:rsid w:val="00EA1F0E"/>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C2B40"/>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bc43322-b630-4bac-8b27-31def233d1d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cd7b958b-fa2e-4411-aa4a-be48f3b4de32">3XSCR6SUTTDT-1537098953-175212</_dlc_DocId>
    <_dlc_DocIdUrl xmlns="cd7b958b-fa2e-4411-aa4a-be48f3b4de32">
      <Url>https://bayergroup.sharepoint.com/sites/022776/_layouts/15/DocIdRedir.aspx?ID=3XSCR6SUTTDT-1537098953-175212</Url>
      <Description>3XSCR6SUTTDT-1537098953-175212</Description>
    </_dlc_DocIdUrl>
    <TaxCatchAll xmlns="1a4d292e-883c-434b-96e3-060cfff16c86"/>
    <_dlc_ExpireDateSaved xmlns="http://schemas.microsoft.com/sharepoint/v3" xsi:nil="true"/>
    <_dlc_ExpireDate xmlns="http://schemas.microsoft.com/sharepoint/v3" xsi:nil="true"/>
    <_dlc_Exempt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DF582AE19E72419A2C3D937B32FFB5" ma:contentTypeVersion="19" ma:contentTypeDescription="Create a new document." ma:contentTypeScope="" ma:versionID="be90305ab6df9e31df2e776b40542872">
  <xsd:schema xmlns:xsd="http://www.w3.org/2001/XMLSchema" xmlns:xs="http://www.w3.org/2001/XMLSchema" xmlns:p="http://schemas.microsoft.com/office/2006/metadata/properties" xmlns:ns1="http://schemas.microsoft.com/sharepoint/v3" xmlns:ns2="1a4d292e-883c-434b-96e3-060cfff16c86" xmlns:ns3="53e1333a-39cc-4c23-a033-b0cfccf13ddd" xmlns:ns4="cd7b958b-fa2e-4411-aa4a-be48f3b4de32" targetNamespace="http://schemas.microsoft.com/office/2006/metadata/properties" ma:root="true" ma:fieldsID="0cf1d5f371ff59e04070efd8c55ed0de" ns1:_="" ns2:_="" ns3:_="" ns4:_="">
    <xsd:import namespace="http://schemas.microsoft.com/sharepoint/v3"/>
    <xsd:import namespace="1a4d292e-883c-434b-96e3-060cfff16c86"/>
    <xsd:import namespace="53e1333a-39cc-4c23-a033-b0cfccf13ddd"/>
    <xsd:import namespace="cd7b958b-fa2e-4411-aa4a-be48f3b4de32"/>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4:_dlc_DocId" minOccurs="0"/>
                <xsd:element ref="ns4:_dlc_DocIdUrl" minOccurs="0"/>
                <xsd:element ref="ns4: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aa9e7a-a5de-47b5-aea5-cdf7bd951aed}" ma:internalName="TaxCatchAll" ma:showField="CatchAllData" ma:web="cd7b958b-fa2e-4411-aa4a-be48f3b4de3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aa9e7a-a5de-47b5-aea5-cdf7bd951aed}" ma:internalName="TaxCatchAllLabel" ma:readOnly="true" ma:showField="CatchAllDataLabel" ma:web="cd7b958b-fa2e-4411-aa4a-be48f3b4de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e1333a-39cc-4c23-a033-b0cfccf13dd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b958b-fa2e-4411-aa4a-be48f3b4de3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1FE3-CA1A-4D03-A933-B97108620349}">
  <ds:schemaRefs>
    <ds:schemaRef ds:uri="Microsoft.SharePoint.Taxonomy.ContentTypeSync"/>
  </ds:schemaRefs>
</ds:datastoreItem>
</file>

<file path=customXml/itemProps2.xml><?xml version="1.0" encoding="utf-8"?>
<ds:datastoreItem xmlns:ds="http://schemas.openxmlformats.org/officeDocument/2006/customXml" ds:itemID="{961F45F9-6D3E-4C84-9C0A-22792AD54727}">
  <ds:schemaRefs>
    <ds:schemaRef ds:uri="53e1333a-39cc-4c23-a033-b0cfccf13ddd"/>
    <ds:schemaRef ds:uri="http://schemas.microsoft.com/sharepoint/v3"/>
    <ds:schemaRef ds:uri="http://purl.org/dc/terms/"/>
    <ds:schemaRef ds:uri="1a4d292e-883c-434b-96e3-060cfff16c86"/>
    <ds:schemaRef ds:uri="http://schemas.microsoft.com/office/2006/documentManagement/types"/>
    <ds:schemaRef ds:uri="http://schemas.microsoft.com/office/infopath/2007/PartnerControls"/>
    <ds:schemaRef ds:uri="cd7b958b-fa2e-4411-aa4a-be48f3b4de3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5DFB1AD9-648F-4B7A-8E84-50AFA31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53e1333a-39cc-4c23-a033-b0cfccf13ddd"/>
    <ds:schemaRef ds:uri="cd7b958b-fa2e-4411-aa4a-be48f3b4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A58106-3BC8-491A-AA7E-0E3475761D0A}">
  <ds:schemaRefs>
    <ds:schemaRef ds:uri="http://schemas.microsoft.com/sharepoint/events"/>
  </ds:schemaRefs>
</ds:datastoreItem>
</file>

<file path=customXml/itemProps6.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7.xml><?xml version="1.0" encoding="utf-8"?>
<ds:datastoreItem xmlns:ds="http://schemas.openxmlformats.org/officeDocument/2006/customXml" ds:itemID="{2BD6727C-CAEF-4EFB-82DB-4AEB7B28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3964</Words>
  <Characters>22588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6</cp:revision>
  <cp:lastPrinted>2020-12-17T09:44:00Z</cp:lastPrinted>
  <dcterms:created xsi:type="dcterms:W3CDTF">2021-07-13T10:18:00Z</dcterms:created>
  <dcterms:modified xsi:type="dcterms:W3CDTF">2021-10-01T10:17:00Z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Url">
    <vt:lpwstr>http://vis/c012/WebVZVZ/_layouts/15/DocIdRedir.aspx?ID=2DWAXVAW3MHF-1541-9, 2DWAXVAW3MHF-1541-9</vt:lpwstr>
  </property>
  <property fmtid="{D5CDD505-2E9C-101B-9397-08002B2CF9AE}" pid="4" name="ContentTypeId">
    <vt:lpwstr>0x010100F8DF582AE19E72419A2C3D937B32FFB5</vt:lpwstr>
  </property>
  <property fmtid="{D5CDD505-2E9C-101B-9397-08002B2CF9AE}" pid="5" name="MSIP_Label_7f850223-87a8-40c3-9eb2-432606efca2a_Enabled">
    <vt:lpwstr>True</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Owner">
    <vt:lpwstr>nada.kravarova@bayer.com</vt:lpwstr>
  </property>
  <property fmtid="{D5CDD505-2E9C-101B-9397-08002B2CF9AE}" pid="8" name="MSIP_Label_7f850223-87a8-40c3-9eb2-432606efca2a_SetDate">
    <vt:lpwstr>2021-07-09T10:45:20.0907082Z</vt:lpwstr>
  </property>
  <property fmtid="{D5CDD505-2E9C-101B-9397-08002B2CF9AE}" pid="9" name="MSIP_Label_7f850223-87a8-40c3-9eb2-432606efca2a_Name">
    <vt:lpwstr>NO CLASSIFICATION</vt:lpwstr>
  </property>
  <property fmtid="{D5CDD505-2E9C-101B-9397-08002B2CF9AE}" pid="10" name="MSIP_Label_7f850223-87a8-40c3-9eb2-432606efca2a_Application">
    <vt:lpwstr>Microsoft Azure Information Protection</vt:lpwstr>
  </property>
  <property fmtid="{D5CDD505-2E9C-101B-9397-08002B2CF9AE}" pid="11" name="MSIP_Label_7f850223-87a8-40c3-9eb2-432606efca2a_Extended_MSFT_Method">
    <vt:lpwstr>Manual</vt:lpwstr>
  </property>
  <property fmtid="{D5CDD505-2E9C-101B-9397-08002B2CF9AE}" pid="12" name="Sensitivity">
    <vt:lpwstr>NO CLASSIFICATION</vt:lpwstr>
  </property>
  <property fmtid="{D5CDD505-2E9C-101B-9397-08002B2CF9AE}" pid="13" name="_dlc_DocIdItemGuid">
    <vt:lpwstr>ce21ec85-0ca0-4a33-a074-307c8cd5a371</vt:lpwstr>
  </property>
</Properties>
</file>