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4F" w:rsidRPr="00E14BD2" w:rsidRDefault="0078194F" w:rsidP="0078194F">
      <w:pPr>
        <w:pStyle w:val="Nzev"/>
        <w:ind w:left="1416" w:firstLine="708"/>
        <w:rPr>
          <w:rFonts w:ascii="Segoe UI" w:hAnsi="Segoe UI" w:cs="Segoe UI"/>
          <w:b/>
          <w:sz w:val="40"/>
          <w:szCs w:val="40"/>
        </w:rPr>
      </w:pPr>
      <w:r w:rsidRPr="00E14BD2">
        <w:rPr>
          <w:rFonts w:ascii="Segoe UI" w:hAnsi="Segoe UI" w:cs="Segoe UI"/>
          <w:b/>
          <w:sz w:val="40"/>
          <w:szCs w:val="40"/>
        </w:rPr>
        <w:t>Dohoda o spolupráci</w:t>
      </w:r>
    </w:p>
    <w:p w:rsidR="0078194F" w:rsidRPr="00E14BD2" w:rsidRDefault="0078194F" w:rsidP="0078194F">
      <w:p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:rsidR="0078194F" w:rsidRPr="00E14BD2" w:rsidRDefault="0078194F" w:rsidP="0078194F">
      <w:pPr>
        <w:jc w:val="center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widowControl w:val="0"/>
        <w:numPr>
          <w:ilvl w:val="0"/>
          <w:numId w:val="1"/>
        </w:numPr>
        <w:tabs>
          <w:tab w:val="num" w:pos="360"/>
        </w:tabs>
        <w:ind w:left="360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b/>
          <w:snapToGrid w:val="0"/>
          <w:sz w:val="22"/>
          <w:szCs w:val="22"/>
        </w:rPr>
        <w:t>Národní divadlo Brno, příspěvková organizace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se sídlem Dvořákova 11, 657 70 Brno</w:t>
      </w:r>
    </w:p>
    <w:p w:rsidR="0078194F" w:rsidRPr="00E14BD2" w:rsidRDefault="0078194F" w:rsidP="0078194F">
      <w:pPr>
        <w:widowControl w:val="0"/>
        <w:tabs>
          <w:tab w:val="left" w:pos="5835"/>
        </w:tabs>
        <w:ind w:firstLine="360"/>
        <w:rPr>
          <w:rFonts w:ascii="Segoe UI" w:hAnsi="Segoe UI" w:cs="Segoe UI"/>
          <w:snapToGrid w:val="0"/>
          <w:color w:val="FF000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zastoupené ředitelem </w:t>
      </w:r>
      <w:proofErr w:type="spellStart"/>
      <w:r w:rsidRPr="00E14BD2">
        <w:rPr>
          <w:rFonts w:ascii="Segoe UI" w:hAnsi="Segoe UI" w:cs="Segoe UI"/>
          <w:snapToGrid w:val="0"/>
          <w:sz w:val="22"/>
          <w:szCs w:val="22"/>
        </w:rPr>
        <w:t>MgA</w:t>
      </w:r>
      <w:proofErr w:type="spellEnd"/>
      <w:r w:rsidRPr="00E14BD2">
        <w:rPr>
          <w:rFonts w:ascii="Segoe UI" w:hAnsi="Segoe UI" w:cs="Segoe UI"/>
          <w:snapToGrid w:val="0"/>
          <w:sz w:val="22"/>
          <w:szCs w:val="22"/>
        </w:rPr>
        <w:t>. Martinem Glaserem</w:t>
      </w:r>
      <w:r w:rsidRPr="00E14BD2"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IČ: 00094820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D</w:t>
      </w:r>
      <w:r w:rsidRPr="00E14BD2">
        <w:rPr>
          <w:rFonts w:ascii="Segoe UI" w:hAnsi="Segoe UI" w:cs="Segoe UI"/>
          <w:sz w:val="22"/>
          <w:szCs w:val="22"/>
        </w:rPr>
        <w:t>IČ: CZ00094820</w:t>
      </w:r>
    </w:p>
    <w:p w:rsidR="0078194F" w:rsidRPr="00E14BD2" w:rsidRDefault="0078194F" w:rsidP="0078194F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Příspěvková organizace je zapsána v obchodním rejstříku vedeném Krajským soudem v Brně, oddíl </w:t>
      </w:r>
      <w:proofErr w:type="spellStart"/>
      <w:r w:rsidRPr="00E14BD2">
        <w:rPr>
          <w:rFonts w:ascii="Segoe UI" w:hAnsi="Segoe UI" w:cs="Segoe UI"/>
          <w:sz w:val="22"/>
          <w:szCs w:val="22"/>
        </w:rPr>
        <w:t>Pr</w:t>
      </w:r>
      <w:proofErr w:type="spellEnd"/>
      <w:r w:rsidRPr="00E14BD2">
        <w:rPr>
          <w:rFonts w:ascii="Segoe UI" w:hAnsi="Segoe UI" w:cs="Segoe UI"/>
          <w:sz w:val="22"/>
          <w:szCs w:val="22"/>
        </w:rPr>
        <w:t>, vložka 30</w:t>
      </w:r>
    </w:p>
    <w:p w:rsidR="0078194F" w:rsidRPr="00E14BD2" w:rsidRDefault="0078194F" w:rsidP="0078194F">
      <w:pPr>
        <w:ind w:firstLine="39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Bankovní spojení: </w:t>
      </w:r>
      <w:proofErr w:type="spellStart"/>
      <w:r w:rsidRPr="00E14BD2">
        <w:rPr>
          <w:rFonts w:ascii="Segoe UI" w:hAnsi="Segoe UI" w:cs="Segoe UI"/>
          <w:sz w:val="22"/>
          <w:szCs w:val="22"/>
        </w:rPr>
        <w:t>Unicreditbank</w:t>
      </w:r>
      <w:proofErr w:type="spellEnd"/>
      <w:r w:rsidRPr="00E14BD2">
        <w:rPr>
          <w:rFonts w:ascii="Segoe UI" w:hAnsi="Segoe UI" w:cs="Segoe UI"/>
          <w:sz w:val="22"/>
          <w:szCs w:val="22"/>
        </w:rPr>
        <w:t>, číslo účtu: 2110126623/2700</w:t>
      </w:r>
    </w:p>
    <w:p w:rsidR="0078194F" w:rsidRPr="00E14BD2" w:rsidRDefault="0078194F" w:rsidP="0078194F">
      <w:pPr>
        <w:widowControl w:val="0"/>
        <w:ind w:firstLine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oprávněný zástupce k technickému jednání: Zuzana Žáková, obchodní oddělení</w:t>
      </w:r>
    </w:p>
    <w:p w:rsidR="0078194F" w:rsidRPr="00E14BD2" w:rsidRDefault="0078194F" w:rsidP="0078194F">
      <w:pPr>
        <w:ind w:firstLine="39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(</w:t>
      </w:r>
      <w:r w:rsidRPr="00E14BD2">
        <w:rPr>
          <w:rFonts w:ascii="Segoe UI" w:hAnsi="Segoe UI" w:cs="Segoe UI"/>
          <w:sz w:val="22"/>
          <w:szCs w:val="22"/>
        </w:rPr>
        <w:t>dále také „</w:t>
      </w:r>
      <w:proofErr w:type="spellStart"/>
      <w:r w:rsidRPr="00E14BD2">
        <w:rPr>
          <w:rFonts w:ascii="Segoe UI" w:hAnsi="Segoe UI" w:cs="Segoe UI"/>
          <w:b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>“)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pStyle w:val="Odstavecseseznamem"/>
        <w:widowControl w:val="0"/>
        <w:numPr>
          <w:ilvl w:val="0"/>
          <w:numId w:val="1"/>
        </w:numPr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Centrála cestovního ruchu – Jižní </w:t>
      </w:r>
      <w:proofErr w:type="gramStart"/>
      <w:r w:rsidRPr="00E14BD2">
        <w:rPr>
          <w:rFonts w:ascii="Segoe UI" w:hAnsi="Segoe UI" w:cs="Segoe UI"/>
          <w:b/>
          <w:sz w:val="22"/>
          <w:szCs w:val="22"/>
        </w:rPr>
        <w:t xml:space="preserve">Morava, </w:t>
      </w:r>
      <w:proofErr w:type="spellStart"/>
      <w:r w:rsidRPr="00E14BD2">
        <w:rPr>
          <w:rFonts w:ascii="Segoe UI" w:hAnsi="Segoe UI" w:cs="Segoe UI"/>
          <w:b/>
          <w:sz w:val="22"/>
          <w:szCs w:val="22"/>
        </w:rPr>
        <w:t>z.s.</w:t>
      </w:r>
      <w:proofErr w:type="gramEnd"/>
      <w:r w:rsidRPr="00E14BD2">
        <w:rPr>
          <w:rFonts w:ascii="Segoe UI" w:hAnsi="Segoe UI" w:cs="Segoe UI"/>
          <w:b/>
          <w:sz w:val="22"/>
          <w:szCs w:val="22"/>
        </w:rPr>
        <w:t>p.o</w:t>
      </w:r>
      <w:proofErr w:type="spellEnd"/>
      <w:r w:rsidRPr="00E14BD2">
        <w:rPr>
          <w:rFonts w:ascii="Segoe UI" w:hAnsi="Segoe UI" w:cs="Segoe UI"/>
          <w:b/>
          <w:sz w:val="22"/>
          <w:szCs w:val="22"/>
        </w:rPr>
        <w:t>.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se sídlem Radnická 2, 602 00 Brno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zastoupená ředitelkou Ing. Pavlou Pelánovou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IČ: 75063638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DIČ: CZ75063638</w:t>
      </w:r>
    </w:p>
    <w:p w:rsidR="0078194F" w:rsidRPr="00E14BD2" w:rsidRDefault="0078194F" w:rsidP="0078194F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zapsána ve spolkovém rejstříku vedeném Krajským soudem v Brně, </w:t>
      </w:r>
      <w:proofErr w:type="spellStart"/>
      <w:r w:rsidRPr="00E14BD2">
        <w:rPr>
          <w:rFonts w:ascii="Segoe UI" w:hAnsi="Segoe UI" w:cs="Segoe UI"/>
          <w:sz w:val="22"/>
          <w:szCs w:val="22"/>
        </w:rPr>
        <w:t>sp</w:t>
      </w:r>
      <w:proofErr w:type="spellEnd"/>
      <w:r w:rsidRPr="00E14BD2">
        <w:rPr>
          <w:rFonts w:ascii="Segoe UI" w:hAnsi="Segoe UI" w:cs="Segoe UI"/>
          <w:sz w:val="22"/>
          <w:szCs w:val="22"/>
        </w:rPr>
        <w:t>. zn. L 19544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Bankovní spojení: Komerční banka Brno – město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Číslo účtu: 35-4766880257/0100</w:t>
      </w:r>
    </w:p>
    <w:p w:rsidR="0078194F" w:rsidRPr="00E14BD2" w:rsidRDefault="0078194F" w:rsidP="0078194F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Oprávněný zástupce k technickému jednání: </w:t>
      </w:r>
      <w:r>
        <w:rPr>
          <w:rFonts w:ascii="Segoe UI" w:hAnsi="Segoe UI" w:cs="Segoe UI"/>
          <w:snapToGrid w:val="0"/>
          <w:sz w:val="22"/>
          <w:szCs w:val="22"/>
        </w:rPr>
        <w:t>Kateřina Motyčk</w:t>
      </w:r>
      <w:r w:rsidRPr="00E14BD2">
        <w:rPr>
          <w:rFonts w:ascii="Segoe UI" w:hAnsi="Segoe UI" w:cs="Segoe UI"/>
          <w:snapToGrid w:val="0"/>
          <w:sz w:val="22"/>
          <w:szCs w:val="22"/>
        </w:rPr>
        <w:t>ová</w:t>
      </w:r>
    </w:p>
    <w:p w:rsidR="0078194F" w:rsidRPr="00E14BD2" w:rsidRDefault="0078194F" w:rsidP="0078194F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(dále také „</w:t>
      </w:r>
      <w:r w:rsidRPr="00E14BD2">
        <w:rPr>
          <w:rFonts w:ascii="Segoe UI" w:hAnsi="Segoe UI" w:cs="Segoe UI"/>
          <w:b/>
          <w:sz w:val="22"/>
          <w:szCs w:val="22"/>
        </w:rPr>
        <w:t>CCRJM</w:t>
      </w:r>
      <w:r w:rsidRPr="00E14BD2">
        <w:rPr>
          <w:rFonts w:ascii="Segoe UI" w:hAnsi="Segoe UI" w:cs="Segoe UI"/>
          <w:sz w:val="22"/>
          <w:szCs w:val="22"/>
        </w:rPr>
        <w:t xml:space="preserve">“) </w:t>
      </w:r>
    </w:p>
    <w:p w:rsidR="0078194F" w:rsidRDefault="0078194F" w:rsidP="0078194F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Pr="00E14BD2" w:rsidRDefault="0078194F" w:rsidP="0078194F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Pr="00E14BD2" w:rsidRDefault="0078194F" w:rsidP="0078194F">
      <w:pPr>
        <w:pStyle w:val="Odstavecseseznamem"/>
        <w:widowControl w:val="0"/>
        <w:ind w:left="108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Pr="00E14BD2" w:rsidRDefault="0078194F" w:rsidP="0078194F">
      <w:pPr>
        <w:pStyle w:val="Odstavecseseznamem"/>
        <w:widowControl w:val="0"/>
        <w:numPr>
          <w:ilvl w:val="0"/>
          <w:numId w:val="2"/>
        </w:numPr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b/>
          <w:snapToGrid w:val="0"/>
          <w:sz w:val="22"/>
          <w:szCs w:val="22"/>
        </w:rPr>
        <w:t>Úvodní prohlášení</w:t>
      </w:r>
    </w:p>
    <w:p w:rsidR="0078194F" w:rsidRPr="00E14BD2" w:rsidRDefault="0078194F" w:rsidP="0078194F">
      <w:pPr>
        <w:pStyle w:val="Odstavecseseznamem"/>
        <w:widowControl w:val="0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napToGrid w:val="0"/>
          <w:sz w:val="22"/>
          <w:szCs w:val="22"/>
        </w:rPr>
      </w:pP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prohlašuje, že podle platných právních předpisů je zcela oprávněn tuto dohodu uzavřít a plnit závazky z ní vyplývající a uskutečnit všechny právní úkony a činnosti nezbytné za účelem splnění předmětu této dohody.</w:t>
      </w:r>
    </w:p>
    <w:p w:rsidR="0078194F" w:rsidRPr="00E14BD2" w:rsidRDefault="0078194F" w:rsidP="0078194F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Pr="00E14BD2" w:rsidRDefault="0078194F" w:rsidP="0078194F">
      <w:pPr>
        <w:numPr>
          <w:ilvl w:val="0"/>
          <w:numId w:val="4"/>
        </w:numPr>
        <w:tabs>
          <w:tab w:val="left" w:pos="567"/>
        </w:tabs>
        <w:suppressAutoHyphens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CCRJM prohlašuje, že je zcela oprávněna tuto dohodu uzavřít a plnit závazky z ní vyplývající.</w:t>
      </w:r>
    </w:p>
    <w:p w:rsidR="0078194F" w:rsidRPr="00E14BD2" w:rsidRDefault="0078194F" w:rsidP="0078194F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Default="0078194F" w:rsidP="0078194F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Pr="00E14BD2" w:rsidRDefault="0078194F" w:rsidP="0078194F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               II.       Předmět dohody</w:t>
      </w:r>
    </w:p>
    <w:p w:rsidR="0078194F" w:rsidRPr="00E14BD2" w:rsidRDefault="0078194F" w:rsidP="0078194F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Předmětem této dohody je vzájemně prospěšná spolupráce a propagace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a CCRJM v</w:t>
      </w:r>
      <w:r>
        <w:rPr>
          <w:rFonts w:ascii="Segoe UI" w:hAnsi="Segoe UI" w:cs="Segoe UI"/>
          <w:sz w:val="22"/>
          <w:szCs w:val="22"/>
        </w:rPr>
        <w:t> sezoně 2021/2022</w:t>
      </w:r>
      <w:r w:rsidRPr="00E14BD2">
        <w:rPr>
          <w:rFonts w:ascii="Segoe UI" w:hAnsi="Segoe UI" w:cs="Segoe UI"/>
          <w:sz w:val="22"/>
          <w:szCs w:val="22"/>
        </w:rPr>
        <w:t xml:space="preserve">. CCRJM zařadí program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do turistické nabídky regionu a bude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propagovat v rámci svých aktivit a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se zavazuje propagovat CCRJM jak je uvedeno v článku III. této smlouvy a za podmínek v této smlouvě dále uvedených.</w:t>
      </w:r>
    </w:p>
    <w:p w:rsidR="0078194F" w:rsidRPr="00E14BD2" w:rsidRDefault="0078194F" w:rsidP="0078194F">
      <w:pPr>
        <w:spacing w:before="12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lastRenderedPageBreak/>
        <w:t>Povinnosti smluvních stran</w:t>
      </w:r>
    </w:p>
    <w:p w:rsidR="0078194F" w:rsidRPr="00E14BD2" w:rsidRDefault="0078194F" w:rsidP="0078194F">
      <w:pPr>
        <w:numPr>
          <w:ilvl w:val="0"/>
          <w:numId w:val="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CCRJM poskytne: </w:t>
      </w:r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propagaci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 rámci všech veletrhů cestovního ruchu s účastí CCRJM (zejména ve Vídni, v </w:t>
      </w:r>
      <w:r>
        <w:rPr>
          <w:rFonts w:ascii="Segoe UI" w:hAnsi="Segoe UI" w:cs="Segoe UI"/>
          <w:sz w:val="22"/>
          <w:szCs w:val="22"/>
        </w:rPr>
        <w:t>Londýně</w:t>
      </w:r>
      <w:r w:rsidRPr="00E14BD2">
        <w:rPr>
          <w:rFonts w:ascii="Segoe UI" w:hAnsi="Segoe UI" w:cs="Segoe UI"/>
          <w:sz w:val="22"/>
          <w:szCs w:val="22"/>
        </w:rPr>
        <w:t xml:space="preserve"> a v</w:t>
      </w:r>
      <w:r>
        <w:rPr>
          <w:rFonts w:ascii="Segoe UI" w:hAnsi="Segoe UI" w:cs="Segoe UI"/>
          <w:sz w:val="22"/>
          <w:szCs w:val="22"/>
        </w:rPr>
        <w:t xml:space="preserve"> Barceloně</w:t>
      </w:r>
      <w:r w:rsidRPr="00E14BD2">
        <w:rPr>
          <w:rFonts w:ascii="Segoe UI" w:hAnsi="Segoe UI" w:cs="Segoe UI"/>
          <w:sz w:val="22"/>
          <w:szCs w:val="22"/>
        </w:rPr>
        <w:t>)</w:t>
      </w:r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zajištění rozeslání informací o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zahraniční zastoupení </w:t>
      </w:r>
      <w:proofErr w:type="spellStart"/>
      <w:r w:rsidRPr="00E14BD2">
        <w:rPr>
          <w:rFonts w:ascii="Segoe UI" w:hAnsi="Segoe UI" w:cs="Segoe UI"/>
          <w:sz w:val="22"/>
          <w:szCs w:val="22"/>
        </w:rPr>
        <w:t>CzechTourism</w:t>
      </w:r>
      <w:proofErr w:type="spellEnd"/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ve spolupráci s vedením Českých center zajištění rozeslání informací o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Česká centra v zahraničí </w:t>
      </w:r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nabídka programu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spolupracujícím domácím i zahraničním CK a CA </w:t>
      </w:r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zařazení informací o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 rámci </w:t>
      </w:r>
      <w:proofErr w:type="spellStart"/>
      <w:r w:rsidRPr="00E14BD2">
        <w:rPr>
          <w:rFonts w:ascii="Segoe UI" w:hAnsi="Segoe UI" w:cs="Segoe UI"/>
          <w:sz w:val="22"/>
          <w:szCs w:val="22"/>
        </w:rPr>
        <w:t>press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a </w:t>
      </w:r>
      <w:proofErr w:type="spellStart"/>
      <w:r w:rsidRPr="00E14BD2">
        <w:rPr>
          <w:rFonts w:ascii="Segoe UI" w:hAnsi="Segoe UI" w:cs="Segoe UI"/>
          <w:sz w:val="22"/>
          <w:szCs w:val="22"/>
        </w:rPr>
        <w:t>fam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E14BD2">
        <w:rPr>
          <w:rFonts w:ascii="Segoe UI" w:hAnsi="Segoe UI" w:cs="Segoe UI"/>
          <w:sz w:val="22"/>
          <w:szCs w:val="22"/>
        </w:rPr>
        <w:t>tripů</w:t>
      </w:r>
      <w:proofErr w:type="spellEnd"/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propagace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prostřednictvím dalších vhodných komunikačních kanálů (sociální sítě)</w:t>
      </w:r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uvedení loga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</w:t>
      </w:r>
      <w:hyperlink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 xml:space="preserve">www.jizni-morava. </w:t>
        </w:r>
        <w:proofErr w:type="spellStart"/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cz</w:t>
        </w:r>
        <w:proofErr w:type="spellEnd"/>
      </w:hyperlink>
    </w:p>
    <w:p w:rsidR="0078194F" w:rsidRPr="00E14BD2" w:rsidRDefault="0078194F" w:rsidP="0078194F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uvedení loga s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</w:t>
      </w:r>
      <w:hyperlink r:id="rId5"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www.moraviaconvention.cz</w:t>
        </w:r>
      </w:hyperlink>
    </w:p>
    <w:p w:rsidR="0078194F" w:rsidRPr="00E14BD2" w:rsidRDefault="0078194F" w:rsidP="0078194F">
      <w:pPr>
        <w:ind w:left="709" w:firstLine="708"/>
        <w:rPr>
          <w:rFonts w:ascii="Segoe UI" w:hAnsi="Segoe UI" w:cs="Segoe UI"/>
          <w:color w:val="000000"/>
          <w:sz w:val="22"/>
          <w:szCs w:val="22"/>
        </w:rPr>
      </w:pPr>
    </w:p>
    <w:p w:rsidR="0078194F" w:rsidRPr="00E14BD2" w:rsidRDefault="0078194F" w:rsidP="0078194F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     Celková částka za poskytnuté plnění činí 102 250,- Kč včetně DPH v zákonem stanovené výši.</w:t>
      </w:r>
    </w:p>
    <w:p w:rsidR="0078194F" w:rsidRPr="00E14BD2" w:rsidRDefault="0078194F" w:rsidP="0078194F">
      <w:pPr>
        <w:spacing w:before="120"/>
        <w:ind w:left="36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ind w:left="360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NDB poskytne: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</w:p>
    <w:p w:rsidR="0078194F" w:rsidRPr="00E14BD2" w:rsidRDefault="0078194F" w:rsidP="0078194F">
      <w:pPr>
        <w:ind w:left="36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2.1.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bude propagovat CCRJM prostřednictví uvedení l</w:t>
      </w:r>
      <w:r>
        <w:rPr>
          <w:rFonts w:ascii="Segoe UI" w:hAnsi="Segoe UI" w:cs="Segoe UI"/>
          <w:sz w:val="22"/>
          <w:szCs w:val="22"/>
        </w:rPr>
        <w:t>oga na těchto materiálech v sezoně 2021/2022</w:t>
      </w:r>
      <w:r w:rsidRPr="00E14BD2">
        <w:rPr>
          <w:rFonts w:ascii="Segoe UI" w:hAnsi="Segoe UI" w:cs="Segoe UI"/>
          <w:sz w:val="22"/>
          <w:szCs w:val="22"/>
        </w:rPr>
        <w:t xml:space="preserve">: </w:t>
      </w:r>
    </w:p>
    <w:p w:rsidR="0078194F" w:rsidRPr="00E14BD2" w:rsidRDefault="0078194F" w:rsidP="0078194F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v časopise DIVA </w:t>
      </w:r>
    </w:p>
    <w:p w:rsidR="0078194F" w:rsidRPr="00E14BD2" w:rsidRDefault="0078194F" w:rsidP="0078194F">
      <w:pPr>
        <w:numPr>
          <w:ilvl w:val="0"/>
          <w:numId w:val="8"/>
        </w:numPr>
        <w:tabs>
          <w:tab w:val="num" w:pos="360"/>
        </w:tabs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na měsíčních programových skládačkách </w:t>
      </w:r>
    </w:p>
    <w:p w:rsidR="0078194F" w:rsidRPr="00E14BD2" w:rsidRDefault="0078194F" w:rsidP="0078194F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partnera s aktivním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stránkách </w:t>
      </w:r>
      <w:hyperlink r:id="rId6" w:tgtFrame="_parent" w:history="1">
        <w:r w:rsidRPr="00E14BD2">
          <w:rPr>
            <w:rStyle w:val="Hypertextovodkaz"/>
            <w:rFonts w:ascii="Segoe UI" w:hAnsi="Segoe UI" w:cs="Segoe UI"/>
            <w:color w:val="auto"/>
            <w:sz w:val="22"/>
            <w:szCs w:val="22"/>
            <w:u w:val="none"/>
          </w:rPr>
          <w:t>www.ndbrno.cz</w:t>
        </w:r>
      </w:hyperlink>
    </w:p>
    <w:p w:rsidR="0078194F" w:rsidRPr="00E14BD2" w:rsidRDefault="0078194F" w:rsidP="0078194F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lo</w:t>
      </w:r>
      <w:r>
        <w:rPr>
          <w:rFonts w:ascii="Segoe UI" w:hAnsi="Segoe UI" w:cs="Segoe UI"/>
          <w:sz w:val="22"/>
          <w:szCs w:val="22"/>
        </w:rPr>
        <w:t xml:space="preserve">go v Katalogu </w:t>
      </w:r>
      <w:proofErr w:type="spellStart"/>
      <w:r>
        <w:rPr>
          <w:rFonts w:ascii="Segoe UI" w:hAnsi="Segoe UI" w:cs="Segoe UI"/>
          <w:sz w:val="22"/>
          <w:szCs w:val="22"/>
        </w:rPr>
        <w:t>NdB</w:t>
      </w:r>
      <w:proofErr w:type="spellEnd"/>
      <w:r>
        <w:rPr>
          <w:rFonts w:ascii="Segoe UI" w:hAnsi="Segoe UI" w:cs="Segoe UI"/>
          <w:sz w:val="22"/>
          <w:szCs w:val="22"/>
        </w:rPr>
        <w:t xml:space="preserve"> na sezonu 2022/2023</w:t>
      </w:r>
    </w:p>
    <w:p w:rsidR="0078194F" w:rsidRPr="00E14BD2" w:rsidRDefault="0078194F" w:rsidP="0078194F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2.2.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poskytne CCRJM vstupenky v rozsahu:</w:t>
      </w:r>
    </w:p>
    <w:p w:rsidR="0078194F" w:rsidRPr="00E14BD2" w:rsidRDefault="0078194F" w:rsidP="0078194F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vstupenky na vybrané inscenace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 celkové hodnotě 40 000 Kč osvobozeno od DPH dle § 61 písm. e) zákona, vstupenky na představení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budou čerpány postupně v</w:t>
      </w:r>
      <w:r>
        <w:rPr>
          <w:rFonts w:ascii="Segoe UI" w:hAnsi="Segoe UI" w:cs="Segoe UI"/>
          <w:sz w:val="22"/>
          <w:szCs w:val="22"/>
        </w:rPr>
        <w:t> </w:t>
      </w:r>
      <w:r w:rsidRPr="00E14BD2">
        <w:rPr>
          <w:rFonts w:ascii="Segoe UI" w:hAnsi="Segoe UI" w:cs="Segoe UI"/>
          <w:sz w:val="22"/>
          <w:szCs w:val="22"/>
        </w:rPr>
        <w:t>průběhu</w:t>
      </w:r>
      <w:r>
        <w:rPr>
          <w:rFonts w:ascii="Segoe UI" w:hAnsi="Segoe UI" w:cs="Segoe UI"/>
          <w:sz w:val="22"/>
          <w:szCs w:val="22"/>
        </w:rPr>
        <w:t xml:space="preserve"> sezony 2021/2022</w:t>
      </w:r>
      <w:r w:rsidRPr="00E14BD2">
        <w:rPr>
          <w:rFonts w:ascii="Segoe UI" w:hAnsi="Segoe UI" w:cs="Segoe UI"/>
          <w:sz w:val="22"/>
          <w:szCs w:val="22"/>
        </w:rPr>
        <w:t>, (čerpání vstupenek se nevztahuje na zadaná představení, pronájmy, hostování cizích souborů, koprodukce a přenosy MET)</w:t>
      </w:r>
    </w:p>
    <w:p w:rsidR="0078194F" w:rsidRPr="00E14BD2" w:rsidRDefault="0078194F" w:rsidP="0078194F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2 kusy vstupenek na premiéry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 - a to</w:t>
      </w:r>
      <w:r>
        <w:rPr>
          <w:rFonts w:ascii="Segoe UI" w:hAnsi="Segoe UI" w:cs="Segoe UI"/>
          <w:sz w:val="22"/>
          <w:szCs w:val="22"/>
        </w:rPr>
        <w:t xml:space="preserve"> na 6 premiér v 1. polovině sezony 2021/2022</w:t>
      </w:r>
      <w:r w:rsidRPr="00E14BD2">
        <w:rPr>
          <w:rFonts w:ascii="Segoe UI" w:hAnsi="Segoe UI" w:cs="Segoe UI"/>
          <w:sz w:val="22"/>
          <w:szCs w:val="22"/>
        </w:rPr>
        <w:t xml:space="preserve"> a na 7 premiér ve 2. </w:t>
      </w:r>
      <w:r>
        <w:rPr>
          <w:rFonts w:ascii="Segoe UI" w:hAnsi="Segoe UI" w:cs="Segoe UI"/>
          <w:sz w:val="22"/>
          <w:szCs w:val="22"/>
        </w:rPr>
        <w:t>sezony 2021/2022</w:t>
      </w:r>
      <w:r w:rsidRPr="00E14BD2">
        <w:rPr>
          <w:rFonts w:ascii="Segoe UI" w:hAnsi="Segoe UI" w:cs="Segoe UI"/>
          <w:sz w:val="22"/>
          <w:szCs w:val="22"/>
        </w:rPr>
        <w:t xml:space="preserve"> ve smluvené hodnotě 300 Kč za vstupenku osvobozeno od DPH dle § 61 písm. e) zákona č. 235/2004 Sb.</w:t>
      </w:r>
    </w:p>
    <w:p w:rsidR="0078194F" w:rsidRPr="00E14BD2" w:rsidRDefault="0078194F" w:rsidP="0078194F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odsazen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Částka za propagaci dle odst. </w:t>
      </w:r>
      <w:proofErr w:type="gramStart"/>
      <w:r w:rsidRPr="00E14BD2">
        <w:rPr>
          <w:rFonts w:ascii="Segoe UI" w:hAnsi="Segoe UI" w:cs="Segoe UI"/>
          <w:b/>
          <w:sz w:val="22"/>
          <w:szCs w:val="22"/>
        </w:rPr>
        <w:t>2.1. činí</w:t>
      </w:r>
      <w:proofErr w:type="gramEnd"/>
      <w:r w:rsidRPr="00E14BD2">
        <w:rPr>
          <w:rFonts w:ascii="Segoe UI" w:hAnsi="Segoe UI" w:cs="Segoe UI"/>
          <w:b/>
          <w:sz w:val="22"/>
          <w:szCs w:val="22"/>
        </w:rPr>
        <w:t xml:space="preserve"> 45 000 Kč + 21 % DPH, částka za vstupenky dle odst. 2.2., písm. a) činí 40 000 Kč osvobozeno od DPH a částka za vstupenky na premiéry dle odst. 2.2., písm. b) činí 7 800 Kč osvobozeno od DPH. 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  <w:r w:rsidRPr="00E14BD2">
        <w:rPr>
          <w:rFonts w:ascii="Segoe UI" w:hAnsi="Segoe UI" w:cs="Segoe UI"/>
          <w:b/>
          <w:sz w:val="22"/>
          <w:szCs w:val="22"/>
        </w:rPr>
        <w:t xml:space="preserve">Celková částka za poskytnuté plnění </w:t>
      </w:r>
      <w:proofErr w:type="spellStart"/>
      <w:r w:rsidRPr="00E14BD2">
        <w:rPr>
          <w:rFonts w:ascii="Segoe UI" w:hAnsi="Segoe UI" w:cs="Segoe UI"/>
          <w:b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b/>
          <w:sz w:val="22"/>
          <w:szCs w:val="22"/>
        </w:rPr>
        <w:t xml:space="preserve"> činí 102 250,- Kč včetně DPH v zákonem stanovené výši.</w:t>
      </w: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Povinnosti smluvních stran</w:t>
      </w:r>
    </w:p>
    <w:p w:rsidR="0078194F" w:rsidRPr="00E14BD2" w:rsidRDefault="0078194F" w:rsidP="0078194F">
      <w:pPr>
        <w:pStyle w:val="Zkladntextodsazen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E14BD2">
        <w:rPr>
          <w:rFonts w:ascii="Segoe UI" w:hAnsi="Segoe UI" w:cs="Segoe UI"/>
          <w:b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2. této smlouvy.</w:t>
      </w:r>
    </w:p>
    <w:p w:rsidR="0078194F" w:rsidRPr="00E14BD2" w:rsidRDefault="0078194F" w:rsidP="0078194F">
      <w:pPr>
        <w:pStyle w:val="Zkladntextodsazen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CCRJM</w:t>
      </w:r>
      <w:r w:rsidRPr="00E14BD2"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1. této smlouvy.</w:t>
      </w:r>
    </w:p>
    <w:p w:rsidR="0078194F" w:rsidRPr="00E14BD2" w:rsidRDefault="0078194F" w:rsidP="0078194F">
      <w:pPr>
        <w:pStyle w:val="Zkladntext"/>
        <w:numPr>
          <w:ilvl w:val="0"/>
          <w:numId w:val="10"/>
        </w:numPr>
        <w:spacing w:before="120" w:line="21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Ve věcech týkajících se této smlouvy je za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pověřena jednat: Zuzana Žáková, 725 798 097, </w:t>
      </w:r>
      <w:hyperlink r:id="rId7"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 w:rsidRPr="00E14BD2">
        <w:rPr>
          <w:rFonts w:ascii="Segoe UI" w:hAnsi="Segoe UI" w:cs="Segoe UI"/>
          <w:sz w:val="22"/>
          <w:szCs w:val="22"/>
        </w:rPr>
        <w:t xml:space="preserve">, marketingová manažerka divadla. Za CCRJM je ve věcech této smlouvy pověřena jednat paní </w:t>
      </w:r>
      <w:r>
        <w:rPr>
          <w:rFonts w:ascii="Segoe UI" w:hAnsi="Segoe UI" w:cs="Segoe UI"/>
          <w:sz w:val="22"/>
          <w:szCs w:val="22"/>
        </w:rPr>
        <w:t>Kateřina Moty</w:t>
      </w:r>
      <w:r w:rsidRPr="00E14BD2">
        <w:rPr>
          <w:rFonts w:ascii="Segoe UI" w:hAnsi="Segoe UI" w:cs="Segoe UI"/>
          <w:sz w:val="22"/>
          <w:szCs w:val="22"/>
        </w:rPr>
        <w:t>č</w:t>
      </w:r>
      <w:r>
        <w:rPr>
          <w:rFonts w:ascii="Segoe UI" w:hAnsi="Segoe UI" w:cs="Segoe UI"/>
          <w:sz w:val="22"/>
          <w:szCs w:val="22"/>
        </w:rPr>
        <w:t>k</w:t>
      </w:r>
      <w:r w:rsidRPr="00E14BD2">
        <w:rPr>
          <w:rFonts w:ascii="Segoe UI" w:hAnsi="Segoe UI" w:cs="Segoe UI"/>
          <w:sz w:val="22"/>
          <w:szCs w:val="22"/>
        </w:rPr>
        <w:t xml:space="preserve">ová, 601 531 328, </w:t>
      </w:r>
      <w:hyperlink r:id="rId8"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kalacova@ccrjm.cz</w:t>
        </w:r>
      </w:hyperlink>
      <w:r w:rsidRPr="00E14BD2">
        <w:rPr>
          <w:rFonts w:ascii="Segoe UI" w:hAnsi="Segoe UI" w:cs="Segoe UI"/>
          <w:sz w:val="22"/>
          <w:szCs w:val="22"/>
        </w:rPr>
        <w:t xml:space="preserve">, Office manažerka. </w:t>
      </w: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Platební podmínky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Celková cena za služby dle článku III. bodu 1. je stanovena ve výši </w:t>
      </w:r>
      <w:r w:rsidRPr="00E14BD2">
        <w:rPr>
          <w:rFonts w:ascii="Segoe UI" w:hAnsi="Segoe UI" w:cs="Segoe UI"/>
          <w:sz w:val="22"/>
          <w:szCs w:val="22"/>
        </w:rPr>
        <w:br/>
        <w:t xml:space="preserve"> Kč </w:t>
      </w:r>
      <w:r w:rsidRPr="00E14BD2">
        <w:rPr>
          <w:rFonts w:ascii="Segoe UI" w:hAnsi="Segoe UI" w:cs="Segoe UI"/>
          <w:b/>
          <w:sz w:val="22"/>
          <w:szCs w:val="22"/>
        </w:rPr>
        <w:t>102 250,-.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Celková cena za služby dle článku III. bodu 2. je stanovena ve výši </w:t>
      </w:r>
      <w:r w:rsidRPr="00E14BD2">
        <w:rPr>
          <w:rFonts w:ascii="Segoe UI" w:hAnsi="Segoe UI" w:cs="Segoe UI"/>
          <w:sz w:val="22"/>
          <w:szCs w:val="22"/>
        </w:rPr>
        <w:br/>
        <w:t xml:space="preserve"> Kč </w:t>
      </w:r>
      <w:r w:rsidRPr="00E14BD2">
        <w:rPr>
          <w:rFonts w:ascii="Segoe UI" w:hAnsi="Segoe UI" w:cs="Segoe UI"/>
          <w:b/>
          <w:sz w:val="22"/>
          <w:szCs w:val="22"/>
        </w:rPr>
        <w:t>102 250,-.</w:t>
      </w:r>
    </w:p>
    <w:p w:rsidR="0078194F" w:rsidRPr="00E14BD2" w:rsidRDefault="0078194F" w:rsidP="0078194F">
      <w:pPr>
        <w:numPr>
          <w:ilvl w:val="0"/>
          <w:numId w:val="11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CCRJM vystaví fakturu na plnění dle čl. III., bodu 1 dne </w:t>
      </w:r>
      <w:r w:rsidR="009A47E7">
        <w:rPr>
          <w:rFonts w:ascii="Segoe UI" w:hAnsi="Segoe UI" w:cs="Segoe UI"/>
          <w:sz w:val="22"/>
          <w:szCs w:val="22"/>
        </w:rPr>
        <w:t>1</w:t>
      </w:r>
      <w:r w:rsidRPr="00E14BD2">
        <w:rPr>
          <w:rFonts w:ascii="Segoe UI" w:hAnsi="Segoe UI" w:cs="Segoe UI"/>
          <w:sz w:val="22"/>
          <w:szCs w:val="22"/>
        </w:rPr>
        <w:t>. 1</w:t>
      </w:r>
      <w:r w:rsidR="009A47E7">
        <w:rPr>
          <w:rFonts w:ascii="Segoe UI" w:hAnsi="Segoe UI" w:cs="Segoe UI"/>
          <w:sz w:val="22"/>
          <w:szCs w:val="22"/>
        </w:rPr>
        <w:t>0. 2021</w:t>
      </w:r>
      <w:r w:rsidRPr="00E14BD2">
        <w:rPr>
          <w:rFonts w:ascii="Segoe UI" w:hAnsi="Segoe UI" w:cs="Segoe UI"/>
          <w:sz w:val="22"/>
          <w:szCs w:val="22"/>
        </w:rPr>
        <w:t>, spl</w:t>
      </w:r>
      <w:r w:rsidR="009A47E7">
        <w:rPr>
          <w:rFonts w:ascii="Segoe UI" w:hAnsi="Segoe UI" w:cs="Segoe UI"/>
          <w:sz w:val="22"/>
          <w:szCs w:val="22"/>
        </w:rPr>
        <w:t>atnost faktury bude 31. 8. 2022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:rsidR="0078194F" w:rsidRPr="00E14BD2" w:rsidRDefault="0078194F" w:rsidP="0078194F">
      <w:pPr>
        <w:numPr>
          <w:ilvl w:val="0"/>
          <w:numId w:val="11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vystaví fakturu na plnění dle čl. III., bodu 2, odst. 2. 1. dne </w:t>
      </w:r>
      <w:r w:rsidR="009A47E7">
        <w:rPr>
          <w:rFonts w:ascii="Segoe UI" w:hAnsi="Segoe UI" w:cs="Segoe UI"/>
          <w:sz w:val="22"/>
          <w:szCs w:val="22"/>
        </w:rPr>
        <w:t>1</w:t>
      </w:r>
      <w:r w:rsidRPr="00E14BD2">
        <w:rPr>
          <w:rFonts w:ascii="Segoe UI" w:hAnsi="Segoe UI" w:cs="Segoe UI"/>
          <w:sz w:val="22"/>
          <w:szCs w:val="22"/>
        </w:rPr>
        <w:t>. 1</w:t>
      </w:r>
      <w:r w:rsidR="009A47E7">
        <w:rPr>
          <w:rFonts w:ascii="Segoe UI" w:hAnsi="Segoe UI" w:cs="Segoe UI"/>
          <w:sz w:val="22"/>
          <w:szCs w:val="22"/>
        </w:rPr>
        <w:t>0. 2021</w:t>
      </w:r>
      <w:r w:rsidRPr="00E14BD2">
        <w:rPr>
          <w:rFonts w:ascii="Segoe UI" w:hAnsi="Segoe UI" w:cs="Segoe UI"/>
          <w:sz w:val="22"/>
          <w:szCs w:val="22"/>
        </w:rPr>
        <w:t>, spl</w:t>
      </w:r>
      <w:r w:rsidR="009A47E7">
        <w:rPr>
          <w:rFonts w:ascii="Segoe UI" w:hAnsi="Segoe UI" w:cs="Segoe UI"/>
          <w:sz w:val="22"/>
          <w:szCs w:val="22"/>
        </w:rPr>
        <w:t>atnost faktury bude 31. 8. 2022</w:t>
      </w:r>
      <w:bookmarkStart w:id="0" w:name="_GoBack"/>
      <w:bookmarkEnd w:id="0"/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:rsidR="0078194F" w:rsidRPr="00E14BD2" w:rsidRDefault="0078194F" w:rsidP="0078194F">
      <w:pPr>
        <w:autoSpaceDE w:val="0"/>
        <w:autoSpaceDN w:val="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widowControl/>
        <w:numPr>
          <w:ilvl w:val="0"/>
          <w:numId w:val="11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Vstupenky dle čl. III., bodu 2., odst. 2. 2., písm. a) v celkové hodnotě 40 000 Kč musí CCRJM od</w:t>
      </w:r>
      <w:r w:rsidR="009A47E7">
        <w:rPr>
          <w:rFonts w:ascii="Segoe UI" w:hAnsi="Segoe UI" w:cs="Segoe UI"/>
          <w:sz w:val="22"/>
          <w:szCs w:val="22"/>
        </w:rPr>
        <w:t>ebrat nejpozději do 15. 6. 2022</w:t>
      </w:r>
      <w:r w:rsidRPr="00E14BD2">
        <w:rPr>
          <w:rFonts w:ascii="Segoe UI" w:hAnsi="Segoe UI" w:cs="Segoe UI"/>
          <w:sz w:val="22"/>
          <w:szCs w:val="22"/>
        </w:rPr>
        <w:t>. Fakturace za vstupenky bude probíhat postupně po každém odběru vstupenek. Sp</w:t>
      </w:r>
      <w:r w:rsidR="009A47E7">
        <w:rPr>
          <w:rFonts w:ascii="Segoe UI" w:hAnsi="Segoe UI" w:cs="Segoe UI"/>
          <w:sz w:val="22"/>
          <w:szCs w:val="22"/>
        </w:rPr>
        <w:t>latnost faktur bude 31. 8. 2022</w:t>
      </w:r>
      <w:r w:rsidRPr="00E14BD2">
        <w:rPr>
          <w:rFonts w:ascii="Segoe UI" w:hAnsi="Segoe UI" w:cs="Segoe UI"/>
          <w:sz w:val="22"/>
          <w:szCs w:val="22"/>
        </w:rPr>
        <w:t xml:space="preserve">. Pokud vstupenky </w:t>
      </w:r>
      <w:r w:rsidR="009A47E7">
        <w:rPr>
          <w:rFonts w:ascii="Segoe UI" w:hAnsi="Segoe UI" w:cs="Segoe UI"/>
          <w:sz w:val="22"/>
          <w:szCs w:val="22"/>
        </w:rPr>
        <w:t>nebudou vyčerpány do 15. 6. 2022</w:t>
      </w:r>
      <w:r w:rsidRPr="00E14BD2">
        <w:rPr>
          <w:rFonts w:ascii="Segoe UI" w:hAnsi="Segoe UI" w:cs="Segoe UI"/>
          <w:sz w:val="22"/>
          <w:szCs w:val="22"/>
        </w:rPr>
        <w:t xml:space="preserve">, vyhrazuje si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právo vyfakturovat a zaslat pro CCRJM zbylou část vstupenek podle vlastního výběru. </w:t>
      </w:r>
    </w:p>
    <w:p w:rsidR="0078194F" w:rsidRPr="00E14BD2" w:rsidRDefault="0078194F" w:rsidP="0078194F">
      <w:pPr>
        <w:numPr>
          <w:ilvl w:val="0"/>
          <w:numId w:val="11"/>
        </w:numPr>
        <w:suppressAutoHyphens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Vstupenky na premiéry dle čl. III., bodu 2., odst. 2. 2., písm. b) v celkové hodnotě 7 800 budou účtovány ve dvou fakturách. Premiéry na 1. </w:t>
      </w:r>
      <w:r w:rsidR="009A47E7">
        <w:rPr>
          <w:rFonts w:ascii="Segoe UI" w:hAnsi="Segoe UI" w:cs="Segoe UI"/>
          <w:sz w:val="22"/>
          <w:szCs w:val="22"/>
        </w:rPr>
        <w:t xml:space="preserve">polovinu </w:t>
      </w:r>
      <w:r w:rsidR="009A47E7">
        <w:rPr>
          <w:rFonts w:ascii="Segoe UI" w:hAnsi="Segoe UI" w:cs="Segoe UI"/>
          <w:sz w:val="22"/>
          <w:szCs w:val="22"/>
        </w:rPr>
        <w:t>sezony 2021/2022</w:t>
      </w:r>
      <w:r w:rsidRPr="00E14BD2">
        <w:rPr>
          <w:rFonts w:ascii="Segoe UI" w:hAnsi="Segoe UI" w:cs="Segoe UI"/>
          <w:sz w:val="22"/>
          <w:szCs w:val="22"/>
        </w:rPr>
        <w:t xml:space="preserve"> bude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účtovat do 2</w:t>
      </w:r>
      <w:r w:rsidR="009A47E7">
        <w:rPr>
          <w:rFonts w:ascii="Segoe UI" w:hAnsi="Segoe UI" w:cs="Segoe UI"/>
          <w:sz w:val="22"/>
          <w:szCs w:val="22"/>
        </w:rPr>
        <w:t>0. 9. 2021</w:t>
      </w:r>
      <w:r w:rsidRPr="00E14BD2">
        <w:rPr>
          <w:rFonts w:ascii="Segoe UI" w:hAnsi="Segoe UI" w:cs="Segoe UI"/>
          <w:sz w:val="22"/>
          <w:szCs w:val="22"/>
        </w:rPr>
        <w:t xml:space="preserve">. Premiéry na 2. </w:t>
      </w:r>
      <w:r w:rsidR="009A47E7">
        <w:rPr>
          <w:rFonts w:ascii="Segoe UI" w:hAnsi="Segoe UI" w:cs="Segoe UI"/>
          <w:sz w:val="22"/>
          <w:szCs w:val="22"/>
        </w:rPr>
        <w:t>polovinu sezony 2021/2022</w:t>
      </w:r>
      <w:r w:rsidR="009A47E7" w:rsidRPr="00E14BD2">
        <w:rPr>
          <w:rFonts w:ascii="Segoe UI" w:hAnsi="Segoe UI" w:cs="Segoe UI"/>
          <w:sz w:val="22"/>
          <w:szCs w:val="22"/>
        </w:rPr>
        <w:t xml:space="preserve"> </w:t>
      </w:r>
      <w:r w:rsidR="009A47E7">
        <w:rPr>
          <w:rFonts w:ascii="Segoe UI" w:hAnsi="Segoe UI" w:cs="Segoe UI"/>
          <w:sz w:val="22"/>
          <w:szCs w:val="22"/>
        </w:rPr>
        <w:t xml:space="preserve">bude </w:t>
      </w:r>
      <w:proofErr w:type="spellStart"/>
      <w:r w:rsidR="009A47E7">
        <w:rPr>
          <w:rFonts w:ascii="Segoe UI" w:hAnsi="Segoe UI" w:cs="Segoe UI"/>
          <w:sz w:val="22"/>
          <w:szCs w:val="22"/>
        </w:rPr>
        <w:t>NdB</w:t>
      </w:r>
      <w:proofErr w:type="spellEnd"/>
      <w:r w:rsidR="009A47E7">
        <w:rPr>
          <w:rFonts w:ascii="Segoe UI" w:hAnsi="Segoe UI" w:cs="Segoe UI"/>
          <w:sz w:val="22"/>
          <w:szCs w:val="22"/>
        </w:rPr>
        <w:t xml:space="preserve"> účtovat do 10. 1. 2022</w:t>
      </w:r>
      <w:r w:rsidRPr="00E14BD2">
        <w:rPr>
          <w:rFonts w:ascii="Segoe UI" w:hAnsi="Segoe UI" w:cs="Segoe UI"/>
          <w:sz w:val="22"/>
          <w:szCs w:val="22"/>
        </w:rPr>
        <w:t>. Splatnost</w:t>
      </w:r>
      <w:r w:rsidR="009A47E7">
        <w:rPr>
          <w:rFonts w:ascii="Segoe UI" w:hAnsi="Segoe UI" w:cs="Segoe UI"/>
          <w:sz w:val="22"/>
          <w:szCs w:val="22"/>
        </w:rPr>
        <w:t xml:space="preserve"> těchto faktur bude 31. 8. 2022</w:t>
      </w:r>
      <w:r w:rsidRPr="00E14BD2">
        <w:rPr>
          <w:rFonts w:ascii="Segoe UI" w:hAnsi="Segoe UI" w:cs="Segoe UI"/>
          <w:sz w:val="22"/>
          <w:szCs w:val="22"/>
        </w:rPr>
        <w:t>.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Faktury budou mít veškeré náležitosti daňového dokladu dle zákona č. 235/2004 </w:t>
      </w:r>
      <w:r w:rsidRPr="00E14BD2">
        <w:rPr>
          <w:rFonts w:ascii="Segoe UI" w:hAnsi="Segoe UI" w:cs="Segoe UI"/>
          <w:sz w:val="22"/>
          <w:szCs w:val="22"/>
        </w:rPr>
        <w:br/>
        <w:t>Sb. o dani z přidané hodnoty. Datum uskutečnění zdanitelného plnění bude datum vystavení faktur. Obě smluvní strany souhlasí se vzájemný</w:t>
      </w:r>
      <w:r w:rsidR="009A47E7">
        <w:rPr>
          <w:rFonts w:ascii="Segoe UI" w:hAnsi="Segoe UI" w:cs="Segoe UI"/>
          <w:sz w:val="22"/>
          <w:szCs w:val="22"/>
        </w:rPr>
        <w:t>m zápočtem faktur k 31. 8. 2022</w:t>
      </w:r>
      <w:r w:rsidRPr="00E14BD2">
        <w:rPr>
          <w:rFonts w:ascii="Segoe UI" w:hAnsi="Segoe UI" w:cs="Segoe UI"/>
          <w:sz w:val="22"/>
          <w:szCs w:val="22"/>
        </w:rPr>
        <w:t>.</w:t>
      </w:r>
    </w:p>
    <w:p w:rsidR="0078194F" w:rsidRPr="00E14BD2" w:rsidRDefault="0078194F" w:rsidP="0078194F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rPr>
          <w:rFonts w:ascii="Segoe UI" w:hAnsi="Segoe UI" w:cs="Segoe UI"/>
          <w:color w:val="FF0000"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Závěrečná ustanovení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Dohoda se uzavírá na </w:t>
      </w:r>
      <w:r w:rsidR="009A47E7">
        <w:rPr>
          <w:rFonts w:ascii="Segoe UI" w:hAnsi="Segoe UI" w:cs="Segoe UI"/>
          <w:b/>
          <w:sz w:val="22"/>
          <w:szCs w:val="22"/>
        </w:rPr>
        <w:t>dobu určitou do 31. 8</w:t>
      </w:r>
      <w:r w:rsidRPr="00E14BD2">
        <w:rPr>
          <w:rFonts w:ascii="Segoe UI" w:hAnsi="Segoe UI" w:cs="Segoe UI"/>
          <w:b/>
          <w:sz w:val="22"/>
          <w:szCs w:val="22"/>
        </w:rPr>
        <w:t>. 20</w:t>
      </w:r>
      <w:r w:rsidR="009A47E7">
        <w:rPr>
          <w:rFonts w:ascii="Segoe UI" w:hAnsi="Segoe UI" w:cs="Segoe UI"/>
          <w:b/>
          <w:sz w:val="22"/>
          <w:szCs w:val="22"/>
        </w:rPr>
        <w:t>22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Dohodu je možno měnit či doplňovat jen písemně.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Dohoda se vyhotovuje ve dvou stejnopisech, z nichž po jednom obdrží každá smluvní strana.</w:t>
      </w:r>
    </w:p>
    <w:p w:rsidR="0078194F" w:rsidRPr="00E14BD2" w:rsidRDefault="0078194F" w:rsidP="0078194F">
      <w:pPr>
        <w:pStyle w:val="Zkladntextodsazen2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lastRenderedPageBreak/>
        <w:t xml:space="preserve">CCRJM bere na vědomí, že </w:t>
      </w:r>
      <w:proofErr w:type="spellStart"/>
      <w:r w:rsidRPr="00E14BD2">
        <w:rPr>
          <w:rFonts w:ascii="Segoe UI" w:hAnsi="Segoe UI" w:cs="Segoe UI"/>
          <w:sz w:val="22"/>
          <w:szCs w:val="22"/>
        </w:rPr>
        <w:t>NdB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:rsidR="0078194F" w:rsidRPr="00E14BD2" w:rsidRDefault="0078194F" w:rsidP="0078194F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Tato dohoda nabývá platnosti dnem podpisu smluvních stran. </w:t>
      </w:r>
      <w:r w:rsidRPr="00E14BD2">
        <w:rPr>
          <w:rFonts w:ascii="Segoe UI" w:hAnsi="Segoe UI" w:cs="Segoe UI"/>
          <w:sz w:val="22"/>
          <w:szCs w:val="22"/>
        </w:rPr>
        <w:br/>
        <w:t>V pochybnostech se má za to, že rozhodující je datum podpisu smluvní strany, která dohodu podepsala později.</w:t>
      </w:r>
    </w:p>
    <w:p w:rsidR="0078194F" w:rsidRPr="00E14BD2" w:rsidRDefault="0078194F" w:rsidP="0078194F">
      <w:pPr>
        <w:pStyle w:val="Zkladntextodsazen2"/>
        <w:numPr>
          <w:ilvl w:val="0"/>
          <w:numId w:val="12"/>
        </w:numPr>
        <w:suppressAutoHyphens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78194F" w:rsidRPr="00E14BD2" w:rsidRDefault="0078194F" w:rsidP="0078194F">
      <w:pPr>
        <w:pStyle w:val="Zkladntext"/>
        <w:widowControl/>
        <w:spacing w:before="60" w:after="60"/>
        <w:ind w:left="360"/>
        <w:jc w:val="both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 Brně dne</w:t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  <w:t xml:space="preserve">      V Brně dne</w:t>
      </w: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  <w:t xml:space="preserve"> </w:t>
      </w: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78194F" w:rsidRPr="00E14BD2" w:rsidRDefault="0078194F" w:rsidP="0078194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78194F" w:rsidRPr="00E14BD2" w:rsidRDefault="0078194F" w:rsidP="0078194F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4"/>
        <w:gridCol w:w="4538"/>
      </w:tblGrid>
      <w:tr w:rsidR="0078194F" w:rsidTr="00DA1DCD">
        <w:tc>
          <w:tcPr>
            <w:tcW w:w="4595" w:type="dxa"/>
          </w:tcPr>
          <w:p w:rsidR="0078194F" w:rsidRPr="00E14BD2" w:rsidRDefault="0078194F" w:rsidP="00DA1DCD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78194F" w:rsidRPr="00E14BD2" w:rsidRDefault="0078194F" w:rsidP="00DA1DCD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78194F" w:rsidRPr="00E14BD2" w:rsidRDefault="0078194F" w:rsidP="00DA1DCD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>……………………………………….</w:t>
            </w:r>
          </w:p>
          <w:p w:rsidR="0078194F" w:rsidRPr="00E14BD2" w:rsidRDefault="0078194F" w:rsidP="00DA1DCD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proofErr w:type="spellStart"/>
            <w:r w:rsidRPr="00E14BD2">
              <w:rPr>
                <w:rFonts w:ascii="Segoe UI" w:hAnsi="Segoe UI" w:cs="Segoe UI"/>
                <w:sz w:val="22"/>
                <w:szCs w:val="22"/>
              </w:rPr>
              <w:t>MgA</w:t>
            </w:r>
            <w:proofErr w:type="spellEnd"/>
            <w:r w:rsidRPr="00E14BD2">
              <w:rPr>
                <w:rFonts w:ascii="Segoe UI" w:hAnsi="Segoe UI" w:cs="Segoe UI"/>
                <w:sz w:val="22"/>
                <w:szCs w:val="22"/>
              </w:rPr>
              <w:t>. Martin Glaser</w:t>
            </w:r>
          </w:p>
        </w:tc>
        <w:tc>
          <w:tcPr>
            <w:tcW w:w="4595" w:type="dxa"/>
          </w:tcPr>
          <w:p w:rsidR="0078194F" w:rsidRPr="00E14BD2" w:rsidRDefault="0078194F" w:rsidP="00DA1DCD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78194F" w:rsidRPr="00E14BD2" w:rsidRDefault="0078194F" w:rsidP="00DA1DCD">
            <w:pPr>
              <w:rPr>
                <w:rFonts w:ascii="Segoe UI" w:hAnsi="Segoe UI" w:cs="Segoe UI"/>
                <w:szCs w:val="22"/>
              </w:rPr>
            </w:pPr>
          </w:p>
          <w:p w:rsidR="0078194F" w:rsidRPr="00E14BD2" w:rsidRDefault="0078194F" w:rsidP="00DA1DCD">
            <w:pPr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        …………………………………………</w:t>
            </w:r>
          </w:p>
          <w:p w:rsidR="0078194F" w:rsidRDefault="0078194F" w:rsidP="00DA1DCD">
            <w:pPr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             Ing. Pavla Pelánová</w:t>
            </w:r>
          </w:p>
        </w:tc>
      </w:tr>
    </w:tbl>
    <w:p w:rsidR="0078194F" w:rsidRDefault="0078194F" w:rsidP="0078194F">
      <w:pPr>
        <w:rPr>
          <w:rFonts w:ascii="Segoe UI" w:hAnsi="Segoe UI" w:cs="Segoe UI"/>
          <w:sz w:val="22"/>
          <w:szCs w:val="22"/>
        </w:rPr>
      </w:pPr>
    </w:p>
    <w:p w:rsidR="0078194F" w:rsidRDefault="0078194F" w:rsidP="0078194F">
      <w:pPr>
        <w:rPr>
          <w:rFonts w:ascii="Segoe UI" w:hAnsi="Segoe UI" w:cs="Segoe UI"/>
          <w:sz w:val="22"/>
          <w:szCs w:val="22"/>
        </w:rPr>
      </w:pPr>
    </w:p>
    <w:p w:rsidR="0078194F" w:rsidRDefault="0078194F" w:rsidP="0078194F">
      <w:pPr>
        <w:rPr>
          <w:rFonts w:ascii="Segoe UI" w:hAnsi="Segoe UI" w:cs="Segoe UI"/>
          <w:sz w:val="22"/>
          <w:szCs w:val="22"/>
        </w:rPr>
      </w:pPr>
    </w:p>
    <w:p w:rsidR="0078194F" w:rsidRDefault="0078194F" w:rsidP="0078194F">
      <w:pPr>
        <w:rPr>
          <w:rFonts w:ascii="Segoe UI" w:hAnsi="Segoe UI" w:cs="Segoe UI"/>
          <w:sz w:val="22"/>
          <w:szCs w:val="22"/>
        </w:rPr>
      </w:pPr>
    </w:p>
    <w:p w:rsidR="0078194F" w:rsidRDefault="0078194F" w:rsidP="0078194F"/>
    <w:p w:rsidR="0078194F" w:rsidRDefault="0078194F" w:rsidP="0078194F"/>
    <w:p w:rsidR="0078194F" w:rsidRDefault="0078194F" w:rsidP="0078194F"/>
    <w:p w:rsidR="0078194F" w:rsidRDefault="0078194F" w:rsidP="0078194F"/>
    <w:p w:rsidR="00FA1199" w:rsidRDefault="00FA1199"/>
    <w:sectPr w:rsidR="00FA1199" w:rsidSect="00D0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5007A9B"/>
    <w:multiLevelType w:val="hybridMultilevel"/>
    <w:tmpl w:val="EC40078E"/>
    <w:lvl w:ilvl="0" w:tplc="436E2446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5CA6"/>
    <w:multiLevelType w:val="multilevel"/>
    <w:tmpl w:val="4BC64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5A2109F"/>
    <w:multiLevelType w:val="hybridMultilevel"/>
    <w:tmpl w:val="F7E81766"/>
    <w:lvl w:ilvl="0" w:tplc="534033C2">
      <w:start w:val="3"/>
      <w:numFmt w:val="upperRoman"/>
      <w:lvlText w:val="%1."/>
      <w:lvlJc w:val="left"/>
      <w:pPr>
        <w:ind w:left="25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E107F"/>
    <w:multiLevelType w:val="hybridMultilevel"/>
    <w:tmpl w:val="FFBC6D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E66BB"/>
    <w:multiLevelType w:val="hybridMultilevel"/>
    <w:tmpl w:val="9E6C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920F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3CA543D0"/>
    <w:multiLevelType w:val="hybridMultilevel"/>
    <w:tmpl w:val="AC8E3F36"/>
    <w:lvl w:ilvl="0" w:tplc="89227812">
      <w:numFmt w:val="bullet"/>
      <w:lvlText w:val="-"/>
      <w:lvlJc w:val="left"/>
      <w:pPr>
        <w:ind w:left="1095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943DE"/>
    <w:multiLevelType w:val="hybridMultilevel"/>
    <w:tmpl w:val="989AE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945D80"/>
    <w:multiLevelType w:val="multilevel"/>
    <w:tmpl w:val="56EAC5C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8D4A5F"/>
    <w:multiLevelType w:val="multilevel"/>
    <w:tmpl w:val="97BC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4F"/>
    <w:rsid w:val="0078194F"/>
    <w:rsid w:val="009A47E7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6D7B-102A-4D36-BB8C-631EB32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94F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78194F"/>
    <w:pPr>
      <w:spacing w:before="100" w:beforeAutospacing="1" w:after="100" w:afterAutospacing="1"/>
    </w:pPr>
    <w:rPr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781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8194F"/>
    <w:pPr>
      <w:widowControl w:val="0"/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81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19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1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8194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1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8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cova@ccrj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pl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brno.cz/" TargetMode="External"/><Relationship Id="rId5" Type="http://schemas.openxmlformats.org/officeDocument/2006/relationships/hyperlink" Target="http://www.moraviaconventio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1</cp:revision>
  <dcterms:created xsi:type="dcterms:W3CDTF">2021-09-02T13:50:00Z</dcterms:created>
  <dcterms:modified xsi:type="dcterms:W3CDTF">2021-09-02T14:05:00Z</dcterms:modified>
</cp:coreProperties>
</file>